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458" w:rsidRPr="00640458" w:rsidRDefault="00640458" w:rsidP="00640458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  <w:r w:rsidRPr="00640458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401C563E" wp14:editId="5560B550">
            <wp:extent cx="14954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58" w:rsidRPr="00640458" w:rsidRDefault="00640458" w:rsidP="00640458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640458" w:rsidRPr="00640458" w:rsidRDefault="00640458" w:rsidP="00640458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640458">
        <w:rPr>
          <w:rFonts w:ascii="Arial" w:eastAsia="Calibri" w:hAnsi="Arial" w:cs="Arial"/>
          <w:b/>
          <w:sz w:val="24"/>
          <w:szCs w:val="24"/>
        </w:rPr>
        <w:t>H</w:t>
      </w:r>
      <w:r>
        <w:rPr>
          <w:rFonts w:ascii="Arial" w:eastAsia="Calibri" w:hAnsi="Arial" w:cs="Arial"/>
          <w:b/>
          <w:sz w:val="24"/>
          <w:szCs w:val="24"/>
        </w:rPr>
        <w:t>EALTH &amp; SAFETY POLICY: SECTION 5</w:t>
      </w:r>
    </w:p>
    <w:p w:rsidR="00640458" w:rsidRPr="00640458" w:rsidRDefault="00640458" w:rsidP="00640458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640458" w:rsidRPr="00640458" w:rsidRDefault="00640458" w:rsidP="00640458">
      <w:pPr>
        <w:spacing w:after="0"/>
        <w:jc w:val="center"/>
        <w:rPr>
          <w:rFonts w:ascii="Arial" w:eastAsia="Calibri" w:hAnsi="Arial" w:cs="Arial"/>
          <w:b/>
          <w:sz w:val="28"/>
          <w:szCs w:val="24"/>
        </w:rPr>
      </w:pPr>
      <w:r>
        <w:rPr>
          <w:rFonts w:ascii="Arial" w:eastAsia="Calibri" w:hAnsi="Arial" w:cs="Arial"/>
          <w:b/>
          <w:sz w:val="28"/>
          <w:szCs w:val="24"/>
        </w:rPr>
        <w:t>MANAGEMENT OF CONTRACTORS</w:t>
      </w:r>
    </w:p>
    <w:p w:rsidR="00640458" w:rsidRPr="00640458" w:rsidRDefault="00640458" w:rsidP="00640458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640458" w:rsidRPr="00640458" w:rsidRDefault="00640458" w:rsidP="00640458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640458">
        <w:rPr>
          <w:rFonts w:ascii="Arial" w:eastAsia="Calibri" w:hAnsi="Arial" w:cs="Arial"/>
          <w:b/>
          <w:sz w:val="24"/>
          <w:szCs w:val="24"/>
        </w:rPr>
        <w:t>Date:</w:t>
      </w:r>
      <w:r w:rsidRPr="00640458">
        <w:rPr>
          <w:rFonts w:ascii="Arial" w:eastAsia="Calibri" w:hAnsi="Arial" w:cs="Arial"/>
          <w:b/>
          <w:sz w:val="24"/>
          <w:szCs w:val="24"/>
        </w:rPr>
        <w:tab/>
      </w:r>
      <w:r w:rsidRPr="00640458">
        <w:rPr>
          <w:rFonts w:ascii="Arial" w:eastAsia="Calibri" w:hAnsi="Arial" w:cs="Arial"/>
          <w:b/>
          <w:sz w:val="24"/>
          <w:szCs w:val="24"/>
        </w:rPr>
        <w:tab/>
        <w:t>1 October 2017</w:t>
      </w:r>
    </w:p>
    <w:p w:rsidR="00640458" w:rsidRPr="00640458" w:rsidRDefault="00640458" w:rsidP="00640458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640458" w:rsidRPr="00640458" w:rsidRDefault="00640458" w:rsidP="00640458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640458">
        <w:rPr>
          <w:rFonts w:ascii="Arial" w:eastAsia="Calibri" w:hAnsi="Arial" w:cs="Arial"/>
          <w:b/>
          <w:sz w:val="24"/>
          <w:szCs w:val="24"/>
        </w:rPr>
        <w:t>Review date:1 October 2018</w:t>
      </w:r>
    </w:p>
    <w:p w:rsidR="00640458" w:rsidRDefault="00640458" w:rsidP="0053217C">
      <w:pPr>
        <w:spacing w:after="0"/>
        <w:rPr>
          <w:rFonts w:ascii="Arial" w:hAnsi="Arial" w:cs="Arial"/>
          <w:b/>
          <w:sz w:val="24"/>
          <w:szCs w:val="24"/>
        </w:rPr>
      </w:pPr>
    </w:p>
    <w:p w:rsidR="00640458" w:rsidRDefault="00640458" w:rsidP="0053217C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50165</wp:posOffset>
                </wp:positionV>
                <wp:extent cx="58578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8179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.95pt" to="46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" strokecolor="#4579b8 [3044]"/>
            </w:pict>
          </mc:Fallback>
        </mc:AlternateContent>
      </w:r>
      <w:bookmarkEnd w:id="0"/>
    </w:p>
    <w:p w:rsidR="0053217C" w:rsidRPr="0053217C" w:rsidRDefault="0053217C" w:rsidP="0053217C">
      <w:pPr>
        <w:spacing w:after="0"/>
        <w:rPr>
          <w:rFonts w:ascii="Arial" w:hAnsi="Arial" w:cs="Arial"/>
          <w:b/>
          <w:sz w:val="24"/>
          <w:szCs w:val="24"/>
        </w:rPr>
      </w:pPr>
    </w:p>
    <w:p w:rsidR="003B2954" w:rsidRDefault="003B2954" w:rsidP="0053217C">
      <w:p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Omega Care Group</w:t>
      </w:r>
      <w:r w:rsidR="0053217C">
        <w:rPr>
          <w:rFonts w:ascii="Arial" w:hAnsi="Arial" w:cs="Arial"/>
          <w:sz w:val="24"/>
          <w:szCs w:val="24"/>
        </w:rPr>
        <w:t>’</w:t>
      </w:r>
      <w:r w:rsidRPr="0053217C">
        <w:rPr>
          <w:rFonts w:ascii="Arial" w:hAnsi="Arial" w:cs="Arial"/>
          <w:sz w:val="24"/>
          <w:szCs w:val="24"/>
        </w:rPr>
        <w:t xml:space="preserve">s procedures are informed by the </w:t>
      </w:r>
      <w:r w:rsidR="009B4384" w:rsidRPr="0053217C">
        <w:rPr>
          <w:rFonts w:ascii="Arial" w:hAnsi="Arial" w:cs="Arial"/>
          <w:sz w:val="24"/>
          <w:szCs w:val="24"/>
        </w:rPr>
        <w:t xml:space="preserve">requirements of the </w:t>
      </w:r>
      <w:r w:rsidRPr="0053217C">
        <w:rPr>
          <w:rFonts w:ascii="Arial" w:hAnsi="Arial" w:cs="Arial"/>
          <w:sz w:val="24"/>
          <w:szCs w:val="24"/>
        </w:rPr>
        <w:t>Health and S</w:t>
      </w:r>
      <w:r w:rsidR="0053217C">
        <w:rPr>
          <w:rFonts w:ascii="Arial" w:hAnsi="Arial" w:cs="Arial"/>
          <w:sz w:val="24"/>
          <w:szCs w:val="24"/>
        </w:rPr>
        <w:t>afety a</w:t>
      </w:r>
      <w:r w:rsidR="006819A6" w:rsidRPr="0053217C">
        <w:rPr>
          <w:rFonts w:ascii="Arial" w:hAnsi="Arial" w:cs="Arial"/>
          <w:sz w:val="24"/>
          <w:szCs w:val="24"/>
        </w:rPr>
        <w:t>t Work R</w:t>
      </w:r>
      <w:r w:rsidRPr="0053217C">
        <w:rPr>
          <w:rFonts w:ascii="Arial" w:hAnsi="Arial" w:cs="Arial"/>
          <w:sz w:val="24"/>
          <w:szCs w:val="24"/>
        </w:rPr>
        <w:t>egulations 1999.</w:t>
      </w:r>
    </w:p>
    <w:p w:rsidR="0053217C" w:rsidRPr="0053217C" w:rsidRDefault="0053217C" w:rsidP="0053217C">
      <w:pPr>
        <w:spacing w:after="0"/>
        <w:rPr>
          <w:rFonts w:ascii="Arial" w:hAnsi="Arial" w:cs="Arial"/>
          <w:sz w:val="24"/>
          <w:szCs w:val="24"/>
        </w:rPr>
      </w:pPr>
    </w:p>
    <w:p w:rsidR="003B2954" w:rsidRDefault="0053217C" w:rsidP="005321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</w:t>
      </w:r>
      <w:r w:rsidR="003B2954" w:rsidRPr="0053217C">
        <w:rPr>
          <w:rFonts w:ascii="Arial" w:hAnsi="Arial" w:cs="Arial"/>
          <w:sz w:val="24"/>
          <w:szCs w:val="24"/>
        </w:rPr>
        <w:t>rganisation recognises that in addition to its responsibilities to staff and the young people engaged with its work, that it also has a duty of care to contractors carrying out work on its behalf.</w:t>
      </w:r>
      <w:r>
        <w:rPr>
          <w:rFonts w:ascii="Arial" w:hAnsi="Arial" w:cs="Arial"/>
          <w:sz w:val="24"/>
          <w:szCs w:val="24"/>
        </w:rPr>
        <w:t xml:space="preserve">  This requires the o</w:t>
      </w:r>
      <w:r w:rsidR="003B2954" w:rsidRPr="0053217C">
        <w:rPr>
          <w:rFonts w:ascii="Arial" w:hAnsi="Arial" w:cs="Arial"/>
          <w:sz w:val="24"/>
          <w:szCs w:val="24"/>
        </w:rPr>
        <w:t>rganisation to ensure that the premises are safe to work in, and that contractors are employing safe working practices.</w:t>
      </w:r>
    </w:p>
    <w:p w:rsidR="0053217C" w:rsidRPr="0053217C" w:rsidRDefault="0053217C" w:rsidP="0053217C">
      <w:pPr>
        <w:spacing w:after="0"/>
        <w:rPr>
          <w:rFonts w:ascii="Arial" w:hAnsi="Arial" w:cs="Arial"/>
          <w:sz w:val="24"/>
          <w:szCs w:val="24"/>
        </w:rPr>
      </w:pPr>
    </w:p>
    <w:p w:rsidR="00711CFF" w:rsidRDefault="003B2954" w:rsidP="0053217C">
      <w:p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 xml:space="preserve">Omega Care Group and its contractors have </w:t>
      </w:r>
      <w:r w:rsidR="00711CFF" w:rsidRPr="0053217C">
        <w:rPr>
          <w:rFonts w:ascii="Arial" w:hAnsi="Arial" w:cs="Arial"/>
          <w:sz w:val="24"/>
          <w:szCs w:val="24"/>
        </w:rPr>
        <w:t xml:space="preserve">legal responsibilities </w:t>
      </w:r>
      <w:r w:rsidR="0053217C" w:rsidRPr="0053217C">
        <w:rPr>
          <w:rFonts w:ascii="Arial" w:hAnsi="Arial" w:cs="Arial"/>
          <w:sz w:val="24"/>
          <w:szCs w:val="24"/>
        </w:rPr>
        <w:t>under health and safety regulati</w:t>
      </w:r>
      <w:r w:rsidR="00711CFF" w:rsidRPr="0053217C">
        <w:rPr>
          <w:rFonts w:ascii="Arial" w:hAnsi="Arial" w:cs="Arial"/>
          <w:sz w:val="24"/>
          <w:szCs w:val="24"/>
        </w:rPr>
        <w:t>ons dealing with specific hazards.</w:t>
      </w:r>
    </w:p>
    <w:p w:rsidR="0053217C" w:rsidRPr="0053217C" w:rsidRDefault="0053217C" w:rsidP="0053217C">
      <w:pPr>
        <w:spacing w:after="0"/>
        <w:rPr>
          <w:rFonts w:ascii="Arial" w:hAnsi="Arial" w:cs="Arial"/>
          <w:sz w:val="24"/>
          <w:szCs w:val="24"/>
        </w:rPr>
      </w:pPr>
    </w:p>
    <w:p w:rsidR="00711CFF" w:rsidRPr="0053217C" w:rsidRDefault="00711CFF" w:rsidP="0053217C">
      <w:p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This includes:</w:t>
      </w:r>
    </w:p>
    <w:p w:rsidR="00711CFF" w:rsidRPr="0053217C" w:rsidRDefault="00711CFF" w:rsidP="0053217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 xml:space="preserve"> COSHH Regulations 1999</w:t>
      </w:r>
    </w:p>
    <w:p w:rsidR="00711CFF" w:rsidRPr="0053217C" w:rsidRDefault="00711CFF" w:rsidP="0053217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Control of Lead At Work Regulations 1998</w:t>
      </w:r>
    </w:p>
    <w:p w:rsidR="00711CFF" w:rsidRDefault="00711CFF" w:rsidP="0053217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 xml:space="preserve">Control of Asbestos </w:t>
      </w:r>
      <w:proofErr w:type="gramStart"/>
      <w:r w:rsidRPr="0053217C">
        <w:rPr>
          <w:rFonts w:ascii="Arial" w:hAnsi="Arial" w:cs="Arial"/>
          <w:sz w:val="24"/>
          <w:szCs w:val="24"/>
        </w:rPr>
        <w:t>At</w:t>
      </w:r>
      <w:proofErr w:type="gramEnd"/>
      <w:r w:rsidRPr="0053217C">
        <w:rPr>
          <w:rFonts w:ascii="Arial" w:hAnsi="Arial" w:cs="Arial"/>
          <w:sz w:val="24"/>
          <w:szCs w:val="24"/>
        </w:rPr>
        <w:t xml:space="preserve"> Work Regulations 1987</w:t>
      </w:r>
      <w:r w:rsidR="0053217C">
        <w:rPr>
          <w:rFonts w:ascii="Arial" w:hAnsi="Arial" w:cs="Arial"/>
          <w:sz w:val="24"/>
          <w:szCs w:val="24"/>
        </w:rPr>
        <w:t>.</w:t>
      </w:r>
    </w:p>
    <w:p w:rsidR="0053217C" w:rsidRPr="0053217C" w:rsidRDefault="0053217C" w:rsidP="0053217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</w:p>
    <w:p w:rsidR="00711CFF" w:rsidRDefault="00711CFF" w:rsidP="0053217C">
      <w:p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Contractors will be appo</w:t>
      </w:r>
      <w:r w:rsidR="0053217C">
        <w:rPr>
          <w:rFonts w:ascii="Arial" w:hAnsi="Arial" w:cs="Arial"/>
          <w:sz w:val="24"/>
          <w:szCs w:val="24"/>
        </w:rPr>
        <w:t>inted by the Director or their r</w:t>
      </w:r>
      <w:r w:rsidRPr="0053217C">
        <w:rPr>
          <w:rFonts w:ascii="Arial" w:hAnsi="Arial" w:cs="Arial"/>
          <w:sz w:val="24"/>
          <w:szCs w:val="24"/>
        </w:rPr>
        <w:t>epresentative, and day to day monitoring of the contracted work will be undertaken by the Manager of the unit concerned.</w:t>
      </w:r>
    </w:p>
    <w:p w:rsidR="0053217C" w:rsidRPr="0053217C" w:rsidRDefault="0053217C" w:rsidP="0053217C">
      <w:pPr>
        <w:spacing w:after="0"/>
        <w:rPr>
          <w:rFonts w:ascii="Arial" w:hAnsi="Arial" w:cs="Arial"/>
          <w:sz w:val="24"/>
          <w:szCs w:val="24"/>
        </w:rPr>
      </w:pPr>
    </w:p>
    <w:p w:rsidR="00711CFF" w:rsidRPr="0053217C" w:rsidRDefault="00711CFF" w:rsidP="0053217C">
      <w:pPr>
        <w:spacing w:after="0"/>
        <w:rPr>
          <w:rFonts w:ascii="Arial" w:hAnsi="Arial" w:cs="Arial"/>
          <w:b/>
          <w:sz w:val="24"/>
          <w:szCs w:val="24"/>
        </w:rPr>
      </w:pPr>
      <w:r w:rsidRPr="0053217C">
        <w:rPr>
          <w:rFonts w:ascii="Arial" w:hAnsi="Arial" w:cs="Arial"/>
          <w:b/>
          <w:sz w:val="24"/>
          <w:szCs w:val="24"/>
        </w:rPr>
        <w:t>Measures to Ensure Safety</w:t>
      </w:r>
    </w:p>
    <w:p w:rsidR="00711CFF" w:rsidRPr="0053217C" w:rsidRDefault="00711CFF" w:rsidP="0053217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All areas of work will be clearly identified, and agreed.</w:t>
      </w:r>
    </w:p>
    <w:p w:rsidR="00711CFF" w:rsidRPr="0053217C" w:rsidRDefault="0053217C" w:rsidP="0053217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</w:t>
      </w:r>
      <w:r w:rsidR="00711CFF" w:rsidRPr="0053217C">
        <w:rPr>
          <w:rFonts w:ascii="Arial" w:hAnsi="Arial" w:cs="Arial"/>
          <w:sz w:val="24"/>
          <w:szCs w:val="24"/>
        </w:rPr>
        <w:t>ontractor should demonstrate a level of competence appropriate to the work undertaken.</w:t>
      </w:r>
      <w:r w:rsidR="00BE0625" w:rsidRPr="0053217C">
        <w:rPr>
          <w:rFonts w:ascii="Arial" w:hAnsi="Arial" w:cs="Arial"/>
          <w:sz w:val="24"/>
          <w:szCs w:val="24"/>
        </w:rPr>
        <w:t xml:space="preserve"> This means that they must possess sufficient skills and knowledge to carry out the work without risk to Health and Safety. References </w:t>
      </w:r>
      <w:r w:rsidR="00BE0625" w:rsidRPr="0053217C">
        <w:rPr>
          <w:rFonts w:ascii="Arial" w:hAnsi="Arial" w:cs="Arial"/>
          <w:sz w:val="24"/>
          <w:szCs w:val="24"/>
        </w:rPr>
        <w:lastRenderedPageBreak/>
        <w:t>shou</w:t>
      </w:r>
      <w:r>
        <w:rPr>
          <w:rFonts w:ascii="Arial" w:hAnsi="Arial" w:cs="Arial"/>
          <w:sz w:val="24"/>
          <w:szCs w:val="24"/>
        </w:rPr>
        <w:t>ld be sought and copies of the c</w:t>
      </w:r>
      <w:r w:rsidR="00BE0625" w:rsidRPr="0053217C">
        <w:rPr>
          <w:rFonts w:ascii="Arial" w:hAnsi="Arial" w:cs="Arial"/>
          <w:sz w:val="24"/>
          <w:szCs w:val="24"/>
        </w:rPr>
        <w:t>ont</w:t>
      </w:r>
      <w:r>
        <w:rPr>
          <w:rFonts w:ascii="Arial" w:hAnsi="Arial" w:cs="Arial"/>
          <w:sz w:val="24"/>
          <w:szCs w:val="24"/>
        </w:rPr>
        <w:t>ractor’s Health and S</w:t>
      </w:r>
      <w:r w:rsidR="00BE0625" w:rsidRPr="0053217C">
        <w:rPr>
          <w:rFonts w:ascii="Arial" w:hAnsi="Arial" w:cs="Arial"/>
          <w:sz w:val="24"/>
          <w:szCs w:val="24"/>
        </w:rPr>
        <w:t>afety Policy reviewed.</w:t>
      </w:r>
    </w:p>
    <w:p w:rsidR="00BE0625" w:rsidRPr="0053217C" w:rsidRDefault="00BE0625" w:rsidP="0053217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Assess the risks of the work.</w:t>
      </w:r>
    </w:p>
    <w:p w:rsidR="00BE0625" w:rsidRPr="0053217C" w:rsidRDefault="0053217C" w:rsidP="0053217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</w:t>
      </w:r>
      <w:r w:rsidR="00BE0625" w:rsidRPr="0053217C">
        <w:rPr>
          <w:rFonts w:ascii="Arial" w:hAnsi="Arial" w:cs="Arial"/>
          <w:sz w:val="24"/>
          <w:szCs w:val="24"/>
        </w:rPr>
        <w:t>ontractor should carry out an Assessment o</w:t>
      </w:r>
      <w:r>
        <w:rPr>
          <w:rFonts w:ascii="Arial" w:hAnsi="Arial" w:cs="Arial"/>
          <w:sz w:val="24"/>
          <w:szCs w:val="24"/>
        </w:rPr>
        <w:t>f Risks and share this with the o</w:t>
      </w:r>
      <w:r w:rsidR="00BE0625" w:rsidRPr="0053217C">
        <w:rPr>
          <w:rFonts w:ascii="Arial" w:hAnsi="Arial" w:cs="Arial"/>
          <w:sz w:val="24"/>
          <w:szCs w:val="24"/>
        </w:rPr>
        <w:t xml:space="preserve">rganisation, </w:t>
      </w:r>
      <w:r>
        <w:rPr>
          <w:rFonts w:ascii="Arial" w:hAnsi="Arial" w:cs="Arial"/>
          <w:sz w:val="24"/>
          <w:szCs w:val="24"/>
        </w:rPr>
        <w:t>which</w:t>
      </w:r>
      <w:r w:rsidR="00BE0625" w:rsidRPr="0053217C">
        <w:rPr>
          <w:rFonts w:ascii="Arial" w:hAnsi="Arial" w:cs="Arial"/>
          <w:sz w:val="24"/>
          <w:szCs w:val="24"/>
        </w:rPr>
        <w:t xml:space="preserve"> should undertake </w:t>
      </w:r>
      <w:r>
        <w:rPr>
          <w:rFonts w:ascii="Arial" w:hAnsi="Arial" w:cs="Arial"/>
          <w:sz w:val="24"/>
          <w:szCs w:val="24"/>
        </w:rPr>
        <w:t>its</w:t>
      </w:r>
      <w:r w:rsidR="00BE0625" w:rsidRPr="0053217C">
        <w:rPr>
          <w:rFonts w:ascii="Arial" w:hAnsi="Arial" w:cs="Arial"/>
          <w:sz w:val="24"/>
          <w:szCs w:val="24"/>
        </w:rPr>
        <w:t xml:space="preserve"> own Assessment. An overarching Risk Assessment and any necessary control measures will then be agreed. This includes an assessment of the </w:t>
      </w:r>
      <w:r w:rsidRPr="0053217C">
        <w:rPr>
          <w:rFonts w:ascii="Arial" w:hAnsi="Arial" w:cs="Arial"/>
          <w:sz w:val="24"/>
          <w:szCs w:val="24"/>
        </w:rPr>
        <w:t>possible health and safety impact of the organisation’s work on the contractor.</w:t>
      </w:r>
    </w:p>
    <w:p w:rsidR="00BE0625" w:rsidRDefault="00BE0625" w:rsidP="0053217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All staff will be provided with information and relevant instruction re</w:t>
      </w:r>
      <w:r w:rsidR="0053217C">
        <w:rPr>
          <w:rFonts w:ascii="Arial" w:hAnsi="Arial" w:cs="Arial"/>
          <w:sz w:val="24"/>
          <w:szCs w:val="24"/>
        </w:rPr>
        <w:t>garding</w:t>
      </w:r>
      <w:r w:rsidRPr="0053217C">
        <w:rPr>
          <w:rFonts w:ascii="Arial" w:hAnsi="Arial" w:cs="Arial"/>
          <w:sz w:val="24"/>
          <w:szCs w:val="24"/>
        </w:rPr>
        <w:t xml:space="preserve"> the </w:t>
      </w:r>
      <w:r w:rsidR="0053217C" w:rsidRPr="0053217C">
        <w:rPr>
          <w:rFonts w:ascii="Arial" w:hAnsi="Arial" w:cs="Arial"/>
          <w:sz w:val="24"/>
          <w:szCs w:val="24"/>
        </w:rPr>
        <w:t xml:space="preserve">health and safety implications </w:t>
      </w:r>
      <w:r w:rsidRPr="0053217C">
        <w:rPr>
          <w:rFonts w:ascii="Arial" w:hAnsi="Arial" w:cs="Arial"/>
          <w:sz w:val="24"/>
          <w:szCs w:val="24"/>
        </w:rPr>
        <w:t>of the work being carried out.</w:t>
      </w:r>
    </w:p>
    <w:p w:rsidR="0053217C" w:rsidRPr="0053217C" w:rsidRDefault="0053217C" w:rsidP="0053217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BE0625" w:rsidRPr="0053217C" w:rsidRDefault="00AA7F90" w:rsidP="0053217C">
      <w:p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b/>
          <w:sz w:val="24"/>
          <w:szCs w:val="24"/>
        </w:rPr>
        <w:t>Supervision and Management of Contractors</w:t>
      </w:r>
    </w:p>
    <w:p w:rsidR="00BE0625" w:rsidRPr="0053217C" w:rsidRDefault="00AA7F90" w:rsidP="0053217C">
      <w:p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Contractors will be overseen to a level proportionate to the level of risk attached to the work</w:t>
      </w:r>
      <w:r w:rsidR="0053217C">
        <w:rPr>
          <w:rFonts w:ascii="Arial" w:hAnsi="Arial" w:cs="Arial"/>
          <w:sz w:val="24"/>
          <w:szCs w:val="24"/>
        </w:rPr>
        <w:t>. T</w:t>
      </w:r>
      <w:r w:rsidRPr="0053217C">
        <w:rPr>
          <w:rFonts w:ascii="Arial" w:hAnsi="Arial" w:cs="Arial"/>
          <w:sz w:val="24"/>
          <w:szCs w:val="24"/>
        </w:rPr>
        <w:t>his includes:</w:t>
      </w:r>
    </w:p>
    <w:p w:rsidR="00AA7F90" w:rsidRPr="0053217C" w:rsidRDefault="00AA7F90" w:rsidP="0053217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COHSS requirements.</w:t>
      </w:r>
    </w:p>
    <w:p w:rsidR="00AA7F90" w:rsidRPr="0053217C" w:rsidRDefault="00AA7F90" w:rsidP="0053217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Safe storage</w:t>
      </w:r>
    </w:p>
    <w:p w:rsidR="00AA7F90" w:rsidRPr="0053217C" w:rsidRDefault="00AA7F90" w:rsidP="0053217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Equipment in use</w:t>
      </w:r>
    </w:p>
    <w:p w:rsidR="00AA7F90" w:rsidRPr="0053217C" w:rsidRDefault="00AA7F90" w:rsidP="0053217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Personal protective equipment.</w:t>
      </w:r>
    </w:p>
    <w:p w:rsidR="00AA7F90" w:rsidRPr="0053217C" w:rsidRDefault="00AA7F90" w:rsidP="0053217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Contractor numbers on site.</w:t>
      </w:r>
    </w:p>
    <w:p w:rsidR="00AA7F90" w:rsidRPr="0053217C" w:rsidRDefault="00AA7F90" w:rsidP="0053217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Accident reporting and the safeguarding of records.</w:t>
      </w:r>
    </w:p>
    <w:p w:rsidR="00AA7F90" w:rsidRPr="0053217C" w:rsidRDefault="0053217C" w:rsidP="0053217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all c</w:t>
      </w:r>
      <w:r w:rsidR="00AA7F90" w:rsidRPr="0053217C">
        <w:rPr>
          <w:rFonts w:ascii="Arial" w:hAnsi="Arial" w:cs="Arial"/>
          <w:sz w:val="24"/>
          <w:szCs w:val="24"/>
        </w:rPr>
        <w:t>ontractors sign in and off site.</w:t>
      </w:r>
    </w:p>
    <w:p w:rsidR="00AA7F90" w:rsidRDefault="00AA7F90" w:rsidP="0053217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Ensuring health, wellbeing and safeguarding of the young people on the unit.</w:t>
      </w:r>
    </w:p>
    <w:p w:rsidR="0053217C" w:rsidRPr="0053217C" w:rsidRDefault="0053217C" w:rsidP="0053217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AA7F90" w:rsidRPr="0053217C" w:rsidRDefault="00AA7F90" w:rsidP="0053217C">
      <w:pPr>
        <w:spacing w:after="0"/>
        <w:rPr>
          <w:rFonts w:ascii="Arial" w:hAnsi="Arial" w:cs="Arial"/>
          <w:b/>
          <w:sz w:val="24"/>
          <w:szCs w:val="24"/>
        </w:rPr>
      </w:pPr>
      <w:r w:rsidRPr="0053217C">
        <w:rPr>
          <w:rFonts w:ascii="Arial" w:hAnsi="Arial" w:cs="Arial"/>
          <w:b/>
          <w:sz w:val="24"/>
          <w:szCs w:val="24"/>
        </w:rPr>
        <w:t>Young People</w:t>
      </w:r>
    </w:p>
    <w:p w:rsidR="00AA7F90" w:rsidRDefault="00AA7F90" w:rsidP="0053217C">
      <w:p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All young people impacted on in any way by work undertaken on a unit, will be kept fully informed by staff of progress and of any necessary changes to routine or access for the duration of the job.</w:t>
      </w:r>
      <w:r w:rsidR="003710AA" w:rsidRPr="0053217C">
        <w:rPr>
          <w:rFonts w:ascii="Arial" w:hAnsi="Arial" w:cs="Arial"/>
          <w:sz w:val="24"/>
          <w:szCs w:val="24"/>
        </w:rPr>
        <w:t xml:space="preserve"> They must also be informed of any control measures put in place.</w:t>
      </w:r>
    </w:p>
    <w:p w:rsidR="0053217C" w:rsidRPr="0053217C" w:rsidRDefault="0053217C" w:rsidP="0053217C">
      <w:pPr>
        <w:spacing w:after="0"/>
        <w:rPr>
          <w:rFonts w:ascii="Arial" w:hAnsi="Arial" w:cs="Arial"/>
          <w:sz w:val="24"/>
          <w:szCs w:val="24"/>
        </w:rPr>
      </w:pPr>
    </w:p>
    <w:p w:rsidR="003710AA" w:rsidRDefault="003710AA" w:rsidP="0053217C">
      <w:p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>Young people should be informed in advance if access to their room is required, and they should vacate this when work is in progress.</w:t>
      </w:r>
    </w:p>
    <w:p w:rsidR="0053217C" w:rsidRPr="0053217C" w:rsidRDefault="0053217C" w:rsidP="0053217C">
      <w:pPr>
        <w:spacing w:after="0"/>
        <w:rPr>
          <w:rFonts w:ascii="Arial" w:hAnsi="Arial" w:cs="Arial"/>
          <w:sz w:val="24"/>
          <w:szCs w:val="24"/>
        </w:rPr>
      </w:pPr>
    </w:p>
    <w:p w:rsidR="003710AA" w:rsidRPr="0053217C" w:rsidRDefault="003710AA" w:rsidP="0053217C">
      <w:pPr>
        <w:spacing w:after="0"/>
        <w:rPr>
          <w:rFonts w:ascii="Arial" w:hAnsi="Arial" w:cs="Arial"/>
          <w:sz w:val="24"/>
          <w:szCs w:val="24"/>
        </w:rPr>
      </w:pPr>
      <w:r w:rsidRPr="0053217C">
        <w:rPr>
          <w:rFonts w:ascii="Arial" w:hAnsi="Arial" w:cs="Arial"/>
          <w:sz w:val="24"/>
          <w:szCs w:val="24"/>
        </w:rPr>
        <w:t xml:space="preserve">The </w:t>
      </w:r>
      <w:r w:rsidR="0053217C">
        <w:rPr>
          <w:rFonts w:ascii="Arial" w:hAnsi="Arial" w:cs="Arial"/>
          <w:sz w:val="24"/>
          <w:szCs w:val="24"/>
        </w:rPr>
        <w:t>U</w:t>
      </w:r>
      <w:r w:rsidRPr="0053217C">
        <w:rPr>
          <w:rFonts w:ascii="Arial" w:hAnsi="Arial" w:cs="Arial"/>
          <w:sz w:val="24"/>
          <w:szCs w:val="24"/>
        </w:rPr>
        <w:t>nit</w:t>
      </w:r>
      <w:r w:rsidR="0053217C">
        <w:rPr>
          <w:rFonts w:ascii="Arial" w:hAnsi="Arial" w:cs="Arial"/>
          <w:sz w:val="24"/>
          <w:szCs w:val="24"/>
        </w:rPr>
        <w:t xml:space="preserve"> Manager will undertake a Risk A</w:t>
      </w:r>
      <w:r w:rsidRPr="0053217C">
        <w:rPr>
          <w:rFonts w:ascii="Arial" w:hAnsi="Arial" w:cs="Arial"/>
          <w:sz w:val="24"/>
          <w:szCs w:val="24"/>
        </w:rPr>
        <w:t>ssessment re</w:t>
      </w:r>
      <w:r w:rsidR="0053217C">
        <w:rPr>
          <w:rFonts w:ascii="Arial" w:hAnsi="Arial" w:cs="Arial"/>
          <w:sz w:val="24"/>
          <w:szCs w:val="24"/>
        </w:rPr>
        <w:t>lating to c</w:t>
      </w:r>
      <w:r w:rsidRPr="0053217C">
        <w:rPr>
          <w:rFonts w:ascii="Arial" w:hAnsi="Arial" w:cs="Arial"/>
          <w:sz w:val="24"/>
          <w:szCs w:val="24"/>
        </w:rPr>
        <w:t>ontractors</w:t>
      </w:r>
      <w:r w:rsidR="0053217C">
        <w:rPr>
          <w:rFonts w:ascii="Arial" w:hAnsi="Arial" w:cs="Arial"/>
          <w:sz w:val="24"/>
          <w:szCs w:val="24"/>
        </w:rPr>
        <w:t>’</w:t>
      </w:r>
      <w:r w:rsidRPr="0053217C">
        <w:rPr>
          <w:rFonts w:ascii="Arial" w:hAnsi="Arial" w:cs="Arial"/>
          <w:sz w:val="24"/>
          <w:szCs w:val="24"/>
        </w:rPr>
        <w:t xml:space="preserve"> presence on the unit with regard to maintaining best practice </w:t>
      </w:r>
      <w:r w:rsidR="0053217C">
        <w:rPr>
          <w:rFonts w:ascii="Arial" w:hAnsi="Arial" w:cs="Arial"/>
          <w:sz w:val="24"/>
          <w:szCs w:val="24"/>
        </w:rPr>
        <w:t>on</w:t>
      </w:r>
      <w:r w:rsidRPr="0053217C">
        <w:rPr>
          <w:rFonts w:ascii="Arial" w:hAnsi="Arial" w:cs="Arial"/>
          <w:sz w:val="24"/>
          <w:szCs w:val="24"/>
        </w:rPr>
        <w:t xml:space="preserve"> Safeguarding.</w:t>
      </w:r>
    </w:p>
    <w:sectPr w:rsidR="003710AA" w:rsidRPr="0053217C" w:rsidSect="0053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212A"/>
    <w:multiLevelType w:val="hybridMultilevel"/>
    <w:tmpl w:val="50AA05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25BE"/>
    <w:multiLevelType w:val="hybridMultilevel"/>
    <w:tmpl w:val="5BE612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96543"/>
    <w:multiLevelType w:val="hybridMultilevel"/>
    <w:tmpl w:val="B31E12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954"/>
    <w:rsid w:val="003710AA"/>
    <w:rsid w:val="003B2954"/>
    <w:rsid w:val="003D6384"/>
    <w:rsid w:val="0053217C"/>
    <w:rsid w:val="00534CEC"/>
    <w:rsid w:val="00640458"/>
    <w:rsid w:val="006819A6"/>
    <w:rsid w:val="00711CFF"/>
    <w:rsid w:val="009B4384"/>
    <w:rsid w:val="00AA7F90"/>
    <w:rsid w:val="00B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0AB3"/>
  <w15:docId w15:val="{C0DDE8DC-DBC6-4456-B381-B904B99C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Alekos Aresti</cp:lastModifiedBy>
  <cp:revision>4</cp:revision>
  <dcterms:created xsi:type="dcterms:W3CDTF">2017-10-20T14:16:00Z</dcterms:created>
  <dcterms:modified xsi:type="dcterms:W3CDTF">2017-10-22T19:46:00Z</dcterms:modified>
</cp:coreProperties>
</file>