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Calibri" w:cs="Calibri" w:eastAsia="Calibri" w:hAnsi="Calibri"/>
          <w:b/>
          <w:bCs/>
          <w:color w:val="1F3864"/>
          <w:sz w:val="56"/>
          <w:szCs w:val="56"/>
        </w:rPr>
        <w:t xml:space="preserve">NCMS IoT Platform</w:t>
      </w:r>
    </w:p>
    <w:p>
      <w:pPr>
        <w:spacing w:after="100" w:before="200"/>
        <w:jc w:val="center"/>
      </w:pPr>
      <w:r>
        <w:rPr>
          <w:rFonts w:ascii="Calibri" w:cs="Calibri" w:eastAsia="Calibri" w:hAnsi="Calibri"/>
          <w:color w:val="2E74B5"/>
          <w:sz w:val="36"/>
          <w:szCs w:val="36"/>
        </w:rPr>
        <w:t xml:space="preserve">Solution Overview</w:t>
      </w:r>
    </w:p>
    <w:p>
      <w:pPr>
        <w:spacing w:after="100"/>
        <w:jc w:val="center"/>
      </w:pPr>
      <w:r>
        <w:rPr>
          <w:rFonts w:ascii="Calibri" w:cs="Calibri" w:eastAsia="Calibri" w:hAnsi="Calibri"/>
          <w:i/>
          <w:iCs/>
          <w:color w:val="555555"/>
          <w:sz w:val="22"/>
          <w:szCs w:val="22"/>
        </w:rPr>
        <w:t xml:space="preserve">A guide to what the solution is, how it works, and how it fits into your environment</w:t>
      </w:r>
    </w:p>
    <w:p>
      <w:pPr>
        <w:spacing w:before="800"/>
        <w:jc w:val="center"/>
      </w:pPr>
      <w:r>
        <w:rPr>
          <w:rFonts w:ascii="Calibri" w:cs="Calibri" w:eastAsia="Calibri" w:hAnsi="Calibri"/>
          <w:color w:val="888888"/>
          <w:sz w:val="20"/>
          <w:szCs w:val="20"/>
        </w:rPr>
        <w:t xml:space="preserve">Version 1.0  |  2026</w:t>
      </w:r>
    </w:p>
    <w:p>
      <w:r>
        <w:br w:type="page"/>
      </w:r>
    </w:p>
    <w:p>
      <w:pPr>
        <w:pStyle w:val="Heading1"/>
        <w:spacing w:after="200" w:before="400"/>
      </w:pPr>
      <w:r>
        <w:t xml:space="preserve">1. Purpose of the Solution</w:t>
      </w:r>
    </w:p>
    <w:p>
      <w:pPr>
        <w:spacing w:after="160"/>
      </w:pPr>
      <w:r>
        <w:rPr>
          <w:rFonts w:ascii="Calibri" w:cs="Calibri" w:eastAsia="Calibri" w:hAnsi="Calibri"/>
          <w:sz w:val="22"/>
          <w:szCs w:val="22"/>
        </w:rPr>
        <w:t xml:space="preserve">Organizations that operate a fleet of connected devices — gateways, routers, and similar field equipment — need a reliable way to know what is deployed, whether it is online, and how to keep it up to date. Doing this manually, device by device, does not scale and creates risk: outdated firmware, inconsistent configuration, and no clear record of what changed, when, or by whom.</w:t>
      </w:r>
    </w:p>
    <w:p>
      <w:pPr>
        <w:spacing w:after="160"/>
      </w:pPr>
      <w:r>
        <w:rPr>
          <w:rFonts w:ascii="Calibri" w:cs="Calibri" w:eastAsia="Calibri" w:hAnsi="Calibri"/>
          <w:sz w:val="22"/>
          <w:szCs w:val="22"/>
        </w:rPr>
        <w:t xml:space="preserve">NCMS is a device management platform built to solve this. It gives your team a single place to register devices, monitor their status, and roll out firmware, application, and configuration updates across the fleet — reliably, and with a full record of activity.</w:t>
      </w:r>
    </w:p>
    <w:p>
      <w:pPr>
        <w:pStyle w:val="Heading1"/>
        <w:spacing w:after="200" w:before="400"/>
      </w:pPr>
      <w:r>
        <w:t xml:space="preserve">2. High-Level Architecture</w:t>
      </w:r>
    </w:p>
    <w:p>
      <w:pPr>
        <w:spacing w:after="160"/>
      </w:pPr>
      <w:r>
        <w:rPr>
          <w:rFonts w:ascii="Calibri" w:cs="Calibri" w:eastAsia="Calibri" w:hAnsi="Calibri"/>
          <w:sz w:val="22"/>
          <w:szCs w:val="22"/>
        </w:rPr>
        <w:t xml:space="preserve">At a high level, the solution is made up of a web application your team uses, a database that stores the platform’s data, and a messaging system that keeps the application in constant contact with devices in the field. The diagram below shows how these pieces connect.</w:t>
      </w:r>
    </w:p>
    <w:tbl>
      <w:tblPr>
        <w:tblW w:type="pct" w:w="100%"/>
        <w:tblBorders>
          <w:top w:val="none"/>
          <w:left w:val="none"/>
          <w:bottom w:val="none"/>
          <w:right w:val="none"/>
          <w:insideH w:val="none"/>
          <w:insideV w:val="none"/>
        </w:tblBorders>
      </w:tblPr>
      <w:tblGrid>
        <w:gridCol w:w="2000"/>
        <w:gridCol w:w="500"/>
        <w:gridCol w:w="2000"/>
        <w:gridCol w:w="500"/>
        <w:gridCol w:w="2000"/>
        <w:gridCol w:w="500"/>
        <w:gridCol w:w="2000"/>
      </w:tblGrid>
      <w:tr>
        <w:tc>
          <w:tcPr>
            <w:tcW w:type="dxa" w:w="2000"/>
            <w:shd w:fill="5B7FBD"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Users &amp; Administrators</w:t>
            </w:r>
          </w:p>
          <w:p>
            <w:pPr>
              <w:spacing w:before="40"/>
              <w:jc w:val="center"/>
            </w:pPr>
            <w:r>
              <w:rPr>
                <w:rFonts w:ascii="Calibri" w:cs="Calibri" w:eastAsia="Calibri" w:hAnsi="Calibri"/>
                <w:color w:val="FFFFFF"/>
                <w:sz w:val="15"/>
                <w:szCs w:val="15"/>
              </w:rPr>
              <w:t xml:space="preserve">Web browser</w:t>
            </w:r>
          </w:p>
        </w:tc>
        <w:tc>
          <w:tcPr>
            <w:tcW w:type="dxa" w:w="500"/>
            <w:tcMar>
              <w:top w:type="dxa" w:w="160"/>
              <w:left w:type="dxa" w:w="40"/>
              <w:bottom w:type="dxa" w:w="160"/>
              <w:right w:type="dxa" w:w="40"/>
            </w:tcMar>
          </w:tcPr>
          <w:p>
            <w:pPr>
              <w:jc w:val="center"/>
            </w:pPr>
            <w:r>
              <w:rPr>
                <w:rFonts w:ascii="Calibri" w:cs="Calibri" w:eastAsia="Calibri" w:hAnsi="Calibri"/>
                <w:color w:val="888888"/>
                <w:sz w:val="22"/>
                <w:szCs w:val="22"/>
              </w:rPr>
              <w:t xml:space="preserve">→</w:t>
            </w:r>
          </w:p>
        </w:tc>
        <w:tc>
          <w:tcPr>
            <w:tcW w:type="dxa" w:w="2000"/>
            <w:shd w:fill="2E74B5"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Reverse Proxy</w:t>
            </w:r>
          </w:p>
          <w:p>
            <w:pPr>
              <w:spacing w:before="40"/>
              <w:jc w:val="center"/>
            </w:pPr>
            <w:r>
              <w:rPr>
                <w:rFonts w:ascii="Calibri" w:cs="Calibri" w:eastAsia="Calibri" w:hAnsi="Calibri"/>
                <w:color w:val="FFFFFF"/>
                <w:sz w:val="15"/>
                <w:szCs w:val="15"/>
              </w:rPr>
              <w:t xml:space="preserve">Nginx · TLS</w:t>
            </w:r>
          </w:p>
        </w:tc>
        <w:tc>
          <w:tcPr>
            <w:tcW w:type="dxa" w:w="500"/>
            <w:tcMar>
              <w:top w:type="dxa" w:w="160"/>
              <w:left w:type="dxa" w:w="40"/>
              <w:bottom w:type="dxa" w:w="160"/>
              <w:right w:type="dxa" w:w="40"/>
            </w:tcMar>
          </w:tcPr>
          <w:p>
            <w:pPr>
              <w:jc w:val="center"/>
            </w:pPr>
            <w:r>
              <w:rPr>
                <w:rFonts w:ascii="Calibri" w:cs="Calibri" w:eastAsia="Calibri" w:hAnsi="Calibri"/>
                <w:color w:val="888888"/>
                <w:sz w:val="22"/>
                <w:szCs w:val="22"/>
              </w:rPr>
              <w:t xml:space="preserve">→</w:t>
            </w:r>
          </w:p>
        </w:tc>
        <w:tc>
          <w:tcPr>
            <w:tcW w:type="dxa" w:w="2000"/>
            <w:shd w:fill="1F3864"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Web Application</w:t>
            </w:r>
          </w:p>
          <w:p>
            <w:pPr>
              <w:spacing w:before="40"/>
              <w:jc w:val="center"/>
            </w:pPr>
            <w:r>
              <w:rPr>
                <w:rFonts w:ascii="Calibri" w:cs="Calibri" w:eastAsia="Calibri" w:hAnsi="Calibri"/>
                <w:color w:val="FFFFFF"/>
                <w:sz w:val="15"/>
                <w:szCs w:val="15"/>
              </w:rPr>
              <w:t xml:space="preserve">Admin interface + API</w:t>
            </w:r>
          </w:p>
        </w:tc>
        <w:tc>
          <w:tcPr>
            <w:tcW w:type="dxa" w:w="500"/>
            <w:tcMar>
              <w:top w:type="dxa" w:w="160"/>
              <w:left w:type="dxa" w:w="40"/>
              <w:bottom w:type="dxa" w:w="160"/>
              <w:right w:type="dxa" w:w="40"/>
            </w:tcMar>
          </w:tcPr>
          <w:p>
            <w:pPr>
              <w:jc w:val="center"/>
            </w:pPr>
            <w:r>
              <w:rPr>
                <w:rFonts w:ascii="Calibri" w:cs="Calibri" w:eastAsia="Calibri" w:hAnsi="Calibri"/>
                <w:color w:val="888888"/>
                <w:sz w:val="22"/>
                <w:szCs w:val="22"/>
              </w:rPr>
              <w:t xml:space="preserve">→</w:t>
            </w:r>
          </w:p>
        </w:tc>
        <w:tc>
          <w:tcPr>
            <w:tcW w:type="dxa" w:w="2000"/>
            <w:shd w:fill="4F6D8C"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Database</w:t>
            </w:r>
          </w:p>
          <w:p>
            <w:pPr>
              <w:spacing w:before="40"/>
              <w:jc w:val="center"/>
            </w:pPr>
            <w:r>
              <w:rPr>
                <w:rFonts w:ascii="Calibri" w:cs="Calibri" w:eastAsia="Calibri" w:hAnsi="Calibri"/>
                <w:color w:val="FFFFFF"/>
                <w:sz w:val="15"/>
                <w:szCs w:val="15"/>
              </w:rPr>
              <w:t xml:space="preserve">Stores fleet &amp; config data</w:t>
            </w:r>
          </w:p>
        </w:tc>
      </w:tr>
      <w:tr>
        <w:tc>
          <w:tcPr>
            <w:tcW w:type="dxa" w:w="2000"/>
          </w:tcPr>
          <w:p>
            <w:r>
              <w:t xml:space="preserve"/>
            </w:r>
          </w:p>
        </w:tc>
        <w:tc>
          <w:tcPr>
            <w:tcW w:type="dxa" w:w="500"/>
          </w:tcPr>
          <w:p>
            <w:r>
              <w:t xml:space="preserve"/>
            </w:r>
          </w:p>
        </w:tc>
        <w:tc>
          <w:tcPr>
            <w:tcW w:type="dxa" w:w="2000"/>
          </w:tcPr>
          <w:p>
            <w:r>
              <w:t xml:space="preserve"/>
            </w:r>
          </w:p>
        </w:tc>
        <w:tc>
          <w:tcPr>
            <w:tcW w:type="dxa" w:w="500"/>
          </w:tcPr>
          <w:p>
            <w:r>
              <w:t xml:space="preserve"/>
            </w:r>
          </w:p>
        </w:tc>
        <w:tc>
          <w:tcPr>
            <w:tcW w:type="dxa" w:w="2000"/>
            <w:tcMar>
              <w:top w:type="dxa" w:w="160"/>
              <w:left w:type="dxa" w:w="40"/>
              <w:bottom w:type="dxa" w:w="160"/>
              <w:right w:type="dxa" w:w="40"/>
            </w:tcMar>
          </w:tcPr>
          <w:p>
            <w:pPr>
              <w:jc w:val="center"/>
            </w:pPr>
            <w:r>
              <w:rPr>
                <w:rFonts w:ascii="Calibri" w:cs="Calibri" w:eastAsia="Calibri" w:hAnsi="Calibri"/>
                <w:color w:val="888888"/>
                <w:sz w:val="22"/>
                <w:szCs w:val="22"/>
              </w:rPr>
              <w:t xml:space="preserve">↓</w:t>
            </w:r>
          </w:p>
        </w:tc>
        <w:tc>
          <w:tcPr>
            <w:tcW w:type="dxa" w:w="500"/>
          </w:tcPr>
          <w:p>
            <w:r>
              <w:t xml:space="preserve"/>
            </w:r>
          </w:p>
        </w:tc>
        <w:tc>
          <w:tcPr>
            <w:tcW w:type="dxa" w:w="2000"/>
          </w:tcPr>
          <w:p>
            <w:r>
              <w:t xml:space="preserve"/>
            </w:r>
          </w:p>
        </w:tc>
      </w:tr>
      <w:tr>
        <w:tc>
          <w:tcPr>
            <w:tcW w:type="dxa" w:w="2000"/>
          </w:tcPr>
          <w:p>
            <w:r>
              <w:t xml:space="preserve"/>
            </w:r>
          </w:p>
        </w:tc>
        <w:tc>
          <w:tcPr>
            <w:tcW w:type="dxa" w:w="500"/>
          </w:tcPr>
          <w:p>
            <w:r>
              <w:t xml:space="preserve"/>
            </w:r>
          </w:p>
        </w:tc>
        <w:tc>
          <w:tcPr>
            <w:tcW w:type="dxa" w:w="2000"/>
          </w:tcPr>
          <w:p>
            <w:r>
              <w:t xml:space="preserve"/>
            </w:r>
          </w:p>
        </w:tc>
        <w:tc>
          <w:tcPr>
            <w:tcW w:type="dxa" w:w="500"/>
          </w:tcPr>
          <w:p>
            <w:r>
              <w:t xml:space="preserve"/>
            </w:r>
          </w:p>
        </w:tc>
        <w:tc>
          <w:tcPr>
            <w:tcW w:type="dxa" w:w="2000"/>
            <w:shd w:fill="6C8CBF"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Messaging System</w:t>
            </w:r>
          </w:p>
          <w:p>
            <w:pPr>
              <w:spacing w:before="40"/>
              <w:jc w:val="center"/>
            </w:pPr>
            <w:r>
              <w:rPr>
                <w:rFonts w:ascii="Calibri" w:cs="Calibri" w:eastAsia="Calibri" w:hAnsi="Calibri"/>
                <w:color w:val="FFFFFF"/>
                <w:sz w:val="15"/>
                <w:szCs w:val="15"/>
              </w:rPr>
              <w:t xml:space="preserve">MQTT broker</w:t>
            </w:r>
          </w:p>
        </w:tc>
        <w:tc>
          <w:tcPr>
            <w:tcW w:type="dxa" w:w="500"/>
            <w:tcMar>
              <w:top w:type="dxa" w:w="160"/>
              <w:left w:type="dxa" w:w="40"/>
              <w:bottom w:type="dxa" w:w="160"/>
              <w:right w:type="dxa" w:w="40"/>
            </w:tcMar>
          </w:tcPr>
          <w:p>
            <w:pPr>
              <w:jc w:val="center"/>
            </w:pPr>
            <w:r>
              <w:rPr>
                <w:rFonts w:ascii="Calibri" w:cs="Calibri" w:eastAsia="Calibri" w:hAnsi="Calibri"/>
                <w:color w:val="888888"/>
                <w:sz w:val="22"/>
                <w:szCs w:val="22"/>
              </w:rPr>
              <w:t xml:space="preserve">→</w:t>
            </w:r>
          </w:p>
        </w:tc>
        <w:tc>
          <w:tcPr>
            <w:tcW w:type="dxa" w:w="2000"/>
            <w:shd w:fill="8CA6C7" w:val="clear"/>
            <w:tcMar>
              <w:top w:type="dxa" w:w="160"/>
              <w:left w:type="dxa" w:w="120"/>
              <w:bottom w:type="dxa" w:w="160"/>
              <w:right w:type="dxa" w:w="120"/>
            </w:tcMar>
          </w:tcPr>
          <w:p>
            <w:pPr>
              <w:jc w:val="center"/>
            </w:pPr>
            <w:r>
              <w:rPr>
                <w:rFonts w:ascii="Calibri" w:cs="Calibri" w:eastAsia="Calibri" w:hAnsi="Calibri"/>
                <w:b/>
                <w:bCs/>
                <w:color w:val="FFFFFF"/>
                <w:sz w:val="20"/>
                <w:szCs w:val="20"/>
              </w:rPr>
              <w:t xml:space="preserve">Field Devices</w:t>
            </w:r>
          </w:p>
          <w:p>
            <w:pPr>
              <w:spacing w:before="40"/>
              <w:jc w:val="center"/>
            </w:pPr>
            <w:r>
              <w:rPr>
                <w:rFonts w:ascii="Calibri" w:cs="Calibri" w:eastAsia="Calibri" w:hAnsi="Calibri"/>
                <w:color w:val="FFFFFF"/>
                <w:sz w:val="15"/>
                <w:szCs w:val="15"/>
              </w:rPr>
              <w:t xml:space="preserve">Gateways · routers</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Users access the platform through a standard web browser. All traffic passes through a reverse proxy, which handles encryption and routes requests to the application. The application stores its data in a dedicated database, and communicates with field devices through a messaging system (MQTT), which is the industry-standard approach for reliable, low-overhead device communication at scale.</w:t>
      </w:r>
    </w:p>
    <w:p>
      <w:pPr>
        <w:pStyle w:val="Heading1"/>
        <w:spacing w:after="200" w:before="400"/>
      </w:pPr>
      <w:r>
        <w:t xml:space="preserve">3. Key Capabilities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Capability</w:t>
            </w:r>
          </w:p>
        </w:tc>
        <w:tc>
          <w:tcPr>
            <w:tcW w:type="dxa" w:w="6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What it provides</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Device Registration &amp; Monitoring</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Register devices into the platform and see, at a glance, which are online, offline, or inactive across the entire fleet.</w:t>
            </w:r>
          </w:p>
        </w:tc>
      </w:tr>
      <w:tr>
        <w:tc>
          <w:tcPr>
            <w:tcW w:type="dxa" w:w="3000"/>
            <w:shd w:fill="F7F9FC" w:val="clear"/>
            <w:tcMar>
              <w:top w:type="dxa" w:w="90"/>
              <w:left w:type="dxa" w:w="120"/>
              <w:bottom w:type="dxa" w:w="90"/>
              <w:right w:type="dxa" w:w="120"/>
            </w:tcMar>
          </w:tcPr>
          <w:p>
            <w:r>
              <w:rPr>
                <w:rFonts w:ascii="Calibri" w:cs="Calibri" w:eastAsia="Calibri" w:hAnsi="Calibri"/>
                <w:sz w:val="20"/>
                <w:szCs w:val="20"/>
              </w:rPr>
              <w:t xml:space="preserve">Firmware Management</w:t>
            </w:r>
          </w:p>
        </w:tc>
        <w:tc>
          <w:tcPr>
            <w:tcW w:type="dxa" w:w="6300"/>
            <w:shd w:fill="F7F9FC" w:val="clear"/>
            <w:tcMar>
              <w:top w:type="dxa" w:w="90"/>
              <w:left w:type="dxa" w:w="120"/>
              <w:bottom w:type="dxa" w:w="90"/>
              <w:right w:type="dxa" w:w="120"/>
            </w:tcMar>
          </w:tcPr>
          <w:p>
            <w:r>
              <w:rPr>
                <w:rFonts w:ascii="Calibri" w:cs="Calibri" w:eastAsia="Calibri" w:hAnsi="Calibri"/>
                <w:sz w:val="20"/>
                <w:szCs w:val="20"/>
              </w:rPr>
              <w:t xml:space="preserve">Upload firmware versions, define which devices they apply to, and roll them out to selected devices with progress tracking.</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Application Management</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Distribute and version applications that run on devices, independently of firmware updates.</w:t>
            </w:r>
          </w:p>
        </w:tc>
      </w:tr>
      <w:tr>
        <w:tc>
          <w:tcPr>
            <w:tcW w:type="dxa" w:w="3000"/>
            <w:shd w:fill="F7F9FC" w:val="clear"/>
            <w:tcMar>
              <w:top w:type="dxa" w:w="90"/>
              <w:left w:type="dxa" w:w="120"/>
              <w:bottom w:type="dxa" w:w="90"/>
              <w:right w:type="dxa" w:w="120"/>
            </w:tcMar>
          </w:tcPr>
          <w:p>
            <w:r>
              <w:rPr>
                <w:rFonts w:ascii="Calibri" w:cs="Calibri" w:eastAsia="Calibri" w:hAnsi="Calibri"/>
                <w:sz w:val="20"/>
                <w:szCs w:val="20"/>
              </w:rPr>
              <w:t xml:space="preserve">Configuration Management</w:t>
            </w:r>
          </w:p>
        </w:tc>
        <w:tc>
          <w:tcPr>
            <w:tcW w:type="dxa" w:w="6300"/>
            <w:shd w:fill="F7F9FC" w:val="clear"/>
            <w:tcMar>
              <w:top w:type="dxa" w:w="90"/>
              <w:left w:type="dxa" w:w="120"/>
              <w:bottom w:type="dxa" w:w="90"/>
              <w:right w:type="dxa" w:w="120"/>
            </w:tcMar>
          </w:tcPr>
          <w:p>
            <w:r>
              <w:rPr>
                <w:rFonts w:ascii="Calibri" w:cs="Calibri" w:eastAsia="Calibri" w:hAnsi="Calibri"/>
                <w:sz w:val="20"/>
                <w:szCs w:val="20"/>
              </w:rPr>
              <w:t xml:space="preserve">Define reusable configuration profiles and apply them to devices or groups of devices.</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Rollout Tracking</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Every firmware, application, and configuration rollout is tracked as a task, showing per-device progress and outcome.</w:t>
            </w:r>
          </w:p>
        </w:tc>
      </w:tr>
      <w:tr>
        <w:tc>
          <w:tcPr>
            <w:tcW w:type="dxa" w:w="3000"/>
            <w:shd w:fill="F7F9FC" w:val="clear"/>
            <w:tcMar>
              <w:top w:type="dxa" w:w="90"/>
              <w:left w:type="dxa" w:w="120"/>
              <w:bottom w:type="dxa" w:w="90"/>
              <w:right w:type="dxa" w:w="120"/>
            </w:tcMar>
          </w:tcPr>
          <w:p>
            <w:r>
              <w:rPr>
                <w:rFonts w:ascii="Calibri" w:cs="Calibri" w:eastAsia="Calibri" w:hAnsi="Calibri"/>
                <w:sz w:val="20"/>
                <w:szCs w:val="20"/>
              </w:rPr>
              <w:t xml:space="preserve">User &amp; Role Management</w:t>
            </w:r>
          </w:p>
        </w:tc>
        <w:tc>
          <w:tcPr>
            <w:tcW w:type="dxa" w:w="6300"/>
            <w:shd w:fill="F7F9FC" w:val="clear"/>
            <w:tcMar>
              <w:top w:type="dxa" w:w="90"/>
              <w:left w:type="dxa" w:w="120"/>
              <w:bottom w:type="dxa" w:w="90"/>
              <w:right w:type="dxa" w:w="120"/>
            </w:tcMar>
          </w:tcPr>
          <w:p>
            <w:r>
              <w:rPr>
                <w:rFonts w:ascii="Calibri" w:cs="Calibri" w:eastAsia="Calibri" w:hAnsi="Calibri"/>
                <w:sz w:val="20"/>
                <w:szCs w:val="20"/>
              </w:rPr>
              <w:t xml:space="preserve">Control who can access the platform and what they can do, through named roles with specific permissions.</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Audit Logging</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A record of sign-ins, security-relevant events, and administrative changes, for accountability and troubleshooting.</w:t>
            </w:r>
          </w:p>
        </w:tc>
      </w:tr>
    </w:tbl>
    <w:p>
      <w:pPr>
        <w:pStyle w:val="Heading1"/>
        <w:spacing w:after="200" w:before="400"/>
      </w:pPr>
      <w:r>
        <w:t xml:space="preserve">4. Technology Overview</w:t>
      </w:r>
    </w:p>
    <w:p>
      <w:pPr>
        <w:spacing w:after="160"/>
      </w:pPr>
      <w:r>
        <w:rPr>
          <w:rFonts w:ascii="Calibri" w:cs="Calibri" w:eastAsia="Calibri" w:hAnsi="Calibri"/>
          <w:sz w:val="22"/>
          <w:szCs w:val="22"/>
        </w:rPr>
        <w:t xml:space="preserve">The solution is built on established, widely supported technology, chosen for reliability and long-term maintainability rather than novelty: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63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Web application</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Built on the .NET platform, a mature, widely used technology for business web applications, run on a standard Linux server.</w:t>
            </w:r>
          </w:p>
        </w:tc>
      </w:tr>
      <w:tr>
        <w:tc>
          <w:tcPr>
            <w:tcW w:type="dxa" w:w="3000"/>
            <w:shd w:fill="F7F9FC" w:val="clear"/>
            <w:tcMar>
              <w:top w:type="dxa" w:w="90"/>
              <w:left w:type="dxa" w:w="120"/>
              <w:bottom w:type="dxa" w:w="90"/>
              <w:right w:type="dxa" w:w="120"/>
            </w:tcMar>
          </w:tcPr>
          <w:p>
            <w:r>
              <w:rPr>
                <w:rFonts w:ascii="Calibri" w:cs="Calibri" w:eastAsia="Calibri" w:hAnsi="Calibri"/>
                <w:sz w:val="20"/>
                <w:szCs w:val="20"/>
              </w:rPr>
              <w:t xml:space="preserve">Database</w:t>
            </w:r>
          </w:p>
        </w:tc>
        <w:tc>
          <w:tcPr>
            <w:tcW w:type="dxa" w:w="6300"/>
            <w:shd w:fill="F7F9FC" w:val="clear"/>
            <w:tcMar>
              <w:top w:type="dxa" w:w="90"/>
              <w:left w:type="dxa" w:w="120"/>
              <w:bottom w:type="dxa" w:w="90"/>
              <w:right w:type="dxa" w:w="120"/>
            </w:tcMar>
          </w:tcPr>
          <w:p>
            <w:r>
              <w:rPr>
                <w:rFonts w:ascii="Calibri" w:cs="Calibri" w:eastAsia="Calibri" w:hAnsi="Calibri"/>
                <w:sz w:val="20"/>
                <w:szCs w:val="20"/>
              </w:rPr>
              <w:t xml:space="preserve">PostgreSQL, a proven, open-source relational database used across industries for mission-critical data.</w:t>
            </w:r>
          </w:p>
        </w:tc>
      </w:tr>
      <w:tr>
        <w:tc>
          <w:tcPr>
            <w:tcW w:type="dxa" w:w="3000"/>
            <w:shd w:fill="FFFFFF" w:val="clear"/>
            <w:tcMar>
              <w:top w:type="dxa" w:w="90"/>
              <w:left w:type="dxa" w:w="120"/>
              <w:bottom w:type="dxa" w:w="90"/>
              <w:right w:type="dxa" w:w="120"/>
            </w:tcMar>
          </w:tcPr>
          <w:p>
            <w:r>
              <w:rPr>
                <w:rFonts w:ascii="Calibri" w:cs="Calibri" w:eastAsia="Calibri" w:hAnsi="Calibri"/>
                <w:sz w:val="20"/>
                <w:szCs w:val="20"/>
              </w:rPr>
              <w:t xml:space="preserve">Device messaging</w:t>
            </w:r>
          </w:p>
        </w:tc>
        <w:tc>
          <w:tcPr>
            <w:tcW w:type="dxa" w:w="6300"/>
            <w:shd w:fill="FFFFFF" w:val="clear"/>
            <w:tcMar>
              <w:top w:type="dxa" w:w="90"/>
              <w:left w:type="dxa" w:w="120"/>
              <w:bottom w:type="dxa" w:w="90"/>
              <w:right w:type="dxa" w:w="120"/>
            </w:tcMar>
          </w:tcPr>
          <w:p>
            <w:r>
              <w:rPr>
                <w:rFonts w:ascii="Calibri" w:cs="Calibri" w:eastAsia="Calibri" w:hAnsi="Calibri"/>
                <w:sz w:val="20"/>
                <w:szCs w:val="20"/>
              </w:rPr>
              <w:t xml:space="preserve">MQTT, the standard lightweight messaging protocol used across the IoT industry for device communication.</w:t>
            </w:r>
          </w:p>
        </w:tc>
      </w:tr>
      <w:tr>
        <w:tc>
          <w:tcPr>
            <w:tcW w:type="dxa" w:w="3000"/>
            <w:shd w:fill="F7F9FC" w:val="clear"/>
            <w:tcMar>
              <w:top w:type="dxa" w:w="90"/>
              <w:left w:type="dxa" w:w="120"/>
              <w:bottom w:type="dxa" w:w="90"/>
              <w:right w:type="dxa" w:w="120"/>
            </w:tcMar>
          </w:tcPr>
          <w:p>
            <w:r>
              <w:rPr>
                <w:rFonts w:ascii="Calibri" w:cs="Calibri" w:eastAsia="Calibri" w:hAnsi="Calibri"/>
                <w:sz w:val="20"/>
                <w:szCs w:val="20"/>
              </w:rPr>
              <w:t xml:space="preserve">Web delivery</w:t>
            </w:r>
          </w:p>
        </w:tc>
        <w:tc>
          <w:tcPr>
            <w:tcW w:type="dxa" w:w="6300"/>
            <w:shd w:fill="F7F9FC" w:val="clear"/>
            <w:tcMar>
              <w:top w:type="dxa" w:w="90"/>
              <w:left w:type="dxa" w:w="120"/>
              <w:bottom w:type="dxa" w:w="90"/>
              <w:right w:type="dxa" w:w="120"/>
            </w:tcMar>
          </w:tcPr>
          <w:p>
            <w:r>
              <w:rPr>
                <w:rFonts w:ascii="Calibri" w:cs="Calibri" w:eastAsia="Calibri" w:hAnsi="Calibri"/>
                <w:sz w:val="20"/>
                <w:szCs w:val="20"/>
              </w:rPr>
              <w:t xml:space="preserve">Nginx, a widely used reverse proxy, handling encrypted (HTTPS) traffic and routing.</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This is a conventional, well-understood technology stack — it does not lock you into a proprietary platform, and it can be operated by any team familiar with standard Linux server administration.</w:t>
      </w:r>
    </w:p>
    <w:p>
      <w:pPr>
        <w:pStyle w:val="Heading1"/>
        <w:spacing w:after="200" w:before="400"/>
      </w:pPr>
      <w:r>
        <w:t xml:space="preserve">5. Security Overview</w:t>
      </w:r>
    </w:p>
    <w:p>
      <w:pPr>
        <w:spacing w:after="160"/>
      </w:pPr>
      <w:r>
        <w:rPr>
          <w:rFonts w:ascii="Calibri" w:cs="Calibri" w:eastAsia="Calibri" w:hAnsi="Calibri"/>
          <w:sz w:val="22"/>
          <w:szCs w:val="22"/>
        </w:rPr>
        <w:t xml:space="preserve">Security is addressed at every layer of the solution:</w:t>
      </w:r>
    </w:p>
    <w:p>
      <w:pPr>
        <w:pStyle w:val="ListParagraph"/>
        <w:numPr>
          <w:ilvl w:val="0"/>
          <w:numId w:val="2"/>
        </w:numPr>
        <w:spacing w:after="80"/>
      </w:pPr>
      <w:r>
        <w:rPr>
          <w:rFonts w:ascii="Calibri" w:cs="Calibri" w:eastAsia="Calibri" w:hAnsi="Calibri"/>
          <w:sz w:val="22"/>
          <w:szCs w:val="22"/>
        </w:rPr>
        <w:t xml:space="preserve">All web traffic — for administrators and for devices downloading updates — is encrypted using TLS.</w:t>
      </w:r>
    </w:p>
    <w:p>
      <w:pPr>
        <w:pStyle w:val="ListParagraph"/>
        <w:numPr>
          <w:ilvl w:val="0"/>
          <w:numId w:val="2"/>
        </w:numPr>
        <w:spacing w:after="80"/>
      </w:pPr>
      <w:r>
        <w:rPr>
          <w:rFonts w:ascii="Calibri" w:cs="Calibri" w:eastAsia="Calibri" w:hAnsi="Calibri"/>
          <w:sz w:val="22"/>
          <w:szCs w:val="22"/>
        </w:rPr>
        <w:t xml:space="preserve">Devices are identified using individually issued security certificates, rather than shared passwords, so a compromised device cannot impersonate another.</w:t>
      </w:r>
    </w:p>
    <w:p>
      <w:pPr>
        <w:pStyle w:val="ListParagraph"/>
        <w:numPr>
          <w:ilvl w:val="0"/>
          <w:numId w:val="2"/>
        </w:numPr>
        <w:spacing w:after="80"/>
      </w:pPr>
      <w:r>
        <w:rPr>
          <w:rFonts w:ascii="Calibri" w:cs="Calibri" w:eastAsia="Calibri" w:hAnsi="Calibri"/>
          <w:sz w:val="22"/>
          <w:szCs w:val="22"/>
        </w:rPr>
        <w:t xml:space="preserve">Communication with the messaging system is encrypted and authenticated, with each device restricted to only the topics it needs.</w:t>
      </w:r>
    </w:p>
    <w:p>
      <w:pPr>
        <w:pStyle w:val="ListParagraph"/>
        <w:numPr>
          <w:ilvl w:val="0"/>
          <w:numId w:val="2"/>
        </w:numPr>
        <w:spacing w:after="80"/>
      </w:pPr>
      <w:r>
        <w:rPr>
          <w:rFonts w:ascii="Calibri" w:cs="Calibri" w:eastAsia="Calibri" w:hAnsi="Calibri"/>
          <w:sz w:val="22"/>
          <w:szCs w:val="22"/>
        </w:rPr>
        <w:t xml:space="preserve">Access to the administration interface is controlled by named user accounts and roles, so each person only has the level of access appropriate to their job.</w:t>
      </w:r>
    </w:p>
    <w:p>
      <w:pPr>
        <w:pStyle w:val="ListParagraph"/>
        <w:numPr>
          <w:ilvl w:val="0"/>
          <w:numId w:val="2"/>
        </w:numPr>
        <w:spacing w:after="80"/>
      </w:pPr>
      <w:r>
        <w:rPr>
          <w:rFonts w:ascii="Calibri" w:cs="Calibri" w:eastAsia="Calibri" w:hAnsi="Calibri"/>
          <w:sz w:val="22"/>
          <w:szCs w:val="22"/>
        </w:rPr>
        <w:t xml:space="preserve">An audit log records sign-ins and security-relevant administrative actions.</w:t>
      </w:r>
    </w:p>
    <w:p>
      <w:pPr>
        <w:pStyle w:val="ListParagraph"/>
        <w:numPr>
          <w:ilvl w:val="0"/>
          <w:numId w:val="2"/>
        </w:numPr>
        <w:spacing w:after="80"/>
      </w:pPr>
      <w:r>
        <w:rPr>
          <w:rFonts w:ascii="Calibri" w:cs="Calibri" w:eastAsia="Calibri" w:hAnsi="Calibri"/>
          <w:sz w:val="22"/>
          <w:szCs w:val="22"/>
        </w:rPr>
        <w:t xml:space="preserve">The application components are not directly reachable from the internet — all external access passes through a single, controlled entry point.</w:t>
      </w:r>
    </w:p>
    <w:p>
      <w:pPr>
        <w:pStyle w:val="Heading1"/>
        <w:spacing w:after="200" w:before="400"/>
      </w:pPr>
      <w:r>
        <w:t xml:space="preserve">6. Infrastructure Integration</w:t>
      </w:r>
    </w:p>
    <w:p>
      <w:pPr>
        <w:spacing w:after="160"/>
      </w:pPr>
      <w:r>
        <w:rPr>
          <w:rFonts w:ascii="Calibri" w:cs="Calibri" w:eastAsia="Calibri" w:hAnsi="Calibri"/>
          <w:sz w:val="22"/>
          <w:szCs w:val="22"/>
        </w:rPr>
        <w:t xml:space="preserve">The solution is designed to run on infrastructure you control:</w:t>
      </w:r>
    </w:p>
    <w:p>
      <w:pPr>
        <w:pStyle w:val="ListParagraph"/>
        <w:numPr>
          <w:ilvl w:val="0"/>
          <w:numId w:val="2"/>
        </w:numPr>
        <w:spacing w:after="80"/>
      </w:pPr>
      <w:r>
        <w:rPr>
          <w:rFonts w:ascii="Calibri" w:cs="Calibri" w:eastAsia="Calibri" w:hAnsi="Calibri"/>
          <w:sz w:val="22"/>
          <w:szCs w:val="22"/>
        </w:rPr>
        <w:t xml:space="preserve">It runs on a standard Linux server — on your own infrastructure, in a private data center, or in a cloud environment of your choice.</w:t>
      </w:r>
    </w:p>
    <w:p>
      <w:pPr>
        <w:pStyle w:val="ListParagraph"/>
        <w:numPr>
          <w:ilvl w:val="0"/>
          <w:numId w:val="2"/>
        </w:numPr>
        <w:spacing w:after="80"/>
      </w:pPr>
      <w:r>
        <w:rPr>
          <w:rFonts w:ascii="Calibri" w:cs="Calibri" w:eastAsia="Calibri" w:hAnsi="Calibri"/>
          <w:sz w:val="22"/>
          <w:szCs w:val="22"/>
        </w:rPr>
        <w:t xml:space="preserve">It uses a standard PostgreSQL database, which can be hosted on the same server or as a separate managed database service.</w:t>
      </w:r>
    </w:p>
    <w:p>
      <w:pPr>
        <w:pStyle w:val="ListParagraph"/>
        <w:numPr>
          <w:ilvl w:val="0"/>
          <w:numId w:val="2"/>
        </w:numPr>
        <w:spacing w:after="80"/>
      </w:pPr>
      <w:r>
        <w:rPr>
          <w:rFonts w:ascii="Calibri" w:cs="Calibri" w:eastAsia="Calibri" w:hAnsi="Calibri"/>
          <w:sz w:val="22"/>
          <w:szCs w:val="22"/>
        </w:rPr>
        <w:t xml:space="preserve">It connects to an MQTT messaging system of your choice — an existing one your organization already operates, or a new one set up specifically for this deployment.</w:t>
      </w:r>
    </w:p>
    <w:p>
      <w:pPr>
        <w:pStyle w:val="ListParagraph"/>
        <w:numPr>
          <w:ilvl w:val="0"/>
          <w:numId w:val="2"/>
        </w:numPr>
        <w:spacing w:after="80"/>
      </w:pPr>
      <w:r>
        <w:rPr>
          <w:rFonts w:ascii="Calibri" w:cs="Calibri" w:eastAsia="Calibri" w:hAnsi="Calibri"/>
          <w:sz w:val="22"/>
          <w:szCs w:val="22"/>
        </w:rPr>
        <w:t xml:space="preserve">Only a small, well-defined set of network ports needs to be opened for the solution to operate (see the separate Deployment Requirements document).</w:t>
      </w:r>
    </w:p>
    <w:p>
      <w:pPr>
        <w:pStyle w:val="ListParagraph"/>
        <w:numPr>
          <w:ilvl w:val="0"/>
          <w:numId w:val="2"/>
        </w:numPr>
        <w:spacing w:after="80"/>
      </w:pPr>
      <w:r>
        <w:rPr>
          <w:rFonts w:ascii="Calibri" w:cs="Calibri" w:eastAsia="Calibri" w:hAnsi="Calibri"/>
          <w:sz w:val="22"/>
          <w:szCs w:val="22"/>
        </w:rPr>
        <w:t xml:space="preserve">There is no dependency on a specific cloud provider or vendor-specific service, keeping the deployment portable and under your control.</w:t>
      </w:r>
    </w:p>
    <w:p>
      <w:pPr>
        <w:pStyle w:val="Heading1"/>
        <w:spacing w:after="200" w:before="400"/>
      </w:pPr>
      <w:r>
        <w:t xml:space="preserve">7. Summary</w:t>
      </w:r>
    </w:p>
    <w:p>
      <w:pPr>
        <w:spacing w:after="160"/>
      </w:pPr>
      <w:r>
        <w:rPr>
          <w:rFonts w:ascii="Calibri" w:cs="Calibri" w:eastAsia="Calibri" w:hAnsi="Calibri"/>
          <w:sz w:val="22"/>
          <w:szCs w:val="22"/>
        </w:rPr>
        <w:t xml:space="preserve">NCMS gives you centralized visibility and control over your device fleet, built on standard, well-understood technology, secured at every layer, and deployable on infrastructure you own and control. The accompanying Deployment Guide and Deployment Requirements document provide everything needed to install and operate it; the User Manual covers day-to-day use once it is running.</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NCMS — Solution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2026-08-12T10:12:19.567Z</dcterms:created>
  <dcterms:modified xsi:type="dcterms:W3CDTF">2026-08-12T10:12:19.569Z</dcterms:modified>
</cp:coreProperties>
</file>

<file path=docProps/custom.xml><?xml version="1.0" encoding="utf-8"?>
<Properties xmlns="http://schemas.openxmlformats.org/officeDocument/2006/custom-properties" xmlns:vt="http://schemas.openxmlformats.org/officeDocument/2006/docPropsVTypes"/>
</file>