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CLUSTERING AND MODEL EVALUATION\nUSING SCIKIT-LEARN</w:t>
      </w:r>
    </w:p>
    <w:p>
      <w:pPr>
        <w:jc w:val="center"/>
      </w:pPr>
      <w:r>
        <w:t>Project Report</w:t>
      </w:r>
    </w:p>
    <w:p>
      <w:pPr>
        <w:pStyle w:val="Heading1"/>
      </w:pPr>
      <w:r>
        <w:t>1. Introduction</w:t>
      </w:r>
    </w:p>
    <w:p>
      <w:r>
        <w:t>This project explores clustering and model evaluation using Scikit-learn. Clustering is an unsupervised learning technique that groups similar records without using labels during training. Model evaluation checks how well a trained model performs on data it has not seen before.</w:t>
      </w:r>
    </w:p>
    <w:p>
      <w:pPr>
        <w:pStyle w:val="Heading1"/>
      </w:pPr>
      <w:r>
        <w:t>2. Objectives</w:t>
      </w:r>
    </w:p>
    <w:p>
      <w:pPr>
        <w:pStyle w:val="ListBullet"/>
      </w:pPr>
      <w:r>
        <w:t>Compare K-Means and hierarchical (agglomerative) clustering.</w:t>
      </w:r>
    </w:p>
    <w:p>
      <w:pPr>
        <w:pStyle w:val="ListBullet"/>
      </w:pPr>
      <w:r>
        <w:t>Use Principal Component Analysis (PCA) to reduce data to two dimensions.</w:t>
      </w:r>
    </w:p>
    <w:p>
      <w:pPr>
        <w:pStyle w:val="ListBullet"/>
      </w:pPr>
      <w:r>
        <w:t>Evaluate classification with a confusion matrix, precision, recall, F1-score and ROC-AUC.</w:t>
      </w:r>
    </w:p>
    <w:p>
      <w:pPr>
        <w:pStyle w:val="ListBullet"/>
      </w:pPr>
      <w:r>
        <w:t>Use five-fold cross-validation and tune a model hyperparameter with GridSearchCV.</w:t>
      </w:r>
    </w:p>
    <w:p>
      <w:pPr>
        <w:pStyle w:val="Heading1"/>
      </w:pPr>
      <w:r>
        <w:t>3. Data and Method</w:t>
      </w:r>
    </w:p>
    <w:p>
      <w:r>
        <w:t>The clustering experiment uses the Iris dataset included with Scikit-learn. The four numerical features are standardized before clustering. K-Means and Agglomerative Clustering are configured to create three clusters. Species labels are not used to train the clustering algorithms; they are used afterward only to calculate the Adjusted Rand Index.</w:t>
      </w:r>
    </w:p>
    <w:p>
      <w:r>
        <w:t>For classification, the Wisconsin Diagnostic Breast Cancer dataset is split into 80% training data and 20% test data. The split uses a fixed random seed and stratification. A pipeline standardizes features and trains Logistic Regression. GridSearchCV selects the regularization parameter C using five-fold stratified cross-validation and F1-score.</w:t>
      </w:r>
    </w:p>
    <w:p>
      <w:pPr>
        <w:pStyle w:val="Heading1"/>
      </w:pPr>
      <w:r>
        <w:t>4. Clustering Results</w:t>
      </w:r>
    </w:p>
    <w:p>
      <w:r>
        <w:t>The silhouette score measures how well observations fit within their assigned clusters compared with other clusters; higher values generally indicate better separation. The Adjusted Rand Index (ARI) compares cluster assignments with the known species labels after clustering.</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Clusters</w:t>
            </w:r>
          </w:p>
        </w:tc>
        <w:tc>
          <w:tcPr>
            <w:tcW w:type="dxa" w:w="2160"/>
          </w:tcPr>
          <w:p>
            <w:r>
              <w:t>Silhouette</w:t>
            </w:r>
          </w:p>
        </w:tc>
        <w:tc>
          <w:tcPr>
            <w:tcW w:type="dxa" w:w="2160"/>
          </w:tcPr>
          <w:p>
            <w:r>
              <w:t>Adjusted Rand Index</w:t>
            </w:r>
          </w:p>
        </w:tc>
      </w:tr>
      <w:tr>
        <w:tc>
          <w:tcPr>
            <w:tcW w:type="dxa" w:w="2160"/>
          </w:tcPr>
          <w:p>
            <w:r>
              <w:t>K-Means (k=3)</w:t>
            </w:r>
          </w:p>
        </w:tc>
        <w:tc>
          <w:tcPr>
            <w:tcW w:type="dxa" w:w="2160"/>
          </w:tcPr>
          <w:p>
            <w:r>
              <w:t>3</w:t>
            </w:r>
          </w:p>
        </w:tc>
        <w:tc>
          <w:tcPr>
            <w:tcW w:type="dxa" w:w="2160"/>
          </w:tcPr>
          <w:p>
            <w:r>
              <w:t>0.460</w:t>
            </w:r>
          </w:p>
        </w:tc>
        <w:tc>
          <w:tcPr>
            <w:tcW w:type="dxa" w:w="2160"/>
          </w:tcPr>
          <w:p>
            <w:r>
              <w:t>0.620</w:t>
            </w:r>
          </w:p>
        </w:tc>
      </w:tr>
      <w:tr>
        <w:tc>
          <w:tcPr>
            <w:tcW w:type="dxa" w:w="2160"/>
          </w:tcPr>
          <w:p>
            <w:r>
              <w:t>Hierarchical / Agglomerative (k=3)</w:t>
            </w:r>
          </w:p>
        </w:tc>
        <w:tc>
          <w:tcPr>
            <w:tcW w:type="dxa" w:w="2160"/>
          </w:tcPr>
          <w:p>
            <w:r>
              <w:t>3</w:t>
            </w:r>
          </w:p>
        </w:tc>
        <w:tc>
          <w:tcPr>
            <w:tcW w:type="dxa" w:w="2160"/>
          </w:tcPr>
          <w:p>
            <w:r>
              <w:t>0.447</w:t>
            </w:r>
          </w:p>
        </w:tc>
        <w:tc>
          <w:tcPr>
            <w:tcW w:type="dxa" w:w="2160"/>
          </w:tcPr>
          <w:p>
            <w:r>
              <w:t>0.615</w:t>
            </w:r>
          </w:p>
        </w:tc>
      </w:tr>
    </w:tbl>
    <w:p>
      <w:r>
        <w:t>PCA reduced the four standardized Iris features to two principal components. Together, these components explain 95.8% of the variance. PCA can make data easier to visualize, although reducing dimensions may discard some information.</w:t>
      </w:r>
    </w:p>
    <w:p>
      <w:pPr>
        <w:pStyle w:val="Heading1"/>
      </w:pPr>
      <w:r>
        <w:t>5. Classification Test Results</w:t>
      </w:r>
    </w:p>
    <w:p>
      <w:r>
        <w:t>The following scores were measured on the held-out test set. Precision measures how many positive predictions were correct; recall measures how many actual positive cases were found. F1 balances precision and recall, while ROC-AUC evaluates ranking quality across classification thresholds.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Test score</w:t>
            </w:r>
          </w:p>
        </w:tc>
      </w:tr>
      <w:tr>
        <w:tc>
          <w:tcPr>
            <w:tcW w:type="dxa" w:w="4320"/>
          </w:tcPr>
          <w:p>
            <w:r>
              <w:t>Accuracy</w:t>
            </w:r>
          </w:p>
        </w:tc>
        <w:tc>
          <w:tcPr>
            <w:tcW w:type="dxa" w:w="4320"/>
          </w:tcPr>
          <w:p>
            <w:r>
              <w:t>0.9737</w:t>
            </w:r>
          </w:p>
        </w:tc>
      </w:tr>
      <w:tr>
        <w:tc>
          <w:tcPr>
            <w:tcW w:type="dxa" w:w="4320"/>
          </w:tcPr>
          <w:p>
            <w:r>
              <w:t>Precision</w:t>
            </w:r>
          </w:p>
        </w:tc>
        <w:tc>
          <w:tcPr>
            <w:tcW w:type="dxa" w:w="4320"/>
          </w:tcPr>
          <w:p>
            <w:r>
              <w:t>0.9726</w:t>
            </w:r>
          </w:p>
        </w:tc>
      </w:tr>
      <w:tr>
        <w:tc>
          <w:tcPr>
            <w:tcW w:type="dxa" w:w="4320"/>
          </w:tcPr>
          <w:p>
            <w:r>
              <w:t>Recall</w:t>
            </w:r>
          </w:p>
        </w:tc>
        <w:tc>
          <w:tcPr>
            <w:tcW w:type="dxa" w:w="4320"/>
          </w:tcPr>
          <w:p>
            <w:r>
              <w:t>0.9861</w:t>
            </w:r>
          </w:p>
        </w:tc>
      </w:tr>
      <w:tr>
        <w:tc>
          <w:tcPr>
            <w:tcW w:type="dxa" w:w="4320"/>
          </w:tcPr>
          <w:p>
            <w:r>
              <w:t>F1-score</w:t>
            </w:r>
          </w:p>
        </w:tc>
        <w:tc>
          <w:tcPr>
            <w:tcW w:type="dxa" w:w="4320"/>
          </w:tcPr>
          <w:p>
            <w:r>
              <w:t>0.9793</w:t>
            </w:r>
          </w:p>
        </w:tc>
      </w:tr>
      <w:tr>
        <w:tc>
          <w:tcPr>
            <w:tcW w:type="dxa" w:w="4320"/>
          </w:tcPr>
          <w:p>
            <w:r>
              <w:t>ROC-AUC</w:t>
            </w:r>
          </w:p>
        </w:tc>
        <w:tc>
          <w:tcPr>
            <w:tcW w:type="dxa" w:w="4320"/>
          </w:tcPr>
          <w:p>
            <w:r>
              <w:t>0.9957</w:t>
            </w:r>
          </w:p>
        </w:tc>
      </w:tr>
    </w:tbl>
    <w:p>
      <w:r>
        <w:t>The best regularization setting was C = 0.1, with a mean cross-validation F1-score of 0.9861 during the grid search.</w:t>
      </w:r>
    </w:p>
    <w:p>
      <w:pPr>
        <w:pStyle w:val="Heading1"/>
      </w:pPr>
      <w:r>
        <w:t>6. Confusion Matrix</w:t>
      </w:r>
    </w:p>
    <w:p>
      <w:r>
        <w:t>Rows represent actual classes and columns represent predicted classes.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Actual / Predicted</w:t>
            </w:r>
          </w:p>
        </w:tc>
        <w:tc>
          <w:tcPr>
            <w:tcW w:type="dxa" w:w="2880"/>
          </w:tcPr>
          <w:p>
            <w:r>
              <w:t>Class 0</w:t>
            </w:r>
          </w:p>
        </w:tc>
        <w:tc>
          <w:tcPr>
            <w:tcW w:type="dxa" w:w="2880"/>
          </w:tcPr>
          <w:p>
            <w:r>
              <w:t>Class 1</w:t>
            </w:r>
          </w:p>
        </w:tc>
      </w:tr>
      <w:tr>
        <w:tc>
          <w:tcPr>
            <w:tcW w:type="dxa" w:w="2880"/>
          </w:tcPr>
          <w:p>
            <w:r>
              <w:t>Actual class 0</w:t>
            </w:r>
          </w:p>
        </w:tc>
        <w:tc>
          <w:tcPr>
            <w:tcW w:type="dxa" w:w="2880"/>
          </w:tcPr>
          <w:p>
            <w:r>
              <w:t>40</w:t>
            </w:r>
          </w:p>
        </w:tc>
        <w:tc>
          <w:tcPr>
            <w:tcW w:type="dxa" w:w="2880"/>
          </w:tcPr>
          <w:p>
            <w:r>
              <w:t>2</w:t>
            </w:r>
          </w:p>
        </w:tc>
      </w:tr>
      <w:tr>
        <w:tc>
          <w:tcPr>
            <w:tcW w:type="dxa" w:w="2880"/>
          </w:tcPr>
          <w:p>
            <w:r>
              <w:t>Actual class 1</w:t>
            </w:r>
          </w:p>
        </w:tc>
        <w:tc>
          <w:tcPr>
            <w:tcW w:type="dxa" w:w="2880"/>
          </w:tcPr>
          <w:p>
            <w:r>
              <w:t>1</w:t>
            </w:r>
          </w:p>
        </w:tc>
        <w:tc>
          <w:tcPr>
            <w:tcW w:type="dxa" w:w="2880"/>
          </w:tcPr>
          <w:p>
            <w:r>
              <w:t>71</w:t>
            </w:r>
          </w:p>
        </w:tc>
      </w:tr>
    </w:tbl>
    <w:p>
      <w:pPr>
        <w:pStyle w:val="Heading1"/>
      </w:pPr>
      <w:r>
        <w:t>7. Five-Fold Cross-Validation</w:t>
      </w:r>
    </w:p>
    <w:p>
      <w:r>
        <w:t>Cross-validation divides the training set into five parts. Each part is used once for validation while the other four parts are used for training. The table shows the average score across folds.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Mean CV score</w:t>
            </w:r>
          </w:p>
        </w:tc>
      </w:tr>
      <w:tr>
        <w:tc>
          <w:tcPr>
            <w:tcW w:type="dxa" w:w="4320"/>
          </w:tcPr>
          <w:p>
            <w:r>
              <w:t>ACCURACY</w:t>
            </w:r>
          </w:p>
        </w:tc>
        <w:tc>
          <w:tcPr>
            <w:tcW w:type="dxa" w:w="4320"/>
          </w:tcPr>
          <w:p>
            <w:r>
              <w:t>0.9824</w:t>
            </w:r>
          </w:p>
        </w:tc>
      </w:tr>
      <w:tr>
        <w:tc>
          <w:tcPr>
            <w:tcW w:type="dxa" w:w="4320"/>
          </w:tcPr>
          <w:p>
            <w:r>
              <w:t>PRECISION</w:t>
            </w:r>
          </w:p>
        </w:tc>
        <w:tc>
          <w:tcPr>
            <w:tcW w:type="dxa" w:w="4320"/>
          </w:tcPr>
          <w:p>
            <w:r>
              <w:t>0.9760</w:t>
            </w:r>
          </w:p>
        </w:tc>
      </w:tr>
      <w:tr>
        <w:tc>
          <w:tcPr>
            <w:tcW w:type="dxa" w:w="4320"/>
          </w:tcPr>
          <w:p>
            <w:r>
              <w:t>RECALL</w:t>
            </w:r>
          </w:p>
        </w:tc>
        <w:tc>
          <w:tcPr>
            <w:tcW w:type="dxa" w:w="4320"/>
          </w:tcPr>
          <w:p>
            <w:r>
              <w:t>0.9965</w:t>
            </w:r>
          </w:p>
        </w:tc>
      </w:tr>
      <w:tr>
        <w:tc>
          <w:tcPr>
            <w:tcW w:type="dxa" w:w="4320"/>
          </w:tcPr>
          <w:p>
            <w:r>
              <w:t>F1</w:t>
            </w:r>
          </w:p>
        </w:tc>
        <w:tc>
          <w:tcPr>
            <w:tcW w:type="dxa" w:w="4320"/>
          </w:tcPr>
          <w:p>
            <w:r>
              <w:t>0.9861</w:t>
            </w:r>
          </w:p>
        </w:tc>
      </w:tr>
      <w:tr>
        <w:tc>
          <w:tcPr>
            <w:tcW w:type="dxa" w:w="4320"/>
          </w:tcPr>
          <w:p>
            <w:r>
              <w:t>ROC_AUC</w:t>
            </w:r>
          </w:p>
        </w:tc>
        <w:tc>
          <w:tcPr>
            <w:tcW w:type="dxa" w:w="4320"/>
          </w:tcPr>
          <w:p>
            <w:r>
              <w:t>0.9951</w:t>
            </w:r>
          </w:p>
        </w:tc>
      </w:tr>
    </w:tbl>
    <w:p>
      <w:pPr>
        <w:pStyle w:val="Heading1"/>
      </w:pPr>
      <w:r>
        <w:t>8. Conclusion</w:t>
      </w:r>
    </w:p>
    <w:p>
      <w:r>
        <w:t>This project compares K-Means and hierarchical clustering, demonstrates PCA, and evaluates Logistic Regression with a confusion matrix and standard classification metrics. It also uses cross-validation and hyperparameter tuning to make the evaluation more reliable. The results are useful for learning and are not a guarantee of performance on new data or a substitute for professional medical judgement.</w:t>
      </w:r>
    </w:p>
    <w:p>
      <w:pPr>
        <w:pStyle w:val="Heading1"/>
      </w:pPr>
      <w:r>
        <w:t>9. How to Run the Project</w:t>
      </w:r>
    </w:p>
    <w:p>
      <w:pPr>
        <w:pStyle w:val="ListNumber"/>
      </w:pPr>
      <w:r>
        <w:t>Install Python 3.10 or later.</w:t>
      </w:r>
    </w:p>
    <w:p>
      <w:pPr>
        <w:pStyle w:val="ListNumber"/>
      </w:pPr>
      <w:r>
        <w:t>Run pip install -r requirements.txt.</w:t>
      </w:r>
    </w:p>
    <w:p>
      <w:pPr>
        <w:pStyle w:val="ListNumber"/>
      </w:pPr>
      <w:r>
        <w:t>Run python main.py.</w:t>
      </w:r>
    </w:p>
    <w:p>
      <w:pPr>
        <w:pStyle w:val="ListNumber"/>
      </w:pPr>
      <w:r>
        <w:t>Review the generated CSV files for clustering, PCA, classification, cross-validation and tuning results.</w:t>
      </w:r>
    </w:p>
    <w:p>
      <w:pPr>
        <w:pStyle w:val="Heading1"/>
      </w:pPr>
      <w:r>
        <w:t>Project Files</w:t>
      </w:r>
    </w:p>
    <w:p>
      <w:r>
        <w:t>The project includes the source code, setup instructions and CSV result files. Datasets load directly from Scikit-learn, so separate raw data files are not required.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