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AI OUTREACH ENGINE</w:t>
      </w:r>
    </w:p>
    <w:p>
      <w:pPr>
        <w:jc w:val="center"/>
      </w:pPr>
      <w:r>
        <w:rPr>
          <w:b/>
          <w:sz w:val="26"/>
        </w:rPr>
        <w:t>Full Development Context, Product Requirements, Architecture &amp; Cost Plan</w:t>
      </w:r>
    </w:p>
    <w:p>
      <w:pPr>
        <w:jc w:val="center"/>
      </w:pPr>
      <w:r>
        <w:rPr>
          <w:i/>
        </w:rPr>
        <w:t>Shareable handoff document for a new developer / AI assistant</w:t>
      </w:r>
    </w:p>
    <w:p>
      <w:pPr>
        <w:jc w:val="center"/>
      </w:pPr>
      <w:r>
        <w:t>Prepared: 26 October 2026 · Updated: 26 October 2026 (v2 — see Section 23)</w:t>
      </w:r>
    </w:p>
    <w:tbl>
      <w:tblPr>
        <w:tblStyle w:val="TableGrid"/>
        <w:tblW w:type="auto" w:w="0"/>
        <w:jc w:val="center"/>
        <w:tblLook w:firstColumn="1" w:firstRow="1" w:lastColumn="0" w:lastRow="0" w:noHBand="0" w:noVBand="1" w:val="04A0"/>
      </w:tblPr>
      <w:tblGrid>
        <w:gridCol w:w="5040"/>
        <w:gridCol w:w="5040"/>
      </w:tblGrid>
      <w:tr>
        <w:tc>
          <w:tcPr>
            <w:tcW w:type="dxa" w:w="5040"/>
            <w:shd w:fill="CFE2F3"/>
          </w:tcPr>
          <w:p>
            <w:r>
              <w:rPr>
                <w:b/>
                <w:sz w:val="17"/>
              </w:rPr>
              <w:t>Decision</w:t>
            </w:r>
          </w:p>
        </w:tc>
        <w:tc>
          <w:tcPr>
            <w:tcW w:type="dxa" w:w="5040"/>
            <w:shd w:fill="CFE2F3"/>
          </w:tcPr>
          <w:p>
            <w:r>
              <w:rPr>
                <w:b/>
                <w:sz w:val="17"/>
              </w:rPr>
              <w:t>Current direction</w:t>
            </w:r>
          </w:p>
        </w:tc>
      </w:tr>
      <w:tr>
        <w:tc>
          <w:tcPr>
            <w:tcW w:type="dxa" w:w="5040"/>
            <w:vAlign w:val="center"/>
          </w:tcPr>
          <w:p>
            <w:pPr>
              <w:spacing w:after="0"/>
            </w:pPr>
            <w:r>
              <w:rPr>
                <w:sz w:val="16"/>
              </w:rPr>
              <w:t>Product</w:t>
            </w:r>
          </w:p>
        </w:tc>
        <w:tc>
          <w:tcPr>
            <w:tcW w:type="dxa" w:w="5040"/>
            <w:vAlign w:val="center"/>
          </w:tcPr>
          <w:p>
            <w:pPr>
              <w:spacing w:after="0"/>
            </w:pPr>
            <w:r>
              <w:rPr>
                <w:sz w:val="16"/>
              </w:rPr>
              <w:t>Custom AI-assisted B2B prospect research and email-draft generation system.</w:t>
            </w:r>
          </w:p>
        </w:tc>
      </w:tr>
      <w:tr>
        <w:tc>
          <w:tcPr>
            <w:tcW w:type="dxa" w:w="5040"/>
            <w:vAlign w:val="center"/>
          </w:tcPr>
          <w:p>
            <w:pPr>
              <w:spacing w:after="0"/>
            </w:pPr>
            <w:r>
              <w:rPr>
                <w:sz w:val="16"/>
              </w:rPr>
              <w:t>Orchestration</w:t>
            </w:r>
          </w:p>
        </w:tc>
        <w:tc>
          <w:tcPr>
            <w:tcW w:type="dxa" w:w="5040"/>
            <w:vAlign w:val="center"/>
          </w:tcPr>
          <w:p>
            <w:pPr>
              <w:spacing w:after="0"/>
            </w:pPr>
            <w:r>
              <w:rPr>
                <w:sz w:val="16"/>
              </w:rPr>
              <w:t>Mastra (TypeScript/Node.js) is the preferred agent/workflow framework.</w:t>
            </w:r>
          </w:p>
        </w:tc>
      </w:tr>
      <w:tr>
        <w:tc>
          <w:tcPr>
            <w:tcW w:type="dxa" w:w="5040"/>
            <w:vAlign w:val="center"/>
          </w:tcPr>
          <w:p>
            <w:pPr>
              <w:spacing w:after="0"/>
            </w:pPr>
            <w:r>
              <w:rPr>
                <w:sz w:val="16"/>
              </w:rPr>
              <w:t>Email safety</w:t>
            </w:r>
          </w:p>
        </w:tc>
        <w:tc>
          <w:tcPr>
            <w:tcW w:type="dxa" w:w="5040"/>
            <w:vAlign w:val="center"/>
          </w:tcPr>
          <w:p>
            <w:pPr>
              <w:spacing w:after="0"/>
            </w:pPr>
            <w:r>
              <w:rPr>
                <w:sz w:val="16"/>
              </w:rPr>
              <w:t>Drafts first. Sending is a separate stage that runs only after explicit user approval (v2). Never automatic.</w:t>
            </w:r>
          </w:p>
        </w:tc>
      </w:tr>
      <w:tr>
        <w:tc>
          <w:tcPr>
            <w:tcW w:type="dxa" w:w="5040"/>
            <w:vAlign w:val="center"/>
          </w:tcPr>
          <w:p>
            <w:pPr>
              <w:spacing w:after="0"/>
            </w:pPr>
            <w:r>
              <w:rPr>
                <w:sz w:val="16"/>
              </w:rPr>
              <w:t>Lead sources</w:t>
            </w:r>
          </w:p>
        </w:tc>
        <w:tc>
          <w:tcPr>
            <w:tcW w:type="dxa" w:w="5040"/>
            <w:vAlign w:val="center"/>
          </w:tcPr>
          <w:p>
            <w:pPr>
              <w:spacing w:after="0"/>
            </w:pPr>
            <w:r>
              <w:rPr>
                <w:sz w:val="16"/>
              </w:rPr>
              <w:t>Apollo plus CSV/XLSX import; Crunchbase as an optional company-research source (v2). Apollo and Crunchbase subscriptions/credits excluded from this budget.</w:t>
            </w:r>
          </w:p>
        </w:tc>
      </w:tr>
      <w:tr>
        <w:tc>
          <w:tcPr>
            <w:tcW w:type="dxa" w:w="5040"/>
            <w:vAlign w:val="center"/>
          </w:tcPr>
          <w:p>
            <w:pPr>
              <w:spacing w:after="0"/>
            </w:pPr>
            <w:r>
              <w:rPr>
                <w:sz w:val="16"/>
              </w:rPr>
              <w:t>Target volume</w:t>
            </w:r>
          </w:p>
        </w:tc>
        <w:tc>
          <w:tcPr>
            <w:tcW w:type="dxa" w:w="5040"/>
            <w:vAlign w:val="center"/>
          </w:tcPr>
          <w:p>
            <w:pPr>
              <w:spacing w:after="0"/>
            </w:pPr>
            <w:r>
              <w:rPr>
                <w:sz w:val="16"/>
              </w:rPr>
              <w:t>Up to 60 successful drafts per working day across two inboxes; ~1,320/month at 22 workdays.</w:t>
            </w:r>
          </w:p>
        </w:tc>
      </w:tr>
      <w:tr>
        <w:tc>
          <w:tcPr>
            <w:tcW w:type="dxa" w:w="5040"/>
            <w:vAlign w:val="center"/>
          </w:tcPr>
          <w:p>
            <w:pPr>
              <w:spacing w:after="0"/>
            </w:pPr>
            <w:r>
              <w:rPr>
                <w:sz w:val="16"/>
              </w:rPr>
              <w:t>Cost status</w:t>
            </w:r>
          </w:p>
        </w:tc>
        <w:tc>
          <w:tcPr>
            <w:tcW w:type="dxa" w:w="5040"/>
            <w:vAlign w:val="center"/>
          </w:tcPr>
          <w:p>
            <w:pPr>
              <w:spacing w:after="0"/>
            </w:pPr>
            <w:r>
              <w:rPr>
                <w:sz w:val="16"/>
              </w:rPr>
              <w:t>Planning estimates only; validate during a controlled pilot.</w:t>
            </w:r>
          </w:p>
        </w:tc>
      </w:tr>
    </w:tbl>
    <w:p/>
    <w:p>
      <w:pPr>
        <w:pStyle w:val="Heading1"/>
      </w:pPr>
      <w:r>
        <w:t>1. Executive Summary</w:t>
      </w:r>
    </w:p>
    <w:p>
      <w:r>
        <w:t>Build a web-based internal tool that imports prospect records from Apollo and CSV/XLSX files, cleans and deduplicates them, researches relevant public business information, scores and qualifies each prospect, generates a personalized email using Claude API, checks the draft against available evidence, and saves approved drafts into one of two connected Gmail inboxes for human review. Keep an audit trail of sources, decisions, costs, statuses, and errors.</w:t>
      </w:r>
    </w:p>
    <w:p>
      <w:r>
        <w:t>This is not an autonomous mass-email sender. It is a human-in-the-loop research and drafting assistant designed to reduce manual work, avoid unsupported personalization, conserve paid enrichment/reveal credits, and make every step visible and controllable.</w:t>
      </w:r>
    </w:p>
    <w:p>
      <w:pPr>
        <w:pStyle w:val="Heading1"/>
      </w:pPr>
      <w:r>
        <w:t>2. Goals and Success Criteria</w:t>
      </w:r>
    </w:p>
    <w:p>
      <w:pPr>
        <w:pStyle w:val="ListBullet"/>
        <w:spacing w:after="40"/>
      </w:pPr>
      <w:r>
        <w:t>Import leads through CSV/XLSX and, where available, Apollo saved-search/export/API workflows.</w:t>
      </w:r>
    </w:p>
    <w:p>
      <w:pPr>
        <w:pStyle w:val="ListBullet"/>
        <w:spacing w:after="40"/>
      </w:pPr>
      <w:r>
        <w:t>Process batches with validation, duplicate detection, resumability, row-level errors and status reporting.</w:t>
      </w:r>
    </w:p>
    <w:p>
      <w:pPr>
        <w:pStyle w:val="ListBullet"/>
        <w:spacing w:after="40"/>
      </w:pPr>
      <w:r>
        <w:t>Research relevant public business signals and save source URLs, timestamps and short evidence notes.</w:t>
      </w:r>
    </w:p>
    <w:p>
      <w:pPr>
        <w:pStyle w:val="ListBullet"/>
        <w:spacing w:after="40"/>
      </w:pPr>
      <w:r>
        <w:t>Score leads 0–100 with reasons; qualify, skip, or route uncertain records for manual review.</w:t>
      </w:r>
    </w:p>
    <w:p>
      <w:pPr>
        <w:pStyle w:val="ListBullet"/>
        <w:spacing w:after="40"/>
      </w:pPr>
      <w:r>
        <w:t>Delay paid email reveal and verification until a lead passes qualification, where the source workflow permits it.</w:t>
      </w:r>
    </w:p>
    <w:p>
      <w:pPr>
        <w:pStyle w:val="ListBullet"/>
        <w:spacing w:after="40"/>
      </w:pPr>
      <w:r>
        <w:t>Generate personalized subject/body using Claude, approved offers/case studies and evidence-backed facts.</w:t>
      </w:r>
    </w:p>
    <w:p>
      <w:pPr>
        <w:pStyle w:val="ListBullet"/>
        <w:spacing w:after="40"/>
      </w:pPr>
      <w:r>
        <w:t>Run a second-pass check for unsupported claims, wrong names, irrelevant offers, missing fields and risky wording.</w:t>
      </w:r>
    </w:p>
    <w:p>
      <w:pPr>
        <w:pStyle w:val="ListBullet"/>
        <w:spacing w:after="40"/>
      </w:pPr>
      <w:r>
        <w:t>Create Gmail drafts only after review/approval; send only drafts the user has separately approved for sending (v2). Never send automatically.</w:t>
      </w:r>
    </w:p>
    <w:p>
      <w:pPr>
        <w:pStyle w:val="ListBullet"/>
        <w:spacing w:after="40"/>
      </w:pPr>
      <w:r>
        <w:t>Track suppression/DNC, duplicate state, workflow status, draft IDs, errors and usage-based cost estimates.</w:t>
      </w:r>
    </w:p>
    <w:p>
      <w:pPr>
        <w:pStyle w:val="ListBullet"/>
        <w:spacing w:after="40"/>
      </w:pPr>
      <w:r>
        <w:t>Show cost per imported, researched, qualified and successfully drafted lead.</w:t>
      </w:r>
    </w:p>
    <w:p>
      <w:pPr>
        <w:pStyle w:val="Heading1"/>
      </w:pPr>
      <w:r>
        <w:t>3. What the Tool Must NOT Do</w:t>
      </w:r>
    </w:p>
    <w:p>
      <w:pPr>
        <w:pStyle w:val="ListBullet"/>
        <w:spacing w:after="40"/>
      </w:pPr>
      <w:r>
        <w:t>Must not send any email without explicit user approval. Draft creation and sending are separate stages; the Gmail send endpoint may be called only by the approved-send job (v2).</w:t>
      </w:r>
    </w:p>
    <w:p>
      <w:pPr>
        <w:pStyle w:val="ListBullet"/>
        <w:spacing w:after="40"/>
      </w:pPr>
      <w:r>
        <w:t>Must not bypass paywalls, login controls, CAPTCHAs, site terms or Apollo access restrictions.</w:t>
      </w:r>
    </w:p>
    <w:p>
      <w:pPr>
        <w:pStyle w:val="ListBullet"/>
        <w:spacing w:after="40"/>
      </w:pPr>
      <w:r>
        <w:t>Must not invent company news, hiring activity, technologies, personal details, case-study results or statistics.</w:t>
      </w:r>
    </w:p>
    <w:p>
      <w:pPr>
        <w:pStyle w:val="ListBullet"/>
        <w:spacing w:after="40"/>
      </w:pPr>
      <w:r>
        <w:t>Must not mark an email verified without a verification result.</w:t>
      </w:r>
    </w:p>
    <w:p>
      <w:pPr>
        <w:pStyle w:val="ListBullet"/>
        <w:spacing w:after="40"/>
      </w:pPr>
      <w:r>
        <w:t>Must not spend Apollo reveal/verification credits before a configured qualification gate.</w:t>
      </w:r>
    </w:p>
    <w:p>
      <w:pPr>
        <w:pStyle w:val="ListBullet"/>
        <w:spacing w:after="40"/>
      </w:pPr>
      <w:r>
        <w:t>Must not process or create drafts for contacts on a global or campaign suppression/DNC list.</w:t>
      </w:r>
    </w:p>
    <w:p>
      <w:pPr>
        <w:pStyle w:val="ListBullet"/>
        <w:spacing w:after="40"/>
      </w:pPr>
      <w:r>
        <w:t>Must not scrape private LinkedIn content or use unauthorized personal data; use permitted public data and approved integrations.</w:t>
      </w:r>
    </w:p>
    <w:p>
      <w:pPr>
        <w:pStyle w:val="ListBullet"/>
        <w:spacing w:after="40"/>
      </w:pPr>
      <w:r>
        <w:t>Must not assume all uploaded files have identical columns; use preview and flexible column mapping.</w:t>
      </w:r>
    </w:p>
    <w:p>
      <w:pPr>
        <w:pStyle w:val="ListBullet"/>
        <w:spacing w:after="40"/>
      </w:pPr>
      <w:r>
        <w:t>Must not promise a fixed ₹4–₹6 per-draft cost until real usage is measured.</w:t>
      </w:r>
    </w:p>
    <w:p>
      <w:pPr>
        <w:pStyle w:val="Heading1"/>
      </w:pPr>
      <w:r>
        <w:t>4. End-to-End User Workflow</w:t>
      </w:r>
    </w:p>
    <w:p>
      <w:pPr>
        <w:pStyle w:val="ListNumber"/>
        <w:spacing w:after="40"/>
      </w:pPr>
      <w:r>
        <w:t>User signs in, selects a campaign, target audience, approved offer/case study, daily cap and destination Gmail inbox.</w:t>
      </w:r>
    </w:p>
    <w:p>
      <w:pPr>
        <w:pStyle w:val="ListNumber"/>
        <w:spacing w:after="40"/>
      </w:pPr>
      <w:r>
        <w:t>User imports leads from CSV/XLSX, an Apollo export, or a configured Apollo integration if the account/API permits it.</w:t>
      </w:r>
    </w:p>
    <w:p>
      <w:pPr>
        <w:pStyle w:val="ListNumber"/>
        <w:spacing w:after="40"/>
      </w:pPr>
      <w:r>
        <w:t>Importer previews data, maps columns, validates required fields, normalizes values, and reports duplicates/invalid rows.</w:t>
      </w:r>
    </w:p>
    <w:p>
      <w:pPr>
        <w:pStyle w:val="ListNumber"/>
        <w:spacing w:after="40"/>
      </w:pPr>
      <w:r>
        <w:t>System deduplicates against campaign records, existing leads and global suppression lists.</w:t>
      </w:r>
    </w:p>
    <w:p>
      <w:pPr>
        <w:pStyle w:val="ListNumber"/>
        <w:spacing w:after="40"/>
      </w:pPr>
      <w:r>
        <w:t>Lightweight deterministic qualification runs first; only eligible leads go to deeper research.</w:t>
      </w:r>
    </w:p>
    <w:p>
      <w:pPr>
        <w:pStyle w:val="ListNumber"/>
        <w:spacing w:after="40"/>
      </w:pPr>
      <w:r>
        <w:t>Research gathers relevant public company facts, careers/job signals, news and other permitted business signals, storing URLs and evidence.</w:t>
      </w:r>
    </w:p>
    <w:p>
      <w:pPr>
        <w:pStyle w:val="ListNumber"/>
        <w:spacing w:after="40"/>
      </w:pPr>
      <w:r>
        <w:t>Scoring assigns 0–100 and an explanation. Low scores are skipped; borderline records may be held for review.</w:t>
      </w:r>
    </w:p>
    <w:p>
      <w:pPr>
        <w:pStyle w:val="ListNumber"/>
        <w:spacing w:after="40"/>
      </w:pPr>
      <w:r>
        <w:t>Where permitted, email reveal/enrichment and verification run after qualification and within configured spending caps.</w:t>
      </w:r>
    </w:p>
    <w:p>
      <w:pPr>
        <w:pStyle w:val="ListNumber"/>
        <w:spacing w:after="40"/>
      </w:pPr>
      <w:r>
        <w:t>Mastra workflow calls Claude to generate a subject and body using evidence, offer library, tone rules and required personalization fields.</w:t>
      </w:r>
    </w:p>
    <w:p>
      <w:pPr>
        <w:pStyle w:val="ListNumber"/>
        <w:spacing w:after="40"/>
      </w:pPr>
      <w:r>
        <w:t>A separate quality check validates factual support, relevance, identity fields, CTA, length and suppression status.</w:t>
      </w:r>
    </w:p>
    <w:p>
      <w:pPr>
        <w:pStyle w:val="ListNumber"/>
        <w:spacing w:after="40"/>
      </w:pPr>
      <w:r>
        <w:t>User sees evidence, score, draft, warnings and estimated cost, then edits, regenerates, approves or skips.</w:t>
      </w:r>
    </w:p>
    <w:p>
      <w:pPr>
        <w:pStyle w:val="ListNumber"/>
        <w:spacing w:after="40"/>
      </w:pPr>
      <w:r>
        <w:t>After approval, system creates a draft in the selected Gmail inbox and saves Gmail draft ID, account and timestamp.</w:t>
      </w:r>
    </w:p>
    <w:p>
      <w:pPr>
        <w:pStyle w:val="ListNumber"/>
        <w:spacing w:after="40"/>
      </w:pPr>
      <w:r>
        <w:t>User approves drafts for sending (one by one or as a reviewed batch); the send job sends them, records status and provider message ID, and updates lead history. Dashboard shows batch results, sent/failed/pending emails, usage, cost and next actions.</w:t>
      </w:r>
    </w:p>
    <w:p>
      <w:pPr>
        <w:pStyle w:val="Heading1"/>
      </w:pPr>
      <w:r>
        <w:t>5. CSV / Excel Import (First-Class Requirement)</w:t>
      </w:r>
    </w:p>
    <w:p>
      <w:pPr>
        <w:pStyle w:val="ListBullet"/>
        <w:spacing w:after="40"/>
      </w:pPr>
      <w:r>
        <w:t>Support .csv and .xlsx, configurable file-size/row limits, worksheet selection and first-rows preview.</w:t>
      </w:r>
    </w:p>
    <w:p>
      <w:pPr>
        <w:pStyle w:val="ListBullet"/>
        <w:spacing w:after="40"/>
      </w:pPr>
      <w:r>
        <w:t>Provide flexible column mapping for First Name, Last Name, Full Name, Email, Title, Company, Website, LinkedIn URL, Country, Industry and Notes.</w:t>
      </w:r>
    </w:p>
    <w:p>
      <w:pPr>
        <w:pStyle w:val="ListBullet"/>
        <w:spacing w:after="40"/>
      </w:pPr>
      <w:r>
        <w:t>Support common header aliases such as first_name / First Name / Fname and company / company_name / Organization.</w:t>
      </w:r>
    </w:p>
    <w:p>
      <w:pPr>
        <w:pStyle w:val="ListBullet"/>
        <w:spacing w:after="40"/>
      </w:pPr>
      <w:r>
        <w:t>Allow research-first imports without email when the campaign is configured for later authorized enrichment.</w:t>
      </w:r>
    </w:p>
    <w:p>
      <w:pPr>
        <w:pStyle w:val="ListBullet"/>
        <w:spacing w:after="40"/>
      </w:pPr>
      <w:r>
        <w:t>Normalize whitespace, URLs and email casing without silently changing meaningful source data.</w:t>
      </w:r>
    </w:p>
    <w:p>
      <w:pPr>
        <w:pStyle w:val="ListBullet"/>
        <w:spacing w:after="40"/>
      </w:pPr>
      <w:r>
        <w:t>Validate required fields per campaign; mark row-level errors rather than failing the whole file.</w:t>
      </w:r>
    </w:p>
    <w:p>
      <w:pPr>
        <w:pStyle w:val="ListBullet"/>
        <w:spacing w:after="40"/>
      </w:pPr>
      <w:r>
        <w:t>Deduplicate by normalized email, profile URL, and configurable company + name matching.</w:t>
      </w:r>
    </w:p>
    <w:p>
      <w:pPr>
        <w:pStyle w:val="ListBullet"/>
        <w:spacing w:after="40"/>
      </w:pPr>
      <w:r>
        <w:t>Offer import modes: add new only, update existing, skip duplicates, and preview-only dry run.</w:t>
      </w:r>
    </w:p>
    <w:p>
      <w:pPr>
        <w:pStyle w:val="ListBullet"/>
        <w:spacing w:after="40"/>
      </w:pPr>
      <w:r>
        <w:t>Show totals for imported, duplicate, invalid, skipped and failed rows; allow error rows to be downloaded.</w:t>
      </w:r>
    </w:p>
    <w:p>
      <w:pPr>
        <w:pStyle w:val="ListBullet"/>
        <w:spacing w:after="40"/>
      </w:pPr>
      <w:r>
        <w:t>Store source filename, import batch ID, user, timestamp and original row for audit/reprocessing.</w:t>
      </w:r>
    </w:p>
    <w:p>
      <w:pPr>
        <w:pStyle w:val="ListBullet"/>
        <w:spacing w:after="40"/>
      </w:pPr>
      <w:r>
        <w:t>Protect exported CSV/XLSX from spreadsheet formula injection.</w:t>
      </w:r>
    </w:p>
    <w:p>
      <w:pPr>
        <w:pStyle w:val="Heading1"/>
      </w:pPr>
      <w:r>
        <w:t>6. Lead Fields and Data Model</w:t>
      </w:r>
    </w:p>
    <w:tbl>
      <w:tblPr>
        <w:tblStyle w:val="TableGrid"/>
        <w:tblW w:type="auto" w:w="0"/>
        <w:jc w:val="center"/>
        <w:tblLook w:firstColumn="1" w:firstRow="1" w:lastColumn="0" w:lastRow="0" w:noHBand="0" w:noVBand="1" w:val="04A0"/>
      </w:tblPr>
      <w:tblGrid>
        <w:gridCol w:w="5040"/>
        <w:gridCol w:w="5040"/>
      </w:tblGrid>
      <w:tr>
        <w:tc>
          <w:tcPr>
            <w:tcW w:type="dxa" w:w="5040"/>
            <w:shd w:fill="CFE2F3"/>
          </w:tcPr>
          <w:p>
            <w:r>
              <w:rPr>
                <w:b/>
                <w:sz w:val="17"/>
              </w:rPr>
              <w:t>Entity</w:t>
            </w:r>
          </w:p>
        </w:tc>
        <w:tc>
          <w:tcPr>
            <w:tcW w:type="dxa" w:w="5040"/>
            <w:shd w:fill="CFE2F3"/>
          </w:tcPr>
          <w:p>
            <w:r>
              <w:rPr>
                <w:b/>
                <w:sz w:val="17"/>
              </w:rPr>
              <w:t>Suggested fields</w:t>
            </w:r>
          </w:p>
        </w:tc>
      </w:tr>
      <w:tr>
        <w:tc>
          <w:tcPr>
            <w:tcW w:type="dxa" w:w="5040"/>
            <w:vAlign w:val="center"/>
          </w:tcPr>
          <w:p>
            <w:pPr>
              <w:spacing w:after="0"/>
            </w:pPr>
            <w:r>
              <w:rPr>
                <w:sz w:val="16"/>
              </w:rPr>
              <w:t>Lead/contact</w:t>
            </w:r>
          </w:p>
        </w:tc>
        <w:tc>
          <w:tcPr>
            <w:tcW w:type="dxa" w:w="5040"/>
            <w:vAlign w:val="center"/>
          </w:tcPr>
          <w:p>
            <w:pPr>
              <w:spacing w:after="0"/>
            </w:pPr>
            <w:r>
              <w:rPr>
                <w:sz w:val="16"/>
              </w:rPr>
              <w:t>id, first_name, last_name, full_name, job_title, company_name, business_email, email_status, phone (optional), profile_url, company_website, industry, company_size, location, country, source, source_record_id, timestamps</w:t>
            </w:r>
          </w:p>
        </w:tc>
      </w:tr>
      <w:tr>
        <w:tc>
          <w:tcPr>
            <w:tcW w:type="dxa" w:w="5040"/>
            <w:vAlign w:val="center"/>
          </w:tcPr>
          <w:p>
            <w:pPr>
              <w:spacing w:after="0"/>
            </w:pPr>
            <w:r>
              <w:rPr>
                <w:sz w:val="16"/>
              </w:rPr>
              <w:t>Company research</w:t>
            </w:r>
          </w:p>
        </w:tc>
        <w:tc>
          <w:tcPr>
            <w:tcW w:type="dxa" w:w="5040"/>
            <w:vAlign w:val="center"/>
          </w:tcPr>
          <w:p>
            <w:pPr>
              <w:spacing w:after="0"/>
            </w:pPr>
            <w:r>
              <w:rPr>
                <w:sz w:val="16"/>
              </w:rPr>
              <w:t>company_domain, summary, business_model, hiring/news/business signals, evidence items, source URLs, retrieval timestamps, confidence</w:t>
            </w:r>
          </w:p>
        </w:tc>
      </w:tr>
      <w:tr>
        <w:tc>
          <w:tcPr>
            <w:tcW w:type="dxa" w:w="5040"/>
            <w:vAlign w:val="center"/>
          </w:tcPr>
          <w:p>
            <w:pPr>
              <w:spacing w:after="0"/>
            </w:pPr>
            <w:r>
              <w:rPr>
                <w:sz w:val="16"/>
              </w:rPr>
              <w:t>Qualification</w:t>
            </w:r>
          </w:p>
        </w:tc>
        <w:tc>
          <w:tcPr>
            <w:tcW w:type="dxa" w:w="5040"/>
            <w:vAlign w:val="center"/>
          </w:tcPr>
          <w:p>
            <w:pPr>
              <w:spacing w:after="0"/>
            </w:pPr>
            <w:r>
              <w:rPr>
                <w:sz w:val="16"/>
              </w:rPr>
              <w:t>lead_score 0–100, score_components, qualification_status, reason_codes, rejection_reason, recommended_offer_id, review_required</w:t>
            </w:r>
          </w:p>
        </w:tc>
      </w:tr>
      <w:tr>
        <w:tc>
          <w:tcPr>
            <w:tcW w:type="dxa" w:w="5040"/>
            <w:vAlign w:val="center"/>
          </w:tcPr>
          <w:p>
            <w:pPr>
              <w:spacing w:after="0"/>
            </w:pPr>
            <w:r>
              <w:rPr>
                <w:sz w:val="16"/>
              </w:rPr>
              <w:t>Email draft</w:t>
            </w:r>
          </w:p>
        </w:tc>
        <w:tc>
          <w:tcPr>
            <w:tcW w:type="dxa" w:w="5040"/>
            <w:vAlign w:val="center"/>
          </w:tcPr>
          <w:p>
            <w:pPr>
              <w:spacing w:after="0"/>
            </w:pPr>
            <w:r>
              <w:rPr>
                <w:sz w:val="16"/>
              </w:rPr>
              <w:t>subject, body_text, optional body_html, personalization_facts, claim_check_status, quality_score, warnings, Gmail account, Gmail draft ID, version and timestamps</w:t>
            </w:r>
          </w:p>
        </w:tc>
      </w:tr>
      <w:tr>
        <w:tc>
          <w:tcPr>
            <w:tcW w:type="dxa" w:w="5040"/>
            <w:vAlign w:val="center"/>
          </w:tcPr>
          <w:p>
            <w:pPr>
              <w:spacing w:after="0"/>
            </w:pPr>
            <w:r>
              <w:rPr>
                <w:sz w:val="16"/>
              </w:rPr>
              <w:t>Campaign</w:t>
            </w:r>
          </w:p>
        </w:tc>
        <w:tc>
          <w:tcPr>
            <w:tcW w:type="dxa" w:w="5040"/>
            <w:vAlign w:val="center"/>
          </w:tcPr>
          <w:p>
            <w:pPr>
              <w:spacing w:after="0"/>
            </w:pPr>
            <w:r>
              <w:rPr>
                <w:sz w:val="16"/>
              </w:rPr>
              <w:t>name, ICP rules, target roles/region, score threshold, daily cap, offer/case study, tone, CTA, sender inbox, workflow settings</w:t>
            </w:r>
          </w:p>
        </w:tc>
      </w:tr>
      <w:tr>
        <w:tc>
          <w:tcPr>
            <w:tcW w:type="dxa" w:w="5040"/>
            <w:vAlign w:val="center"/>
          </w:tcPr>
          <w:p>
            <w:pPr>
              <w:spacing w:after="0"/>
            </w:pPr>
            <w:r>
              <w:rPr>
                <w:sz w:val="16"/>
              </w:rPr>
              <w:t>Workflow/audit</w:t>
            </w:r>
          </w:p>
        </w:tc>
        <w:tc>
          <w:tcPr>
            <w:tcW w:type="dxa" w:w="5040"/>
            <w:vAlign w:val="center"/>
          </w:tcPr>
          <w:p>
            <w:pPr>
              <w:spacing w:after="0"/>
            </w:pPr>
            <w:r>
              <w:rPr>
                <w:sz w:val="16"/>
              </w:rPr>
              <w:t>job_id, import_batch_id, step, status, attempts, errors, timing, token usage, search usage, verification usage, estimated cost</w:t>
            </w:r>
          </w:p>
        </w:tc>
      </w:tr>
      <w:tr>
        <w:tc>
          <w:tcPr>
            <w:tcW w:type="dxa" w:w="5040"/>
            <w:vAlign w:val="center"/>
          </w:tcPr>
          <w:p>
            <w:pPr>
              <w:spacing w:after="0"/>
            </w:pPr>
            <w:r>
              <w:rPr>
                <w:sz w:val="16"/>
              </w:rPr>
              <w:t>Suppression/follow-up</w:t>
            </w:r>
          </w:p>
        </w:tc>
        <w:tc>
          <w:tcPr>
            <w:tcW w:type="dxa" w:w="5040"/>
            <w:vAlign w:val="center"/>
          </w:tcPr>
          <w:p>
            <w:pPr>
              <w:spacing w:after="0"/>
            </w:pPr>
            <w:r>
              <w:rPr>
                <w:sz w:val="16"/>
              </w:rPr>
              <w:t>email/domain, reason, date, source, DNC status, sent/replied status if recorded, last activity, follow-up eligibility</w:t>
            </w:r>
          </w:p>
        </w:tc>
      </w:tr>
    </w:tbl>
    <w:p/>
    <w:p>
      <w:r>
        <w:t>Internal scores, research notes, evidence citations and validation warnings must remain in the UI/database, not in the customer-facing email.</w:t>
      </w:r>
    </w:p>
    <w:p>
      <w:pPr>
        <w:pStyle w:val="Heading1"/>
      </w:pPr>
      <w:r>
        <w:t>7. Research and Lead Scoring</w:t>
      </w:r>
    </w:p>
    <w:p>
      <w:pPr>
        <w:pStyle w:val="Heading2"/>
      </w:pPr>
      <w:r>
        <w:t>Research source priority</w:t>
      </w:r>
    </w:p>
    <w:p>
      <w:pPr>
        <w:pStyle w:val="ListBullet"/>
        <w:spacing w:after="40"/>
      </w:pPr>
      <w:r>
        <w:t>Company website, product/services pages, careers page, blog/newsroom and public job postings.</w:t>
      </w:r>
    </w:p>
    <w:p>
      <w:pPr>
        <w:pStyle w:val="ListBullet"/>
        <w:spacing w:after="40"/>
      </w:pPr>
      <w:r>
        <w:t>Search API results (e.g. Serper) when enabled; store source URL, title, date if available and evidence excerpt.</w:t>
      </w:r>
    </w:p>
    <w:p>
      <w:pPr>
        <w:pStyle w:val="ListBullet"/>
        <w:spacing w:after="40"/>
      </w:pPr>
      <w:r>
        <w:t>Public company/profile data from approved sources. Optional Apify only where the actor, data and site terms permit it.</w:t>
      </w:r>
    </w:p>
    <w:p>
      <w:pPr>
        <w:pStyle w:val="ListBullet"/>
        <w:spacing w:after="40"/>
      </w:pPr>
      <w:r>
        <w:t>Apollo fields and permitted integrations, subject to account plan, available API features and applicable terms.</w:t>
      </w:r>
    </w:p>
    <w:p>
      <w:pPr>
        <w:pStyle w:val="Heading2"/>
      </w:pPr>
      <w:r>
        <w:t>Illustrative configurable 0–100 score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7"/>
              </w:rPr>
              <w:t>Signal</w:t>
            </w:r>
          </w:p>
        </w:tc>
        <w:tc>
          <w:tcPr>
            <w:tcW w:type="dxa" w:w="3360"/>
            <w:shd w:fill="CFE2F3"/>
          </w:tcPr>
          <w:p>
            <w:r>
              <w:rPr>
                <w:b/>
                <w:sz w:val="17"/>
              </w:rPr>
              <w:t>Weight</w:t>
            </w:r>
          </w:p>
        </w:tc>
        <w:tc>
          <w:tcPr>
            <w:tcW w:type="dxa" w:w="3360"/>
            <w:shd w:fill="CFE2F3"/>
          </w:tcPr>
          <w:p>
            <w:r>
              <w:rPr>
                <w:b/>
                <w:sz w:val="17"/>
              </w:rPr>
              <w:t>Example</w:t>
            </w:r>
          </w:p>
        </w:tc>
      </w:tr>
      <w:tr>
        <w:tc>
          <w:tcPr>
            <w:tcW w:type="dxa" w:w="3360"/>
            <w:vAlign w:val="center"/>
          </w:tcPr>
          <w:p>
            <w:pPr>
              <w:spacing w:after="0"/>
            </w:pPr>
            <w:r>
              <w:rPr>
                <w:sz w:val="16"/>
              </w:rPr>
              <w:t>ICP fit</w:t>
            </w:r>
          </w:p>
        </w:tc>
        <w:tc>
          <w:tcPr>
            <w:tcW w:type="dxa" w:w="3360"/>
            <w:vAlign w:val="center"/>
          </w:tcPr>
          <w:p>
            <w:pPr>
              <w:spacing w:after="0"/>
            </w:pPr>
            <w:r>
              <w:rPr>
                <w:sz w:val="16"/>
              </w:rPr>
              <w:t>0–30</w:t>
            </w:r>
          </w:p>
        </w:tc>
        <w:tc>
          <w:tcPr>
            <w:tcW w:type="dxa" w:w="3360"/>
            <w:vAlign w:val="center"/>
          </w:tcPr>
          <w:p>
            <w:pPr>
              <w:spacing w:after="0"/>
            </w:pPr>
            <w:r>
              <w:rPr>
                <w:sz w:val="16"/>
              </w:rPr>
              <w:t>Industry, company size, geography, business type.</w:t>
            </w:r>
          </w:p>
        </w:tc>
      </w:tr>
      <w:tr>
        <w:tc>
          <w:tcPr>
            <w:tcW w:type="dxa" w:w="3360"/>
            <w:vAlign w:val="center"/>
          </w:tcPr>
          <w:p>
            <w:pPr>
              <w:spacing w:after="0"/>
            </w:pPr>
            <w:r>
              <w:rPr>
                <w:sz w:val="16"/>
              </w:rPr>
              <w:t>Relevant business trigger</w:t>
            </w:r>
          </w:p>
        </w:tc>
        <w:tc>
          <w:tcPr>
            <w:tcW w:type="dxa" w:w="3360"/>
            <w:vAlign w:val="center"/>
          </w:tcPr>
          <w:p>
            <w:pPr>
              <w:spacing w:after="0"/>
            </w:pPr>
            <w:r>
              <w:rPr>
                <w:sz w:val="16"/>
              </w:rPr>
              <w:t>0–25</w:t>
            </w:r>
          </w:p>
        </w:tc>
        <w:tc>
          <w:tcPr>
            <w:tcW w:type="dxa" w:w="3360"/>
            <w:vAlign w:val="center"/>
          </w:tcPr>
          <w:p>
            <w:pPr>
              <w:spacing w:after="0"/>
            </w:pPr>
            <w:r>
              <w:rPr>
                <w:sz w:val="16"/>
              </w:rPr>
              <w:t>Hiring, expansion, launch, or relevant public news.</w:t>
            </w:r>
          </w:p>
        </w:tc>
      </w:tr>
      <w:tr>
        <w:tc>
          <w:tcPr>
            <w:tcW w:type="dxa" w:w="3360"/>
            <w:vAlign w:val="center"/>
          </w:tcPr>
          <w:p>
            <w:pPr>
              <w:spacing w:after="0"/>
            </w:pPr>
            <w:r>
              <w:rPr>
                <w:sz w:val="16"/>
              </w:rPr>
              <w:t>Persona / role fit</w:t>
            </w:r>
          </w:p>
        </w:tc>
        <w:tc>
          <w:tcPr>
            <w:tcW w:type="dxa" w:w="3360"/>
            <w:vAlign w:val="center"/>
          </w:tcPr>
          <w:p>
            <w:pPr>
              <w:spacing w:after="0"/>
            </w:pPr>
            <w:r>
              <w:rPr>
                <w:sz w:val="16"/>
              </w:rPr>
              <w:t>0–20</w:t>
            </w:r>
          </w:p>
        </w:tc>
        <w:tc>
          <w:tcPr>
            <w:tcW w:type="dxa" w:w="3360"/>
            <w:vAlign w:val="center"/>
          </w:tcPr>
          <w:p>
            <w:pPr>
              <w:spacing w:after="0"/>
            </w:pPr>
            <w:r>
              <w:rPr>
                <w:sz w:val="16"/>
              </w:rPr>
              <w:t>Contact likely to own or influence the problem.</w:t>
            </w:r>
          </w:p>
        </w:tc>
      </w:tr>
      <w:tr>
        <w:tc>
          <w:tcPr>
            <w:tcW w:type="dxa" w:w="3360"/>
            <w:vAlign w:val="center"/>
          </w:tcPr>
          <w:p>
            <w:pPr>
              <w:spacing w:after="0"/>
            </w:pPr>
            <w:r>
              <w:rPr>
                <w:sz w:val="16"/>
              </w:rPr>
              <w:t>Offer / case-study fit</w:t>
            </w:r>
          </w:p>
        </w:tc>
        <w:tc>
          <w:tcPr>
            <w:tcW w:type="dxa" w:w="3360"/>
            <w:vAlign w:val="center"/>
          </w:tcPr>
          <w:p>
            <w:pPr>
              <w:spacing w:after="0"/>
            </w:pPr>
            <w:r>
              <w:rPr>
                <w:sz w:val="16"/>
              </w:rPr>
              <w:t>0–15</w:t>
            </w:r>
          </w:p>
        </w:tc>
        <w:tc>
          <w:tcPr>
            <w:tcW w:type="dxa" w:w="3360"/>
            <w:vAlign w:val="center"/>
          </w:tcPr>
          <w:p>
            <w:pPr>
              <w:spacing w:after="0"/>
            </w:pPr>
            <w:r>
              <w:rPr>
                <w:sz w:val="16"/>
              </w:rPr>
              <w:t>An approved proof point genuinely matches the evidence.</w:t>
            </w:r>
          </w:p>
        </w:tc>
      </w:tr>
      <w:tr>
        <w:tc>
          <w:tcPr>
            <w:tcW w:type="dxa" w:w="3360"/>
            <w:vAlign w:val="center"/>
          </w:tcPr>
          <w:p>
            <w:pPr>
              <w:spacing w:after="0"/>
            </w:pPr>
            <w:r>
              <w:rPr>
                <w:sz w:val="16"/>
              </w:rPr>
              <w:t>Data confidence</w:t>
            </w:r>
          </w:p>
        </w:tc>
        <w:tc>
          <w:tcPr>
            <w:tcW w:type="dxa" w:w="3360"/>
            <w:vAlign w:val="center"/>
          </w:tcPr>
          <w:p>
            <w:pPr>
              <w:spacing w:after="0"/>
            </w:pPr>
            <w:r>
              <w:rPr>
                <w:sz w:val="16"/>
              </w:rPr>
              <w:t>0–10</w:t>
            </w:r>
          </w:p>
        </w:tc>
        <w:tc>
          <w:tcPr>
            <w:tcW w:type="dxa" w:w="3360"/>
            <w:vAlign w:val="center"/>
          </w:tcPr>
          <w:p>
            <w:pPr>
              <w:spacing w:after="0"/>
            </w:pPr>
            <w:r>
              <w:rPr>
                <w:sz w:val="16"/>
              </w:rPr>
              <w:t>Evidence quality and usable contact data.</w:t>
            </w:r>
          </w:p>
        </w:tc>
      </w:tr>
    </w:tbl>
    <w:p/>
    <w:p>
      <w:r>
        <w:t>Initial proposed policy: 75–100 eligible for draft generation; 55–74 manual review or more research; below 55 skip. Tune thresholds using pilot results.</w:t>
      </w:r>
    </w:p>
    <w:p>
      <w:pPr>
        <w:pStyle w:val="Heading1"/>
      </w:pPr>
      <w:r>
        <w:t>8. Email Generation and Quality Rules</w:t>
      </w:r>
    </w:p>
    <w:p>
      <w:pPr>
        <w:pStyle w:val="ListBullet"/>
        <w:spacing w:after="40"/>
      </w:pPr>
      <w:r>
        <w:t>Use Claude API for production calls; a consumer Claude subscription is not the same as API billing.</w:t>
      </w:r>
    </w:p>
    <w:p>
      <w:pPr>
        <w:pStyle w:val="ListBullet"/>
        <w:spacing w:after="40"/>
      </w:pPr>
      <w:r>
        <w:t>Keep prompts structured and bounded; pass relevant evidence, not entire unrelated websites or records.</w:t>
      </w:r>
    </w:p>
    <w:p>
      <w:pPr>
        <w:pStyle w:val="ListBullet"/>
        <w:spacing w:after="40"/>
      </w:pPr>
      <w:r>
        <w:t>Use campaign-specific value proposition, approved case studies, tone rules and CTA.</w:t>
      </w:r>
    </w:p>
    <w:p>
      <w:pPr>
        <w:pStyle w:val="ListBullet"/>
        <w:spacing w:after="40"/>
      </w:pPr>
      <w:r>
        <w:t>Personalize with one or two meaningful source-backed facts; avoid generic praise and superficial personalization.</w:t>
      </w:r>
    </w:p>
    <w:p>
      <w:pPr>
        <w:pStyle w:val="ListBullet"/>
        <w:spacing w:after="40"/>
      </w:pPr>
      <w:r>
        <w:t>Generate subject and plain-text body; optional HTML must be simple and safe.</w:t>
      </w:r>
    </w:p>
    <w:p>
      <w:pPr>
        <w:pStyle w:val="ListBullet"/>
        <w:spacing w:after="40"/>
      </w:pPr>
      <w:r>
        <w:t>Do not claim the prospect is hiring, expanding, using a technology or facing a problem unless evidence supports it.</w:t>
      </w:r>
    </w:p>
    <w:p>
      <w:pPr>
        <w:pStyle w:val="ListBullet"/>
        <w:spacing w:after="40"/>
      </w:pPr>
      <w:r>
        <w:t>Second-pass validator returns pass/fail, unsupported-claim flags, missing/incorrect fields and corrections.</w:t>
      </w:r>
    </w:p>
    <w:p>
      <w:pPr>
        <w:pStyle w:val="ListBullet"/>
        <w:spacing w:after="40"/>
      </w:pPr>
      <w:r>
        <w:t>Never fabricate case studies or outcomes. If no proof point fits, use an approved neutral offer or hold for review.</w:t>
      </w:r>
    </w:p>
    <w:p>
      <w:pPr>
        <w:pStyle w:val="ListBullet"/>
        <w:spacing w:after="40"/>
      </w:pPr>
      <w:r>
        <w:t>Preserve draft versions and allow regeneration with user feedback.</w:t>
      </w:r>
    </w:p>
    <w:p>
      <w:pPr>
        <w:pStyle w:val="ListBullet"/>
        <w:spacing w:after="40"/>
      </w:pPr>
      <w:r>
        <w:t>Keep internal score, sources and validation commentary out of the email body.</w:t>
      </w:r>
    </w:p>
    <w:p>
      <w:pPr>
        <w:pStyle w:val="Heading1"/>
      </w:pPr>
      <w:r>
        <w:t>9. Follow-Ups and Reply Tracking</w:t>
      </w:r>
    </w:p>
    <w:p>
      <w:r>
        <w:t>Follow-up support is planned, but MVP behavior is draft-only. It may calculate due dates (for example day 4/day 9) and display a follow-up queue. A human may update sent/replied status or approve a follow-up draft. Any future automated sending requires a separate explicit decision, compliance review and safeguards.</w:t>
      </w:r>
    </w:p>
    <w:p>
      <w:pPr>
        <w:pStyle w:val="ListBullet"/>
        <w:spacing w:after="40"/>
      </w:pPr>
      <w:r>
        <w:t>Follow-up eligibility requires recorded sent date, no reply, and no bounce/opt-out/DNC.</w:t>
      </w:r>
    </w:p>
    <w:p>
      <w:pPr>
        <w:pStyle w:val="ListBullet"/>
        <w:spacing w:after="40"/>
      </w:pPr>
      <w:r>
        <w:t>Reply tracking can be manual initially; Gmail thread/history synchronization can be added after OAuth and permissions are tested.</w:t>
      </w:r>
    </w:p>
    <w:p>
      <w:pPr>
        <w:pStyle w:val="ListBullet"/>
        <w:spacing w:after="40"/>
      </w:pPr>
      <w:r>
        <w:t>Never create follow-ups for suppressed, opted-out, replied or known-bounced contacts.</w:t>
      </w:r>
    </w:p>
    <w:p>
      <w:pPr>
        <w:pStyle w:val="ListBullet"/>
        <w:spacing w:after="40"/>
      </w:pPr>
      <w:r>
        <w:t>Support nurture, paused, closed and DNC states.</w:t>
      </w:r>
    </w:p>
    <w:p>
      <w:pPr>
        <w:pStyle w:val="Heading1"/>
      </w:pPr>
      <w:r>
        <w:t>10.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7"/>
              </w:rPr>
              <w:t>Layer</w:t>
            </w:r>
          </w:p>
        </w:tc>
        <w:tc>
          <w:tcPr>
            <w:tcW w:type="dxa" w:w="3360"/>
            <w:shd w:fill="CFE2F3"/>
          </w:tcPr>
          <w:p>
            <w:r>
              <w:rPr>
                <w:b/>
                <w:sz w:val="17"/>
              </w:rPr>
              <w:t>Recommendation</w:t>
            </w:r>
          </w:p>
        </w:tc>
        <w:tc>
          <w:tcPr>
            <w:tcW w:type="dxa" w:w="3360"/>
            <w:shd w:fill="CFE2F3"/>
          </w:tcPr>
          <w:p>
            <w:r>
              <w:rPr>
                <w:b/>
                <w:sz w:val="17"/>
              </w:rPr>
              <w:t>Notes</w:t>
            </w:r>
          </w:p>
        </w:tc>
      </w:tr>
      <w:tr>
        <w:tc>
          <w:tcPr>
            <w:tcW w:type="dxa" w:w="3360"/>
            <w:vAlign w:val="center"/>
          </w:tcPr>
          <w:p>
            <w:pPr>
              <w:spacing w:after="0"/>
            </w:pPr>
            <w:r>
              <w:rPr>
                <w:sz w:val="16"/>
              </w:rPr>
              <w:t>Frontend</w:t>
            </w:r>
          </w:p>
        </w:tc>
        <w:tc>
          <w:tcPr>
            <w:tcW w:type="dxa" w:w="3360"/>
            <w:vAlign w:val="center"/>
          </w:tcPr>
          <w:p>
            <w:pPr>
              <w:spacing w:after="0"/>
            </w:pPr>
            <w:r>
              <w:rPr>
                <w:sz w:val="16"/>
              </w:rPr>
              <w:t>Next.js + TypeScript + Tailwind/component library</w:t>
            </w:r>
          </w:p>
        </w:tc>
        <w:tc>
          <w:tcPr>
            <w:tcW w:type="dxa" w:w="3360"/>
            <w:vAlign w:val="center"/>
          </w:tcPr>
          <w:p>
            <w:pPr>
              <w:spacing w:after="0"/>
            </w:pPr>
            <w:r>
              <w:rPr>
                <w:sz w:val="16"/>
              </w:rPr>
              <w:t>Dashboard, import wizard, campaign setup, review queue, settings and reports.</w:t>
            </w:r>
          </w:p>
        </w:tc>
      </w:tr>
      <w:tr>
        <w:tc>
          <w:tcPr>
            <w:tcW w:type="dxa" w:w="3360"/>
            <w:vAlign w:val="center"/>
          </w:tcPr>
          <w:p>
            <w:pPr>
              <w:spacing w:after="0"/>
            </w:pPr>
            <w:r>
              <w:rPr>
                <w:sz w:val="16"/>
              </w:rPr>
              <w:t>Backend</w:t>
            </w:r>
          </w:p>
        </w:tc>
        <w:tc>
          <w:tcPr>
            <w:tcW w:type="dxa" w:w="3360"/>
            <w:vAlign w:val="center"/>
          </w:tcPr>
          <w:p>
            <w:pPr>
              <w:spacing w:after="0"/>
            </w:pPr>
            <w:r>
              <w:rPr>
                <w:sz w:val="16"/>
              </w:rPr>
              <w:t>Node.js + TypeScript</w:t>
            </w:r>
          </w:p>
        </w:tc>
        <w:tc>
          <w:tcPr>
            <w:tcW w:type="dxa" w:w="3360"/>
            <w:vAlign w:val="center"/>
          </w:tcPr>
          <w:p>
            <w:pPr>
              <w:spacing w:after="0"/>
            </w:pPr>
            <w:r>
              <w:rPr>
                <w:sz w:val="16"/>
              </w:rPr>
              <w:t>Consistent TypeScript stack with Mastra; add another service only if justified.</w:t>
            </w:r>
          </w:p>
        </w:tc>
      </w:tr>
      <w:tr>
        <w:tc>
          <w:tcPr>
            <w:tcW w:type="dxa" w:w="3360"/>
            <w:vAlign w:val="center"/>
          </w:tcPr>
          <w:p>
            <w:pPr>
              <w:spacing w:after="0"/>
            </w:pPr>
            <w:r>
              <w:rPr>
                <w:sz w:val="16"/>
              </w:rPr>
              <w:t>Agents/workflows</w:t>
            </w:r>
          </w:p>
        </w:tc>
        <w:tc>
          <w:tcPr>
            <w:tcW w:type="dxa" w:w="3360"/>
            <w:vAlign w:val="center"/>
          </w:tcPr>
          <w:p>
            <w:pPr>
              <w:spacing w:after="0"/>
            </w:pPr>
            <w:r>
              <w:rPr>
                <w:sz w:val="16"/>
              </w:rPr>
              <w:t>Mastra open-source framework, self-hosted</w:t>
            </w:r>
          </w:p>
        </w:tc>
        <w:tc>
          <w:tcPr>
            <w:tcW w:type="dxa" w:w="3360"/>
            <w:vAlign w:val="center"/>
          </w:tcPr>
          <w:p>
            <w:pPr>
              <w:spacing w:after="0"/>
            </w:pPr>
            <w:r>
              <w:rPr>
                <w:sz w:val="16"/>
              </w:rPr>
              <w:t>Workflow orchestration, step boundaries, retries and observability options.</w:t>
            </w:r>
          </w:p>
        </w:tc>
      </w:tr>
      <w:tr>
        <w:tc>
          <w:tcPr>
            <w:tcW w:type="dxa" w:w="3360"/>
            <w:vAlign w:val="center"/>
          </w:tcPr>
          <w:p>
            <w:pPr>
              <w:spacing w:after="0"/>
            </w:pPr>
            <w:r>
              <w:rPr>
                <w:sz w:val="16"/>
              </w:rPr>
              <w:t>LLM</w:t>
            </w:r>
          </w:p>
        </w:tc>
        <w:tc>
          <w:tcPr>
            <w:tcW w:type="dxa" w:w="3360"/>
            <w:vAlign w:val="center"/>
          </w:tcPr>
          <w:p>
            <w:pPr>
              <w:spacing w:after="0"/>
            </w:pPr>
            <w:r>
              <w:rPr>
                <w:sz w:val="16"/>
              </w:rPr>
              <w:t>Claude API</w:t>
            </w:r>
          </w:p>
        </w:tc>
        <w:tc>
          <w:tcPr>
            <w:tcW w:type="dxa" w:w="3360"/>
            <w:vAlign w:val="center"/>
          </w:tcPr>
          <w:p>
            <w:pPr>
              <w:spacing w:after="0"/>
            </w:pPr>
            <w:r>
              <w:rPr>
                <w:sz w:val="16"/>
              </w:rPr>
              <w:t>Structured extraction, research synthesis, writing and quality validation; API billed separately.</w:t>
            </w:r>
          </w:p>
        </w:tc>
      </w:tr>
      <w:tr>
        <w:tc>
          <w:tcPr>
            <w:tcW w:type="dxa" w:w="3360"/>
            <w:vAlign w:val="center"/>
          </w:tcPr>
          <w:p>
            <w:pPr>
              <w:spacing w:after="0"/>
            </w:pPr>
            <w:r>
              <w:rPr>
                <w:sz w:val="16"/>
              </w:rPr>
              <w:t>Database</w:t>
            </w:r>
          </w:p>
        </w:tc>
        <w:tc>
          <w:tcPr>
            <w:tcW w:type="dxa" w:w="3360"/>
            <w:vAlign w:val="center"/>
          </w:tcPr>
          <w:p>
            <w:pPr>
              <w:spacing w:after="0"/>
            </w:pPr>
            <w:r>
              <w:rPr>
                <w:sz w:val="16"/>
              </w:rPr>
              <w:t>PostgreSQL</w:t>
            </w:r>
          </w:p>
        </w:tc>
        <w:tc>
          <w:tcPr>
            <w:tcW w:type="dxa" w:w="3360"/>
            <w:vAlign w:val="center"/>
          </w:tcPr>
          <w:p>
            <w:pPr>
              <w:spacing w:after="0"/>
            </w:pPr>
            <w:r>
              <w:rPr>
                <w:sz w:val="16"/>
              </w:rPr>
              <w:t>Leads, campaigns, imports, evidence, jobs, drafts, costs and audit trail.</w:t>
            </w:r>
          </w:p>
        </w:tc>
      </w:tr>
      <w:tr>
        <w:tc>
          <w:tcPr>
            <w:tcW w:type="dxa" w:w="3360"/>
            <w:vAlign w:val="center"/>
          </w:tcPr>
          <w:p>
            <w:pPr>
              <w:spacing w:after="0"/>
            </w:pPr>
            <w:r>
              <w:rPr>
                <w:sz w:val="16"/>
              </w:rPr>
              <w:t>Queue</w:t>
            </w:r>
          </w:p>
        </w:tc>
        <w:tc>
          <w:tcPr>
            <w:tcW w:type="dxa" w:w="3360"/>
            <w:vAlign w:val="center"/>
          </w:tcPr>
          <w:p>
            <w:pPr>
              <w:spacing w:after="0"/>
            </w:pPr>
            <w:r>
              <w:rPr>
                <w:sz w:val="16"/>
              </w:rPr>
              <w:t>PostgreSQL-backed queue/lightweight queue initially</w:t>
            </w:r>
          </w:p>
        </w:tc>
        <w:tc>
          <w:tcPr>
            <w:tcW w:type="dxa" w:w="3360"/>
            <w:vAlign w:val="center"/>
          </w:tcPr>
          <w:p>
            <w:pPr>
              <w:spacing w:after="0"/>
            </w:pPr>
            <w:r>
              <w:rPr>
                <w:sz w:val="16"/>
              </w:rPr>
              <w:t>Retryable processing, concurrency limits and resumability; add Redis only if needed.</w:t>
            </w:r>
          </w:p>
        </w:tc>
      </w:tr>
      <w:tr>
        <w:tc>
          <w:tcPr>
            <w:tcW w:type="dxa" w:w="3360"/>
            <w:vAlign w:val="center"/>
          </w:tcPr>
          <w:p>
            <w:pPr>
              <w:spacing w:after="0"/>
            </w:pPr>
            <w:r>
              <w:rPr>
                <w:sz w:val="16"/>
              </w:rPr>
              <w:t>Web extraction</w:t>
            </w:r>
          </w:p>
        </w:tc>
        <w:tc>
          <w:tcPr>
            <w:tcW w:type="dxa" w:w="3360"/>
            <w:vAlign w:val="center"/>
          </w:tcPr>
          <w:p>
            <w:pPr>
              <w:spacing w:after="0"/>
            </w:pPr>
            <w:r>
              <w:rPr>
                <w:sz w:val="16"/>
              </w:rPr>
              <w:t>Node fetch + readability/parser</w:t>
            </w:r>
          </w:p>
        </w:tc>
        <w:tc>
          <w:tcPr>
            <w:tcW w:type="dxa" w:w="3360"/>
            <w:vAlign w:val="center"/>
          </w:tcPr>
          <w:p>
            <w:pPr>
              <w:spacing w:after="0"/>
            </w:pPr>
            <w:r>
              <w:rPr>
                <w:sz w:val="16"/>
              </w:rPr>
              <w:t>Accessible public pages only; respect site terms, robots directives and rate limits.</w:t>
            </w:r>
          </w:p>
        </w:tc>
      </w:tr>
      <w:tr>
        <w:tc>
          <w:tcPr>
            <w:tcW w:type="dxa" w:w="3360"/>
            <w:vAlign w:val="center"/>
          </w:tcPr>
          <w:p>
            <w:pPr>
              <w:spacing w:after="0"/>
            </w:pPr>
            <w:r>
              <w:rPr>
                <w:sz w:val="16"/>
              </w:rPr>
              <w:t>Search</w:t>
            </w:r>
          </w:p>
        </w:tc>
        <w:tc>
          <w:tcPr>
            <w:tcW w:type="dxa" w:w="3360"/>
            <w:vAlign w:val="center"/>
          </w:tcPr>
          <w:p>
            <w:pPr>
              <w:spacing w:after="0"/>
            </w:pPr>
            <w:r>
              <w:rPr>
                <w:sz w:val="16"/>
              </w:rPr>
              <w:t>Serper or selected search API</w:t>
            </w:r>
          </w:p>
        </w:tc>
        <w:tc>
          <w:tcPr>
            <w:tcW w:type="dxa" w:w="3360"/>
            <w:vAlign w:val="center"/>
          </w:tcPr>
          <w:p>
            <w:pPr>
              <w:spacing w:after="0"/>
            </w:pPr>
            <w:r>
              <w:rPr>
                <w:sz w:val="16"/>
              </w:rPr>
              <w:t>Use only when needed; cache results and track credits.</w:t>
            </w:r>
          </w:p>
        </w:tc>
      </w:tr>
      <w:tr>
        <w:tc>
          <w:tcPr>
            <w:tcW w:type="dxa" w:w="3360"/>
            <w:vAlign w:val="center"/>
          </w:tcPr>
          <w:p>
            <w:pPr>
              <w:spacing w:after="0"/>
            </w:pPr>
            <w:r>
              <w:rPr>
                <w:sz w:val="16"/>
              </w:rPr>
              <w:t>Email validation</w:t>
            </w:r>
          </w:p>
        </w:tc>
        <w:tc>
          <w:tcPr>
            <w:tcW w:type="dxa" w:w="3360"/>
            <w:vAlign w:val="center"/>
          </w:tcPr>
          <w:p>
            <w:pPr>
              <w:spacing w:after="0"/>
            </w:pPr>
            <w:r>
              <w:rPr>
                <w:sz w:val="16"/>
              </w:rPr>
              <w:t>Provider selected after comparison</w:t>
            </w:r>
          </w:p>
        </w:tc>
        <w:tc>
          <w:tcPr>
            <w:tcW w:type="dxa" w:w="3360"/>
            <w:vAlign w:val="center"/>
          </w:tcPr>
          <w:p>
            <w:pPr>
              <w:spacing w:after="0"/>
            </w:pPr>
            <w:r>
              <w:rPr>
                <w:sz w:val="16"/>
              </w:rPr>
              <w:t>Check accuracy, minimum spend, API pricing and data policy.</w:t>
            </w:r>
          </w:p>
        </w:tc>
      </w:tr>
      <w:tr>
        <w:tc>
          <w:tcPr>
            <w:tcW w:type="dxa" w:w="3360"/>
            <w:vAlign w:val="center"/>
          </w:tcPr>
          <w:p>
            <w:pPr>
              <w:spacing w:after="0"/>
            </w:pPr>
            <w:r>
              <w:rPr>
                <w:sz w:val="16"/>
              </w:rPr>
              <w:t>Gmail</w:t>
            </w:r>
          </w:p>
        </w:tc>
        <w:tc>
          <w:tcPr>
            <w:tcW w:type="dxa" w:w="3360"/>
            <w:vAlign w:val="center"/>
          </w:tcPr>
          <w:p>
            <w:pPr>
              <w:spacing w:after="0"/>
            </w:pPr>
            <w:r>
              <w:rPr>
                <w:sz w:val="16"/>
              </w:rPr>
              <w:t>Gmail API + OAuth 2.0</w:t>
            </w:r>
          </w:p>
        </w:tc>
        <w:tc>
          <w:tcPr>
            <w:tcW w:type="dxa" w:w="3360"/>
            <w:vAlign w:val="center"/>
          </w:tcPr>
          <w:p>
            <w:pPr>
              <w:spacing w:after="0"/>
            </w:pPr>
            <w:r>
              <w:rPr>
                <w:sz w:val="16"/>
              </w:rPr>
              <w:t>Create drafts in authorized inboxes; encrypt refresh tokens.</w:t>
            </w:r>
          </w:p>
        </w:tc>
      </w:tr>
      <w:tr>
        <w:tc>
          <w:tcPr>
            <w:tcW w:type="dxa" w:w="3360"/>
            <w:vAlign w:val="center"/>
          </w:tcPr>
          <w:p>
            <w:pPr>
              <w:spacing w:after="0"/>
            </w:pPr>
            <w:r>
              <w:rPr>
                <w:sz w:val="16"/>
              </w:rPr>
              <w:t>Import/export</w:t>
            </w:r>
          </w:p>
        </w:tc>
        <w:tc>
          <w:tcPr>
            <w:tcW w:type="dxa" w:w="3360"/>
            <w:vAlign w:val="center"/>
          </w:tcPr>
          <w:p>
            <w:pPr>
              <w:spacing w:after="0"/>
            </w:pPr>
            <w:r>
              <w:rPr>
                <w:sz w:val="16"/>
              </w:rPr>
              <w:t>CSV/XLSX parser</w:t>
            </w:r>
          </w:p>
        </w:tc>
        <w:tc>
          <w:tcPr>
            <w:tcW w:type="dxa" w:w="3360"/>
            <w:vAlign w:val="center"/>
          </w:tcPr>
          <w:p>
            <w:pPr>
              <w:spacing w:after="0"/>
            </w:pPr>
            <w:r>
              <w:rPr>
                <w:sz w:val="16"/>
              </w:rPr>
              <w:t>Core feature; Google Sheets sync can remain optional.</w:t>
            </w:r>
          </w:p>
        </w:tc>
      </w:tr>
      <w:tr>
        <w:tc>
          <w:tcPr>
            <w:tcW w:type="dxa" w:w="3360"/>
            <w:vAlign w:val="center"/>
          </w:tcPr>
          <w:p>
            <w:pPr>
              <w:spacing w:after="0"/>
            </w:pPr>
            <w:r>
              <w:rPr>
                <w:sz w:val="16"/>
              </w:rPr>
              <w:t>Hosting</w:t>
            </w:r>
          </w:p>
        </w:tc>
        <w:tc>
          <w:tcPr>
            <w:tcW w:type="dxa" w:w="3360"/>
            <w:vAlign w:val="center"/>
          </w:tcPr>
          <w:p>
            <w:pPr>
              <w:spacing w:after="0"/>
            </w:pPr>
            <w:r>
              <w:rPr>
                <w:sz w:val="16"/>
              </w:rPr>
              <w:t>Small VPS or selected cloud host</w:t>
            </w:r>
          </w:p>
        </w:tc>
        <w:tc>
          <w:tcPr>
            <w:tcW w:type="dxa" w:w="3360"/>
            <w:vAlign w:val="center"/>
          </w:tcPr>
          <w:p>
            <w:pPr>
              <w:spacing w:after="0"/>
            </w:pPr>
            <w:r>
              <w:rPr>
                <w:sz w:val="16"/>
              </w:rPr>
              <w:t>Monitor CPU/RAM and background-job load.</w:t>
            </w:r>
          </w:p>
        </w:tc>
      </w:tr>
      <w:tr>
        <w:tc>
          <w:tcPr>
            <w:tcW w:type="dxa" w:w="3360"/>
            <w:vAlign w:val="center"/>
          </w:tcPr>
          <w:p>
            <w:pPr>
              <w:spacing w:after="0"/>
            </w:pPr>
            <w:r>
              <w:rPr>
                <w:sz w:val="16"/>
              </w:rPr>
              <w:t>Optional enrichment</w:t>
            </w:r>
          </w:p>
        </w:tc>
        <w:tc>
          <w:tcPr>
            <w:tcW w:type="dxa" w:w="3360"/>
            <w:vAlign w:val="center"/>
          </w:tcPr>
          <w:p>
            <w:pPr>
              <w:spacing w:after="0"/>
            </w:pPr>
            <w:r>
              <w:rPr>
                <w:sz w:val="16"/>
              </w:rPr>
              <w:t>Apify if permitted and proven useful</w:t>
            </w:r>
          </w:p>
        </w:tc>
        <w:tc>
          <w:tcPr>
            <w:tcW w:type="dxa" w:w="3360"/>
            <w:vAlign w:val="center"/>
          </w:tcPr>
          <w:p>
            <w:pPr>
              <w:spacing w:after="0"/>
            </w:pPr>
            <w:r>
              <w:rPr>
                <w:sz w:val="16"/>
              </w:rPr>
              <w:t>Not required for MVP; may materially increase costs.</w:t>
            </w:r>
          </w:p>
        </w:tc>
      </w:tr>
    </w:tbl>
    <w:p/>
    <w:p>
      <w:r>
        <w:t>Mastra decision: start with the open-source framework and self-host it. Mastra's hosted platform is separate; its official pricing page lists a free Starter tier with allowances and a $250/month Teams plan. Hosted Teams is optional, not a requirement.</w:t>
      </w:r>
    </w:p>
    <w:p>
      <w:pPr>
        <w:pStyle w:val="Heading1"/>
      </w:pPr>
      <w:r>
        <w:t>11. Required Screens / Modules</w:t>
      </w:r>
    </w:p>
    <w:tbl>
      <w:tblPr>
        <w:tblStyle w:val="TableGrid"/>
        <w:tblW w:type="auto" w:w="0"/>
        <w:jc w:val="center"/>
        <w:tblLook w:firstColumn="1" w:firstRow="1" w:lastColumn="0" w:lastRow="0" w:noHBand="0" w:noVBand="1" w:val="04A0"/>
      </w:tblPr>
      <w:tblGrid>
        <w:gridCol w:w="5040"/>
        <w:gridCol w:w="5040"/>
      </w:tblGrid>
      <w:tr>
        <w:tc>
          <w:tcPr>
            <w:tcW w:type="dxa" w:w="5040"/>
            <w:shd w:fill="CFE2F3"/>
          </w:tcPr>
          <w:p>
            <w:r>
              <w:rPr>
                <w:b/>
                <w:sz w:val="17"/>
              </w:rPr>
              <w:t>Module</w:t>
            </w:r>
          </w:p>
        </w:tc>
        <w:tc>
          <w:tcPr>
            <w:tcW w:type="dxa" w:w="5040"/>
            <w:shd w:fill="CFE2F3"/>
          </w:tcPr>
          <w:p>
            <w:r>
              <w:rPr>
                <w:b/>
                <w:sz w:val="17"/>
              </w:rPr>
              <w:t>Required capabilities</w:t>
            </w:r>
          </w:p>
        </w:tc>
      </w:tr>
      <w:tr>
        <w:tc>
          <w:tcPr>
            <w:tcW w:type="dxa" w:w="5040"/>
            <w:vAlign w:val="center"/>
          </w:tcPr>
          <w:p>
            <w:pPr>
              <w:spacing w:after="0"/>
            </w:pPr>
            <w:r>
              <w:rPr>
                <w:sz w:val="16"/>
              </w:rPr>
              <w:t>Dashboard</w:t>
            </w:r>
          </w:p>
        </w:tc>
        <w:tc>
          <w:tcPr>
            <w:tcW w:type="dxa" w:w="5040"/>
            <w:vAlign w:val="center"/>
          </w:tcPr>
          <w:p>
            <w:pPr>
              <w:spacing w:after="0"/>
            </w:pPr>
            <w:r>
              <w:rPr>
                <w:sz w:val="16"/>
              </w:rPr>
              <w:t>Imported/qualified leads, drafts created, failed jobs, daily/monthly usage, cost estimates and queue health.</w:t>
            </w:r>
          </w:p>
        </w:tc>
      </w:tr>
      <w:tr>
        <w:tc>
          <w:tcPr>
            <w:tcW w:type="dxa" w:w="5040"/>
            <w:vAlign w:val="center"/>
          </w:tcPr>
          <w:p>
            <w:pPr>
              <w:spacing w:after="0"/>
            </w:pPr>
            <w:r>
              <w:rPr>
                <w:sz w:val="16"/>
              </w:rPr>
              <w:t>Campaigns</w:t>
            </w:r>
          </w:p>
        </w:tc>
        <w:tc>
          <w:tcPr>
            <w:tcW w:type="dxa" w:w="5040"/>
            <w:vAlign w:val="center"/>
          </w:tcPr>
          <w:p>
            <w:pPr>
              <w:spacing w:after="0"/>
            </w:pPr>
            <w:r>
              <w:rPr>
                <w:sz w:val="16"/>
              </w:rPr>
              <w:t>ICP, roles, geography, threshold, offer library, tone, CTA, draft cap and sender inbox.</w:t>
            </w:r>
          </w:p>
        </w:tc>
      </w:tr>
      <w:tr>
        <w:tc>
          <w:tcPr>
            <w:tcW w:type="dxa" w:w="5040"/>
            <w:vAlign w:val="center"/>
          </w:tcPr>
          <w:p>
            <w:pPr>
              <w:spacing w:after="0"/>
            </w:pPr>
            <w:r>
              <w:rPr>
                <w:sz w:val="16"/>
              </w:rPr>
              <w:t>Lead import</w:t>
            </w:r>
          </w:p>
        </w:tc>
        <w:tc>
          <w:tcPr>
            <w:tcW w:type="dxa" w:w="5040"/>
            <w:vAlign w:val="center"/>
          </w:tcPr>
          <w:p>
            <w:pPr>
              <w:spacing w:after="0"/>
            </w:pPr>
            <w:r>
              <w:rPr>
                <w:sz w:val="16"/>
              </w:rPr>
              <w:t>CSV/XLSX upload, worksheet selection, mapping, preview, validation, dedupe, dry run, summary and error export.</w:t>
            </w:r>
          </w:p>
        </w:tc>
      </w:tr>
      <w:tr>
        <w:tc>
          <w:tcPr>
            <w:tcW w:type="dxa" w:w="5040"/>
            <w:vAlign w:val="center"/>
          </w:tcPr>
          <w:p>
            <w:pPr>
              <w:spacing w:after="0"/>
            </w:pPr>
            <w:r>
              <w:rPr>
                <w:sz w:val="16"/>
              </w:rPr>
              <w:t>Lead table</w:t>
            </w:r>
          </w:p>
        </w:tc>
        <w:tc>
          <w:tcPr>
            <w:tcW w:type="dxa" w:w="5040"/>
            <w:vAlign w:val="center"/>
          </w:tcPr>
          <w:p>
            <w:pPr>
              <w:spacing w:after="0"/>
            </w:pPr>
            <w:r>
              <w:rPr>
                <w:sz w:val="16"/>
              </w:rPr>
              <w:t>Search/filter/sort, contact/company fields, score, status, source and bulk actions.</w:t>
            </w:r>
          </w:p>
        </w:tc>
      </w:tr>
      <w:tr>
        <w:tc>
          <w:tcPr>
            <w:tcW w:type="dxa" w:w="5040"/>
            <w:vAlign w:val="center"/>
          </w:tcPr>
          <w:p>
            <w:pPr>
              <w:spacing w:after="0"/>
            </w:pPr>
            <w:r>
              <w:rPr>
                <w:sz w:val="16"/>
              </w:rPr>
              <w:t>Lead detail</w:t>
            </w:r>
          </w:p>
        </w:tc>
        <w:tc>
          <w:tcPr>
            <w:tcW w:type="dxa" w:w="5040"/>
            <w:vAlign w:val="center"/>
          </w:tcPr>
          <w:p>
            <w:pPr>
              <w:spacing w:after="0"/>
            </w:pPr>
            <w:r>
              <w:rPr>
                <w:sz w:val="16"/>
              </w:rPr>
              <w:t>Research evidence/source links, score breakdown, reasons, draft, warnings and event history.</w:t>
            </w:r>
          </w:p>
        </w:tc>
      </w:tr>
      <w:tr>
        <w:tc>
          <w:tcPr>
            <w:tcW w:type="dxa" w:w="5040"/>
            <w:vAlign w:val="center"/>
          </w:tcPr>
          <w:p>
            <w:pPr>
              <w:spacing w:after="0"/>
            </w:pPr>
            <w:r>
              <w:rPr>
                <w:sz w:val="16"/>
              </w:rPr>
              <w:t>Review queue</w:t>
            </w:r>
          </w:p>
        </w:tc>
        <w:tc>
          <w:tcPr>
            <w:tcW w:type="dxa" w:w="5040"/>
            <w:vAlign w:val="center"/>
          </w:tcPr>
          <w:p>
            <w:pPr>
              <w:spacing w:after="0"/>
            </w:pPr>
            <w:r>
              <w:rPr>
                <w:sz w:val="16"/>
              </w:rPr>
              <w:t>Approve, edit, regenerate, skip, mark DNC, choose inbox and create Gmail draft.</w:t>
            </w:r>
          </w:p>
        </w:tc>
      </w:tr>
      <w:tr>
        <w:tc>
          <w:tcPr>
            <w:tcW w:type="dxa" w:w="5040"/>
            <w:vAlign w:val="center"/>
          </w:tcPr>
          <w:p>
            <w:pPr>
              <w:spacing w:after="0"/>
            </w:pPr>
            <w:r>
              <w:rPr>
                <w:sz w:val="16"/>
              </w:rPr>
              <w:t>Inbox connections</w:t>
            </w:r>
          </w:p>
        </w:tc>
        <w:tc>
          <w:tcPr>
            <w:tcW w:type="dxa" w:w="5040"/>
            <w:vAlign w:val="center"/>
          </w:tcPr>
          <w:p>
            <w:pPr>
              <w:spacing w:after="0"/>
            </w:pPr>
            <w:r>
              <w:rPr>
                <w:sz w:val="16"/>
              </w:rPr>
              <w:t>Connect/disconnect Gmail, connection health and re-auth state.</w:t>
            </w:r>
          </w:p>
        </w:tc>
      </w:tr>
      <w:tr>
        <w:tc>
          <w:tcPr>
            <w:tcW w:type="dxa" w:w="5040"/>
            <w:vAlign w:val="center"/>
          </w:tcPr>
          <w:p>
            <w:pPr>
              <w:spacing w:after="0"/>
            </w:pPr>
            <w:r>
              <w:rPr>
                <w:sz w:val="16"/>
              </w:rPr>
              <w:t>Offer/proof library</w:t>
            </w:r>
          </w:p>
        </w:tc>
        <w:tc>
          <w:tcPr>
            <w:tcW w:type="dxa" w:w="5040"/>
            <w:vAlign w:val="center"/>
          </w:tcPr>
          <w:p>
            <w:pPr>
              <w:spacing w:after="0"/>
            </w:pPr>
            <w:r>
              <w:rPr>
                <w:sz w:val="16"/>
              </w:rPr>
              <w:t>Approved descriptions, case studies, facts, allowed claims and CTA options.</w:t>
            </w:r>
          </w:p>
        </w:tc>
      </w:tr>
      <w:tr>
        <w:tc>
          <w:tcPr>
            <w:tcW w:type="dxa" w:w="5040"/>
            <w:vAlign w:val="center"/>
          </w:tcPr>
          <w:p>
            <w:pPr>
              <w:spacing w:after="0"/>
            </w:pPr>
            <w:r>
              <w:rPr>
                <w:sz w:val="16"/>
              </w:rPr>
              <w:t>Suppression center</w:t>
            </w:r>
          </w:p>
        </w:tc>
        <w:tc>
          <w:tcPr>
            <w:tcW w:type="dxa" w:w="5040"/>
            <w:vAlign w:val="center"/>
          </w:tcPr>
          <w:p>
            <w:pPr>
              <w:spacing w:after="0"/>
            </w:pPr>
            <w:r>
              <w:rPr>
                <w:sz w:val="16"/>
              </w:rPr>
              <w:t>Global/campaign DNC list, duplicates, opt-outs, bounces and blocked domains.</w:t>
            </w:r>
          </w:p>
        </w:tc>
      </w:tr>
      <w:tr>
        <w:tc>
          <w:tcPr>
            <w:tcW w:type="dxa" w:w="5040"/>
            <w:vAlign w:val="center"/>
          </w:tcPr>
          <w:p>
            <w:pPr>
              <w:spacing w:after="0"/>
            </w:pPr>
            <w:r>
              <w:rPr>
                <w:sz w:val="16"/>
              </w:rPr>
              <w:t>Usage and cost</w:t>
            </w:r>
          </w:p>
        </w:tc>
        <w:tc>
          <w:tcPr>
            <w:tcW w:type="dxa" w:w="5040"/>
            <w:vAlign w:val="center"/>
          </w:tcPr>
          <w:p>
            <w:pPr>
              <w:spacing w:after="0"/>
            </w:pPr>
            <w:r>
              <w:rPr>
                <w:sz w:val="16"/>
              </w:rPr>
              <w:t>Model/token usage, search calls, verification credits, hosting estimate and cost per successful draft.</w:t>
            </w:r>
          </w:p>
        </w:tc>
      </w:tr>
      <w:tr>
        <w:tc>
          <w:tcPr>
            <w:tcW w:type="dxa" w:w="5040"/>
            <w:vAlign w:val="center"/>
          </w:tcPr>
          <w:p>
            <w:pPr>
              <w:spacing w:after="0"/>
            </w:pPr>
            <w:r>
              <w:rPr>
                <w:sz w:val="16"/>
              </w:rPr>
              <w:t>Job monitor</w:t>
            </w:r>
          </w:p>
        </w:tc>
        <w:tc>
          <w:tcPr>
            <w:tcW w:type="dxa" w:w="5040"/>
            <w:vAlign w:val="center"/>
          </w:tcPr>
          <w:p>
            <w:pPr>
              <w:spacing w:after="0"/>
            </w:pPr>
            <w:r>
              <w:rPr>
                <w:sz w:val="16"/>
              </w:rPr>
              <w:t>Queued/running/completed/failed jobs, retries, errors and resume/retry controls.</w:t>
            </w:r>
          </w:p>
        </w:tc>
      </w:tr>
      <w:tr>
        <w:tc>
          <w:tcPr>
            <w:tcW w:type="dxa" w:w="5040"/>
            <w:vAlign w:val="center"/>
          </w:tcPr>
          <w:p>
            <w:pPr>
              <w:spacing w:after="0"/>
            </w:pPr>
            <w:r>
              <w:rPr>
                <w:sz w:val="16"/>
              </w:rPr>
              <w:t>Settings</w:t>
            </w:r>
          </w:p>
        </w:tc>
        <w:tc>
          <w:tcPr>
            <w:tcW w:type="dxa" w:w="5040"/>
            <w:vAlign w:val="center"/>
          </w:tcPr>
          <w:p>
            <w:pPr>
              <w:spacing w:after="0"/>
            </w:pPr>
            <w:r>
              <w:rPr>
                <w:sz w:val="16"/>
              </w:rPr>
              <w:t>API keys, limits, retention, model selection, research depth, feature flags and roles.</w:t>
            </w:r>
          </w:p>
        </w:tc>
      </w:tr>
    </w:tbl>
    <w:p/>
    <w:p>
      <w:pPr>
        <w:pStyle w:val="Heading1"/>
      </w:pPr>
      <w:r>
        <w:t>12. Mastra Workflow Architecture</w:t>
      </w:r>
    </w:p>
    <w:p>
      <w:pPr>
        <w:pStyle w:val="ListNumber"/>
        <w:spacing w:after="40"/>
      </w:pPr>
      <w:r>
        <w:t>Import: parse file → map columns → validate → normalize → deduplicate → persist batch and rows.</w:t>
      </w:r>
    </w:p>
    <w:p>
      <w:pPr>
        <w:pStyle w:val="ListNumber"/>
        <w:spacing w:after="40"/>
      </w:pPr>
      <w:r>
        <w:t>Qualification: deterministic ICP filters → score available fields → decide if research is justified.</w:t>
      </w:r>
    </w:p>
    <w:p>
      <w:pPr>
        <w:pStyle w:val="ListNumber"/>
        <w:spacing w:after="40"/>
      </w:pPr>
      <w:r>
        <w:t>Research: gather permitted sources → extract structured evidence → save citations and confidence.</w:t>
      </w:r>
    </w:p>
    <w:p>
      <w:pPr>
        <w:pStyle w:val="ListNumber"/>
        <w:spacing w:after="40"/>
      </w:pPr>
      <w:r>
        <w:t>Scoring: calculate score using defined rules; use LLM explanations as support, not as the only source of truth.</w:t>
      </w:r>
    </w:p>
    <w:p>
      <w:pPr>
        <w:pStyle w:val="ListNumber"/>
        <w:spacing w:after="40"/>
      </w:pPr>
      <w:r>
        <w:t>Enrichment: if qualified and authorized, enrich/reveal/verify within explicit spend caps.</w:t>
      </w:r>
    </w:p>
    <w:p>
      <w:pPr>
        <w:pStyle w:val="ListNumber"/>
        <w:spacing w:after="40"/>
      </w:pPr>
      <w:r>
        <w:t>Draft: select approved offer → build evidence-grounded prompt → generate subject/body → validate structured output.</w:t>
      </w:r>
    </w:p>
    <w:p>
      <w:pPr>
        <w:pStyle w:val="ListNumber"/>
        <w:spacing w:after="40"/>
      </w:pPr>
      <w:r>
        <w:t>Quality check: verify claims, identity fields, relevance, tone, CTA, suppression and duplicate-draft risk.</w:t>
      </w:r>
    </w:p>
    <w:p>
      <w:pPr>
        <w:pStyle w:val="ListNumber"/>
        <w:spacing w:after="40"/>
      </w:pPr>
      <w:r>
        <w:t>Human review: present evidence and draft → user edits/approves/skips → create Gmail draft only after approval.</w:t>
      </w:r>
    </w:p>
    <w:p>
      <w:pPr>
        <w:pStyle w:val="ListNumber"/>
        <w:spacing w:after="40"/>
      </w:pPr>
      <w:r>
        <w:t>Telemetry: record usage, duration, retries, vendor charges where known and outcome status.</w:t>
      </w:r>
    </w:p>
    <w:p>
      <w:r>
        <w:t>Make steps idempotent: retrying a job must not create duplicate leads or Gmail drafts. Use a stable key such as campaign ID + lead ID + draft version.</w:t>
      </w:r>
    </w:p>
    <w:p>
      <w:pPr>
        <w:pStyle w:val="Heading1"/>
      </w:pPr>
      <w:r>
        <w:t>13. Gmail Integration and Safety</w:t>
      </w:r>
    </w:p>
    <w:p>
      <w:pPr>
        <w:pStyle w:val="ListBullet"/>
        <w:spacing w:after="40"/>
      </w:pPr>
      <w:r>
        <w:t>Use OAuth 2.0 and minimum required scopes. Connect two inboxes independently.</w:t>
      </w:r>
    </w:p>
    <w:p>
      <w:pPr>
        <w:pStyle w:val="ListBullet"/>
        <w:spacing w:after="40"/>
      </w:pPr>
      <w:r>
        <w:t>Let users select an inbox or use balanced assignment; initial target is 30 drafts/inbox/day.</w:t>
      </w:r>
    </w:p>
    <w:p>
      <w:pPr>
        <w:pStyle w:val="ListBullet"/>
        <w:spacing w:after="40"/>
      </w:pPr>
      <w:r>
        <w:t>Create drafts after review/approval. If batch draft mode is enabled, label it clearly; drafts are never sent without a separate send approval.</w:t>
      </w:r>
    </w:p>
    <w:p>
      <w:pPr>
        <w:pStyle w:val="ListBullet"/>
        <w:spacing w:after="40"/>
      </w:pPr>
      <w:r>
        <w:t>Call the Gmail send endpoint only from the approved-send job; include automated tests proving that unapproved, suppressed or already-sent drafts cannot be sent (v2).</w:t>
      </w:r>
    </w:p>
    <w:p>
      <w:pPr>
        <w:pStyle w:val="ListBullet"/>
        <w:spacing w:after="40"/>
      </w:pPr>
      <w:r>
        <w:t>Encrypt refresh tokens at rest; never log API keys, tokens, passwords or unnecessary personal data.</w:t>
      </w:r>
    </w:p>
    <w:p>
      <w:pPr>
        <w:pStyle w:val="ListBullet"/>
        <w:spacing w:after="40"/>
      </w:pPr>
      <w:r>
        <w:t>Handle revoked/expired authorization, quotas, retries, rate limits and exponential backoff.</w:t>
      </w:r>
    </w:p>
    <w:p>
      <w:pPr>
        <w:pStyle w:val="ListBullet"/>
        <w:spacing w:after="40"/>
      </w:pPr>
      <w:r>
        <w:t>Confirm Google OAuth consent-screen and verification requirements before production.</w:t>
      </w:r>
    </w:p>
    <w:p>
      <w:r>
        <w:t>Google's official Gmail API documentation describes standard usage within quotas as no additional cost, and documents request quotas and retry guidance. Check project-specific quotas and policies before launch because requirements can change.</w:t>
      </w:r>
    </w:p>
    <w:p>
      <w:pPr>
        <w:pStyle w:val="Heading1"/>
      </w:pPr>
      <w:r>
        <w:t>14. Security, Privacy and Reliability</w:t>
      </w:r>
    </w:p>
    <w:p>
      <w:pPr>
        <w:pStyle w:val="ListBullet"/>
        <w:spacing w:after="40"/>
      </w:pPr>
      <w:r>
        <w:t>Role-based access for admin/operator/reviewer; audit imports, approvals, skips, connection changes and configuration updates.</w:t>
      </w:r>
    </w:p>
    <w:p>
      <w:pPr>
        <w:pStyle w:val="ListBullet"/>
        <w:spacing w:after="40"/>
      </w:pPr>
      <w:r>
        <w:t>Encrypt secrets and OAuth tokens; use environment variables/secret storage, rotate keys and exclude .env from source control.</w:t>
      </w:r>
    </w:p>
    <w:p>
      <w:pPr>
        <w:pStyle w:val="ListBullet"/>
        <w:spacing w:after="40"/>
      </w:pPr>
      <w:r>
        <w:t>Use HTTPS, secure cookies, input validation, safe file parsing, rate limits and appropriate CSRF protections.</w:t>
      </w:r>
    </w:p>
    <w:p>
      <w:pPr>
        <w:pStyle w:val="ListBullet"/>
        <w:spacing w:after="40"/>
      </w:pPr>
      <w:r>
        <w:t>Set data retention limits and provide delete/export workflows.</w:t>
      </w:r>
    </w:p>
    <w:p>
      <w:pPr>
        <w:pStyle w:val="ListBullet"/>
        <w:spacing w:after="40"/>
      </w:pPr>
      <w:r>
        <w:t>Review applicable privacy, anti-spam, email marketing and data-protection rules for target markets before production.</w:t>
      </w:r>
    </w:p>
    <w:p>
      <w:pPr>
        <w:pStyle w:val="ListBullet"/>
        <w:spacing w:after="40"/>
      </w:pPr>
      <w:r>
        <w:t>Enforce DNC/suppression before research spend, before draft creation and before any future follow-up.</w:t>
      </w:r>
    </w:p>
    <w:p>
      <w:pPr>
        <w:pStyle w:val="ListBullet"/>
        <w:spacing w:after="40"/>
      </w:pPr>
      <w:r>
        <w:t>Store evidence URL and retrieval timestamp; minimize personal data retained.</w:t>
      </w:r>
    </w:p>
    <w:p>
      <w:pPr>
        <w:pStyle w:val="ListBullet"/>
        <w:spacing w:after="40"/>
      </w:pPr>
      <w:r>
        <w:t>Use bounded retries, job timeouts, monitoring, alerts and clear failed/dead-letter states.</w:t>
      </w:r>
    </w:p>
    <w:p>
      <w:pPr>
        <w:pStyle w:val="ListBullet"/>
        <w:spacing w:after="40"/>
      </w:pPr>
      <w:r>
        <w:t>Test CSV mapping, dedupe, score rules, claim checks, suppression, cost calculation and Gmail draft-only behavior.</w:t>
      </w:r>
    </w:p>
    <w:p>
      <w:pPr>
        <w:pStyle w:val="Heading1"/>
      </w:pPr>
      <w:r>
        <w:t>15. Monthly Operating Cost Estimate (Apollo Excluded)</w:t>
      </w:r>
    </w:p>
    <w:p>
      <w:r>
        <w:t>Planning ranges only—not a quote or guarantee. Real spend depends on model choice, token use, research depth, success rate, taxes, FX rate, storage, server selection and enabled vendors. INR examples use an illustrative ₹88/USD and should be recalculated at payment time.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7"/>
              </w:rPr>
              <w:t>Cost item</w:t>
            </w:r>
          </w:p>
        </w:tc>
        <w:tc>
          <w:tcPr>
            <w:tcW w:type="dxa" w:w="3360"/>
            <w:shd w:fill="CFE2F3"/>
          </w:tcPr>
          <w:p>
            <w:r>
              <w:rPr>
                <w:b/>
                <w:sz w:val="17"/>
              </w:rPr>
              <w:t>Planning range/month</w:t>
            </w:r>
          </w:p>
        </w:tc>
        <w:tc>
          <w:tcPr>
            <w:tcW w:type="dxa" w:w="3360"/>
            <w:shd w:fill="CFE2F3"/>
          </w:tcPr>
          <w:p>
            <w:r>
              <w:rPr>
                <w:b/>
                <w:sz w:val="17"/>
              </w:rPr>
              <w:t>Notes</w:t>
            </w:r>
          </w:p>
        </w:tc>
      </w:tr>
      <w:tr>
        <w:tc>
          <w:tcPr>
            <w:tcW w:type="dxa" w:w="3360"/>
            <w:vAlign w:val="center"/>
          </w:tcPr>
          <w:p>
            <w:pPr>
              <w:spacing w:after="0"/>
            </w:pPr>
            <w:r>
              <w:rPr>
                <w:sz w:val="16"/>
              </w:rPr>
              <w:t>Claude API</w:t>
            </w:r>
          </w:p>
        </w:tc>
        <w:tc>
          <w:tcPr>
            <w:tcW w:type="dxa" w:w="3360"/>
            <w:vAlign w:val="center"/>
          </w:tcPr>
          <w:p>
            <w:pPr>
              <w:spacing w:after="0"/>
            </w:pPr>
            <w:r>
              <w:rPr>
                <w:sz w:val="16"/>
              </w:rPr>
              <w:t>$25–$55</w:t>
            </w:r>
          </w:p>
        </w:tc>
        <w:tc>
          <w:tcPr>
            <w:tcW w:type="dxa" w:w="3360"/>
            <w:vAlign w:val="center"/>
          </w:tcPr>
          <w:p>
            <w:pPr>
              <w:spacing w:after="0"/>
            </w:pPr>
            <w:r>
              <w:rPr>
                <w:sz w:val="16"/>
              </w:rPr>
              <w:t>Illustrative budget for research, writing and validation at target volume. Actual bill depends on model and tokens per lead; set caps and measure.</w:t>
            </w:r>
          </w:p>
        </w:tc>
      </w:tr>
      <w:tr>
        <w:tc>
          <w:tcPr>
            <w:tcW w:type="dxa" w:w="3360"/>
            <w:vAlign w:val="center"/>
          </w:tcPr>
          <w:p>
            <w:pPr>
              <w:spacing w:after="0"/>
            </w:pPr>
            <w:r>
              <w:rPr>
                <w:sz w:val="16"/>
              </w:rPr>
              <w:t>VPS/hosting</w:t>
            </w:r>
          </w:p>
        </w:tc>
        <w:tc>
          <w:tcPr>
            <w:tcW w:type="dxa" w:w="3360"/>
            <w:vAlign w:val="center"/>
          </w:tcPr>
          <w:p>
            <w:pPr>
              <w:spacing w:after="0"/>
            </w:pPr>
            <w:r>
              <w:rPr>
                <w:sz w:val="16"/>
              </w:rPr>
              <w:t>$12–$23</w:t>
            </w:r>
          </w:p>
        </w:tc>
        <w:tc>
          <w:tcPr>
            <w:tcW w:type="dxa" w:w="3360"/>
            <w:vAlign w:val="center"/>
          </w:tcPr>
          <w:p>
            <w:pPr>
              <w:spacing w:after="0"/>
            </w:pPr>
            <w:r>
              <w:rPr>
                <w:sz w:val="16"/>
              </w:rPr>
              <w:t>Small initial server estimate; excludes major scaling or premium services.</w:t>
            </w:r>
          </w:p>
        </w:tc>
      </w:tr>
      <w:tr>
        <w:tc>
          <w:tcPr>
            <w:tcW w:type="dxa" w:w="3360"/>
            <w:vAlign w:val="center"/>
          </w:tcPr>
          <w:p>
            <w:pPr>
              <w:spacing w:after="0"/>
            </w:pPr>
            <w:r>
              <w:rPr>
                <w:sz w:val="16"/>
              </w:rPr>
              <w:t>Search API (e.g. Serper)</w:t>
            </w:r>
          </w:p>
        </w:tc>
        <w:tc>
          <w:tcPr>
            <w:tcW w:type="dxa" w:w="3360"/>
            <w:vAlign w:val="center"/>
          </w:tcPr>
          <w:p>
            <w:pPr>
              <w:spacing w:after="0"/>
            </w:pPr>
            <w:r>
              <w:rPr>
                <w:sz w:val="16"/>
              </w:rPr>
              <w:t>$0–$10 average budget</w:t>
            </w:r>
          </w:p>
        </w:tc>
        <w:tc>
          <w:tcPr>
            <w:tcW w:type="dxa" w:w="3360"/>
            <w:vAlign w:val="center"/>
          </w:tcPr>
          <w:p>
            <w:pPr>
              <w:spacing w:after="0"/>
            </w:pPr>
            <w:r>
              <w:rPr>
                <w:sz w:val="16"/>
              </w:rPr>
              <w:t>May begin with a trial/free allowance where available; then prepaid credits. Verify current package before purchase.</w:t>
            </w:r>
          </w:p>
        </w:tc>
      </w:tr>
      <w:tr>
        <w:tc>
          <w:tcPr>
            <w:tcW w:type="dxa" w:w="3360"/>
            <w:vAlign w:val="center"/>
          </w:tcPr>
          <w:p>
            <w:pPr>
              <w:spacing w:after="0"/>
            </w:pPr>
            <w:r>
              <w:rPr>
                <w:sz w:val="16"/>
              </w:rPr>
              <w:t>Email verification</w:t>
            </w:r>
          </w:p>
        </w:tc>
        <w:tc>
          <w:tcPr>
            <w:tcW w:type="dxa" w:w="3360"/>
            <w:vAlign w:val="center"/>
          </w:tcPr>
          <w:p>
            <w:pPr>
              <w:spacing w:after="0"/>
            </w:pPr>
            <w:r>
              <w:rPr>
                <w:sz w:val="16"/>
              </w:rPr>
              <w:t>$2–$10</w:t>
            </w:r>
          </w:p>
        </w:tc>
        <w:tc>
          <w:tcPr>
            <w:tcW w:type="dxa" w:w="3360"/>
            <w:vAlign w:val="center"/>
          </w:tcPr>
          <w:p>
            <w:pPr>
              <w:spacing w:after="0"/>
            </w:pPr>
            <w:r>
              <w:rPr>
                <w:sz w:val="16"/>
              </w:rPr>
              <w:t>Illustrative low-volume budget; provider not selected; depends on checks and credits.</w:t>
            </w:r>
          </w:p>
        </w:tc>
      </w:tr>
      <w:tr>
        <w:tc>
          <w:tcPr>
            <w:tcW w:type="dxa" w:w="3360"/>
            <w:vAlign w:val="center"/>
          </w:tcPr>
          <w:p>
            <w:pPr>
              <w:spacing w:after="0"/>
            </w:pPr>
            <w:r>
              <w:rPr>
                <w:sz w:val="16"/>
              </w:rPr>
              <w:t>Mastra framework</w:t>
            </w:r>
          </w:p>
        </w:tc>
        <w:tc>
          <w:tcPr>
            <w:tcW w:type="dxa" w:w="3360"/>
            <w:vAlign w:val="center"/>
          </w:tcPr>
          <w:p>
            <w:pPr>
              <w:spacing w:after="0"/>
            </w:pPr>
            <w:r>
              <w:rPr>
                <w:sz w:val="16"/>
              </w:rPr>
              <w:t>$0 license cost</w:t>
            </w:r>
          </w:p>
        </w:tc>
        <w:tc>
          <w:tcPr>
            <w:tcW w:type="dxa" w:w="3360"/>
            <w:vAlign w:val="center"/>
          </w:tcPr>
          <w:p>
            <w:pPr>
              <w:spacing w:after="0"/>
            </w:pPr>
            <w:r>
              <w:rPr>
                <w:sz w:val="16"/>
              </w:rPr>
              <w:t>Open-source framework self-hosted. Hosted platform is separate.</w:t>
            </w:r>
          </w:p>
        </w:tc>
      </w:tr>
      <w:tr>
        <w:tc>
          <w:tcPr>
            <w:tcW w:type="dxa" w:w="3360"/>
            <w:vAlign w:val="center"/>
          </w:tcPr>
          <w:p>
            <w:pPr>
              <w:spacing w:after="0"/>
            </w:pPr>
            <w:r>
              <w:rPr>
                <w:sz w:val="16"/>
              </w:rPr>
              <w:t>PostgreSQL/queue/parser</w:t>
            </w:r>
          </w:p>
        </w:tc>
        <w:tc>
          <w:tcPr>
            <w:tcW w:type="dxa" w:w="3360"/>
            <w:vAlign w:val="center"/>
          </w:tcPr>
          <w:p>
            <w:pPr>
              <w:spacing w:after="0"/>
            </w:pPr>
            <w:r>
              <w:rPr>
                <w:sz w:val="16"/>
              </w:rPr>
              <w:t>$0 software license cost</w:t>
            </w:r>
          </w:p>
        </w:tc>
        <w:tc>
          <w:tcPr>
            <w:tcW w:type="dxa" w:w="3360"/>
            <w:vAlign w:val="center"/>
          </w:tcPr>
          <w:p>
            <w:pPr>
              <w:spacing w:after="0"/>
            </w:pPr>
            <w:r>
              <w:rPr>
                <w:sz w:val="16"/>
              </w:rPr>
              <w:t>Open-source licenses; hosting, backups and operations still cost money.</w:t>
            </w:r>
          </w:p>
        </w:tc>
      </w:tr>
      <w:tr>
        <w:tc>
          <w:tcPr>
            <w:tcW w:type="dxa" w:w="3360"/>
            <w:vAlign w:val="center"/>
          </w:tcPr>
          <w:p>
            <w:pPr>
              <w:spacing w:after="0"/>
            </w:pPr>
            <w:r>
              <w:rPr>
                <w:sz w:val="16"/>
              </w:rPr>
              <w:t>Gmail API</w:t>
            </w:r>
          </w:p>
        </w:tc>
        <w:tc>
          <w:tcPr>
            <w:tcW w:type="dxa" w:w="3360"/>
            <w:vAlign w:val="center"/>
          </w:tcPr>
          <w:p>
            <w:pPr>
              <w:spacing w:after="0"/>
            </w:pPr>
            <w:r>
              <w:rPr>
                <w:sz w:val="16"/>
              </w:rPr>
              <w:t>$0 expected within standard quota</w:t>
            </w:r>
          </w:p>
        </w:tc>
        <w:tc>
          <w:tcPr>
            <w:tcW w:type="dxa" w:w="3360"/>
            <w:vAlign w:val="center"/>
          </w:tcPr>
          <w:p>
            <w:pPr>
              <w:spacing w:after="0"/>
            </w:pPr>
            <w:r>
              <w:rPr>
                <w:sz w:val="16"/>
              </w:rPr>
              <w:t>Existing Gmail/Workspace subscription not included; quotas and policies may change.</w:t>
            </w:r>
          </w:p>
        </w:tc>
      </w:tr>
      <w:tr>
        <w:tc>
          <w:tcPr>
            <w:tcW w:type="dxa" w:w="3360"/>
            <w:vAlign w:val="center"/>
          </w:tcPr>
          <w:p>
            <w:pPr>
              <w:spacing w:after="0"/>
            </w:pPr>
            <w:r>
              <w:rPr>
                <w:sz w:val="16"/>
              </w:rPr>
              <w:t>Optional Apify</w:t>
            </w:r>
          </w:p>
        </w:tc>
        <w:tc>
          <w:tcPr>
            <w:tcW w:type="dxa" w:w="3360"/>
            <w:vAlign w:val="center"/>
          </w:tcPr>
          <w:p>
            <w:pPr>
              <w:spacing w:after="0"/>
            </w:pPr>
            <w:r>
              <w:rPr>
                <w:sz w:val="16"/>
              </w:rPr>
              <w:t>$0 initially; or $19+ plan</w:t>
            </w:r>
          </w:p>
        </w:tc>
        <w:tc>
          <w:tcPr>
            <w:tcW w:type="dxa" w:w="3360"/>
            <w:vAlign w:val="center"/>
          </w:tcPr>
          <w:p>
            <w:pPr>
              <w:spacing w:after="0"/>
            </w:pPr>
            <w:r>
              <w:rPr>
                <w:sz w:val="16"/>
              </w:rPr>
              <w:t>Not required for MVP. Official pricing lists Free and $19/month Starter plus usage considerations.</w:t>
            </w:r>
          </w:p>
        </w:tc>
      </w:tr>
      <w:tr>
        <w:tc>
          <w:tcPr>
            <w:tcW w:type="dxa" w:w="3360"/>
            <w:vAlign w:val="center"/>
          </w:tcPr>
          <w:p>
            <w:pPr>
              <w:spacing w:after="0"/>
            </w:pPr>
            <w:r>
              <w:rPr>
                <w:sz w:val="16"/>
              </w:rPr>
              <w:t>Apollo</w:t>
            </w:r>
          </w:p>
        </w:tc>
        <w:tc>
          <w:tcPr>
            <w:tcW w:type="dxa" w:w="3360"/>
            <w:vAlign w:val="center"/>
          </w:tcPr>
          <w:p>
            <w:pPr>
              <w:spacing w:after="0"/>
            </w:pPr>
            <w:r>
              <w:rPr>
                <w:sz w:val="16"/>
              </w:rPr>
              <w:t>EXCLUDED</w:t>
            </w:r>
          </w:p>
        </w:tc>
        <w:tc>
          <w:tcPr>
            <w:tcW w:type="dxa" w:w="3360"/>
            <w:vAlign w:val="center"/>
          </w:tcPr>
          <w:p>
            <w:pPr>
              <w:spacing w:after="0"/>
            </w:pPr>
            <w:r>
              <w:rPr>
                <w:sz w:val="16"/>
              </w:rPr>
              <w:t>Subscription, exports, API access, reveal credits and other Apollo charges must be budgeted separately.</w:t>
            </w:r>
          </w:p>
        </w:tc>
      </w:tr>
    </w:tbl>
    <w:p/>
    <w:p>
      <w:pPr>
        <w:pStyle w:val="Heading2"/>
      </w:pPr>
      <w:r>
        <w:t>Budget scenarios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FE2F3"/>
          </w:tcPr>
          <w:p>
            <w:r>
              <w:rPr>
                <w:b/>
                <w:sz w:val="17"/>
              </w:rPr>
              <w:t>Scenario</w:t>
            </w:r>
          </w:p>
        </w:tc>
        <w:tc>
          <w:tcPr>
            <w:tcW w:type="dxa" w:w="2520"/>
            <w:shd w:fill="CFE2F3"/>
          </w:tcPr>
          <w:p>
            <w:r>
              <w:rPr>
                <w:b/>
                <w:sz w:val="17"/>
              </w:rPr>
              <w:t>Estimated total/month</w:t>
            </w:r>
          </w:p>
        </w:tc>
        <w:tc>
          <w:tcPr>
            <w:tcW w:type="dxa" w:w="2520"/>
            <w:shd w:fill="CFE2F3"/>
          </w:tcPr>
          <w:p>
            <w:r>
              <w:rPr>
                <w:b/>
                <w:sz w:val="17"/>
              </w:rPr>
              <w:t>Approx. INR at ₹88/USD</w:t>
            </w:r>
          </w:p>
        </w:tc>
        <w:tc>
          <w:tcPr>
            <w:tcW w:type="dxa" w:w="2520"/>
            <w:shd w:fill="CFE2F3"/>
          </w:tcPr>
          <w:p>
            <w:r>
              <w:rPr>
                <w:b/>
                <w:sz w:val="17"/>
              </w:rPr>
              <w:t>Interpretation</w:t>
            </w:r>
          </w:p>
        </w:tc>
      </w:tr>
      <w:tr>
        <w:tc>
          <w:tcPr>
            <w:tcW w:type="dxa" w:w="2520"/>
            <w:vAlign w:val="center"/>
          </w:tcPr>
          <w:p>
            <w:pPr>
              <w:spacing w:after="0"/>
            </w:pPr>
            <w:r>
              <w:rPr>
                <w:sz w:val="16"/>
              </w:rPr>
              <w:t>Lean MVP, no paid Apify</w:t>
            </w:r>
          </w:p>
        </w:tc>
        <w:tc>
          <w:tcPr>
            <w:tcW w:type="dxa" w:w="2520"/>
            <w:vAlign w:val="center"/>
          </w:tcPr>
          <w:p>
            <w:pPr>
              <w:spacing w:after="0"/>
            </w:pPr>
            <w:r>
              <w:rPr>
                <w:sz w:val="16"/>
              </w:rPr>
              <w:t>$39–$98</w:t>
            </w:r>
          </w:p>
        </w:tc>
        <w:tc>
          <w:tcPr>
            <w:tcW w:type="dxa" w:w="2520"/>
            <w:vAlign w:val="center"/>
          </w:tcPr>
          <w:p>
            <w:pPr>
              <w:spacing w:after="0"/>
            </w:pPr>
            <w:r>
              <w:rPr>
                <w:sz w:val="16"/>
              </w:rPr>
              <w:t>₹3,432–₹8,624</w:t>
            </w:r>
          </w:p>
        </w:tc>
        <w:tc>
          <w:tcPr>
            <w:tcW w:type="dxa" w:w="2520"/>
            <w:vAlign w:val="center"/>
          </w:tcPr>
          <w:p>
            <w:pPr>
              <w:spacing w:after="0"/>
            </w:pPr>
            <w:r>
              <w:rPr>
                <w:sz w:val="16"/>
              </w:rPr>
              <w:t>Modest hosting and research; actual API spend can vary.</w:t>
            </w:r>
          </w:p>
        </w:tc>
      </w:tr>
      <w:tr>
        <w:tc>
          <w:tcPr>
            <w:tcW w:type="dxa" w:w="2520"/>
            <w:vAlign w:val="center"/>
          </w:tcPr>
          <w:p>
            <w:pPr>
              <w:spacing w:after="0"/>
            </w:pPr>
            <w:r>
              <w:rPr>
                <w:sz w:val="16"/>
              </w:rPr>
              <w:t>MVP with paid Apify</w:t>
            </w:r>
          </w:p>
        </w:tc>
        <w:tc>
          <w:tcPr>
            <w:tcW w:type="dxa" w:w="2520"/>
            <w:vAlign w:val="center"/>
          </w:tcPr>
          <w:p>
            <w:pPr>
              <w:spacing w:after="0"/>
            </w:pPr>
            <w:r>
              <w:rPr>
                <w:sz w:val="16"/>
              </w:rPr>
              <w:t>$58–$128+</w:t>
            </w:r>
          </w:p>
        </w:tc>
        <w:tc>
          <w:tcPr>
            <w:tcW w:type="dxa" w:w="2520"/>
            <w:vAlign w:val="center"/>
          </w:tcPr>
          <w:p>
            <w:pPr>
              <w:spacing w:after="0"/>
            </w:pPr>
            <w:r>
              <w:rPr>
                <w:sz w:val="16"/>
              </w:rPr>
              <w:t>₹5,104–₹11,264+</w:t>
            </w:r>
          </w:p>
        </w:tc>
        <w:tc>
          <w:tcPr>
            <w:tcW w:type="dxa" w:w="2520"/>
            <w:vAlign w:val="center"/>
          </w:tcPr>
          <w:p>
            <w:pPr>
              <w:spacing w:after="0"/>
            </w:pPr>
            <w:r>
              <w:rPr>
                <w:sz w:val="16"/>
              </w:rPr>
              <w:t>Adds a $19+ plan/usage where justified; not a hard cap.</w:t>
            </w:r>
          </w:p>
        </w:tc>
      </w:tr>
      <w:tr>
        <w:tc>
          <w:tcPr>
            <w:tcW w:type="dxa" w:w="2520"/>
            <w:vAlign w:val="center"/>
          </w:tcPr>
          <w:p>
            <w:pPr>
              <w:spacing w:after="0"/>
            </w:pPr>
            <w:r>
              <w:rPr>
                <w:sz w:val="16"/>
              </w:rPr>
              <w:t>Mastra hosted Teams</w:t>
            </w:r>
          </w:p>
        </w:tc>
        <w:tc>
          <w:tcPr>
            <w:tcW w:type="dxa" w:w="2520"/>
            <w:vAlign w:val="center"/>
          </w:tcPr>
          <w:p>
            <w:pPr>
              <w:spacing w:after="0"/>
            </w:pPr>
            <w:r>
              <w:rPr>
                <w:sz w:val="16"/>
              </w:rPr>
              <w:t>Add $250/month</w:t>
            </w:r>
          </w:p>
        </w:tc>
        <w:tc>
          <w:tcPr>
            <w:tcW w:type="dxa" w:w="2520"/>
            <w:vAlign w:val="center"/>
          </w:tcPr>
          <w:p>
            <w:pPr>
              <w:spacing w:after="0"/>
            </w:pPr>
            <w:r>
              <w:rPr>
                <w:sz w:val="16"/>
              </w:rPr>
              <w:t>Add about ₹22,000/month</w:t>
            </w:r>
          </w:p>
        </w:tc>
        <w:tc>
          <w:tcPr>
            <w:tcW w:type="dxa" w:w="2520"/>
            <w:vAlign w:val="center"/>
          </w:tcPr>
          <w:p>
            <w:pPr>
              <w:spacing w:after="0"/>
            </w:pPr>
            <w:r>
              <w:rPr>
                <w:sz w:val="16"/>
              </w:rPr>
              <w:t>Optional hosted platform choice; not recommended for cost-sensitive MVP unless needed.</w:t>
            </w:r>
          </w:p>
        </w:tc>
      </w:tr>
    </w:tbl>
    <w:p/>
    <w:p>
      <w:r>
        <w:t>An earlier working range of $54–$88/month is a possible target, but remains provisional. It must not be represented as a confirmed quote or guaranteed operating cost.</w:t>
      </w:r>
    </w:p>
    <w:p>
      <w:pPr>
        <w:pStyle w:val="Heading1"/>
      </w:pPr>
      <w:r>
        <w:t>16. Cost per Successful Draft</w:t>
      </w:r>
    </w:p>
    <w:p>
      <w:r>
        <w:t>Target: 60 successful drafts/workday × 22 workdays = approximately 1,320 successful drafts/month. Cost per successful draft = total monthly operating cost ÷ successfully created drafts. Track failed jobs and skipped leads separately.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7"/>
              </w:rPr>
              <w:t>Monthly operating cost</w:t>
            </w:r>
          </w:p>
        </w:tc>
        <w:tc>
          <w:tcPr>
            <w:tcW w:type="dxa" w:w="3360"/>
            <w:shd w:fill="CFE2F3"/>
          </w:tcPr>
          <w:p>
            <w:r>
              <w:rPr>
                <w:b/>
                <w:sz w:val="17"/>
              </w:rPr>
              <w:t>Cost per draft at 1,320</w:t>
            </w:r>
          </w:p>
        </w:tc>
        <w:tc>
          <w:tcPr>
            <w:tcW w:type="dxa" w:w="3360"/>
            <w:shd w:fill="CFE2F3"/>
          </w:tcPr>
          <w:p>
            <w:r>
              <w:rPr>
                <w:b/>
                <w:sz w:val="17"/>
              </w:rPr>
              <w:t>Approx. INR per draft</w:t>
            </w:r>
          </w:p>
        </w:tc>
      </w:tr>
      <w:tr>
        <w:tc>
          <w:tcPr>
            <w:tcW w:type="dxa" w:w="3360"/>
            <w:vAlign w:val="center"/>
          </w:tcPr>
          <w:p>
            <w:pPr>
              <w:spacing w:after="0"/>
            </w:pPr>
            <w:r>
              <w:rPr>
                <w:sz w:val="16"/>
              </w:rPr>
              <w:t>$50</w:t>
            </w:r>
          </w:p>
        </w:tc>
        <w:tc>
          <w:tcPr>
            <w:tcW w:type="dxa" w:w="3360"/>
            <w:vAlign w:val="center"/>
          </w:tcPr>
          <w:p>
            <w:pPr>
              <w:spacing w:after="0"/>
            </w:pPr>
            <w:r>
              <w:rPr>
                <w:sz w:val="16"/>
              </w:rPr>
              <w:t>$0.038</w:t>
            </w:r>
          </w:p>
        </w:tc>
        <w:tc>
          <w:tcPr>
            <w:tcW w:type="dxa" w:w="3360"/>
            <w:vAlign w:val="center"/>
          </w:tcPr>
          <w:p>
            <w:pPr>
              <w:spacing w:after="0"/>
            </w:pPr>
            <w:r>
              <w:rPr>
                <w:sz w:val="16"/>
              </w:rPr>
              <w:t>₹3.33</w:t>
            </w:r>
          </w:p>
        </w:tc>
      </w:tr>
      <w:tr>
        <w:tc>
          <w:tcPr>
            <w:tcW w:type="dxa" w:w="3360"/>
            <w:vAlign w:val="center"/>
          </w:tcPr>
          <w:p>
            <w:pPr>
              <w:spacing w:after="0"/>
            </w:pPr>
            <w:r>
              <w:rPr>
                <w:sz w:val="16"/>
              </w:rPr>
              <w:t>$75</w:t>
            </w:r>
          </w:p>
        </w:tc>
        <w:tc>
          <w:tcPr>
            <w:tcW w:type="dxa" w:w="3360"/>
            <w:vAlign w:val="center"/>
          </w:tcPr>
          <w:p>
            <w:pPr>
              <w:spacing w:after="0"/>
            </w:pPr>
            <w:r>
              <w:rPr>
                <w:sz w:val="16"/>
              </w:rPr>
              <w:t>$0.057</w:t>
            </w:r>
          </w:p>
        </w:tc>
        <w:tc>
          <w:tcPr>
            <w:tcW w:type="dxa" w:w="3360"/>
            <w:vAlign w:val="center"/>
          </w:tcPr>
          <w:p>
            <w:pPr>
              <w:spacing w:after="0"/>
            </w:pPr>
            <w:r>
              <w:rPr>
                <w:sz w:val="16"/>
              </w:rPr>
              <w:t>₹5.00</w:t>
            </w:r>
          </w:p>
        </w:tc>
      </w:tr>
      <w:tr>
        <w:tc>
          <w:tcPr>
            <w:tcW w:type="dxa" w:w="3360"/>
            <w:vAlign w:val="center"/>
          </w:tcPr>
          <w:p>
            <w:pPr>
              <w:spacing w:after="0"/>
            </w:pPr>
            <w:r>
              <w:rPr>
                <w:sz w:val="16"/>
              </w:rPr>
              <w:t>$100</w:t>
            </w:r>
          </w:p>
        </w:tc>
        <w:tc>
          <w:tcPr>
            <w:tcW w:type="dxa" w:w="3360"/>
            <w:vAlign w:val="center"/>
          </w:tcPr>
          <w:p>
            <w:pPr>
              <w:spacing w:after="0"/>
            </w:pPr>
            <w:r>
              <w:rPr>
                <w:sz w:val="16"/>
              </w:rPr>
              <w:t>$0.076</w:t>
            </w:r>
          </w:p>
        </w:tc>
        <w:tc>
          <w:tcPr>
            <w:tcW w:type="dxa" w:w="3360"/>
            <w:vAlign w:val="center"/>
          </w:tcPr>
          <w:p>
            <w:pPr>
              <w:spacing w:after="0"/>
            </w:pPr>
            <w:r>
              <w:rPr>
                <w:sz w:val="16"/>
              </w:rPr>
              <w:t>₹6.67</w:t>
            </w:r>
          </w:p>
        </w:tc>
      </w:tr>
      <w:tr>
        <w:tc>
          <w:tcPr>
            <w:tcW w:type="dxa" w:w="3360"/>
            <w:vAlign w:val="center"/>
          </w:tcPr>
          <w:p>
            <w:pPr>
              <w:spacing w:after="0"/>
            </w:pPr>
            <w:r>
              <w:rPr>
                <w:sz w:val="16"/>
              </w:rPr>
              <w:t>$125</w:t>
            </w:r>
          </w:p>
        </w:tc>
        <w:tc>
          <w:tcPr>
            <w:tcW w:type="dxa" w:w="3360"/>
            <w:vAlign w:val="center"/>
          </w:tcPr>
          <w:p>
            <w:pPr>
              <w:spacing w:after="0"/>
            </w:pPr>
            <w:r>
              <w:rPr>
                <w:sz w:val="16"/>
              </w:rPr>
              <w:t>$0.095</w:t>
            </w:r>
          </w:p>
        </w:tc>
        <w:tc>
          <w:tcPr>
            <w:tcW w:type="dxa" w:w="3360"/>
            <w:vAlign w:val="center"/>
          </w:tcPr>
          <w:p>
            <w:pPr>
              <w:spacing w:after="0"/>
            </w:pPr>
            <w:r>
              <w:rPr>
                <w:sz w:val="16"/>
              </w:rPr>
              <w:t>₹8.33</w:t>
            </w:r>
          </w:p>
        </w:tc>
      </w:tr>
      <w:tr>
        <w:tc>
          <w:tcPr>
            <w:tcW w:type="dxa" w:w="3360"/>
            <w:vAlign w:val="center"/>
          </w:tcPr>
          <w:p>
            <w:pPr>
              <w:spacing w:after="0"/>
            </w:pPr>
            <w:r>
              <w:rPr>
                <w:sz w:val="16"/>
              </w:rPr>
              <w:t>$150</w:t>
            </w:r>
          </w:p>
        </w:tc>
        <w:tc>
          <w:tcPr>
            <w:tcW w:type="dxa" w:w="3360"/>
            <w:vAlign w:val="center"/>
          </w:tcPr>
          <w:p>
            <w:pPr>
              <w:spacing w:after="0"/>
            </w:pPr>
            <w:r>
              <w:rPr>
                <w:sz w:val="16"/>
              </w:rPr>
              <w:t>$0.114</w:t>
            </w:r>
          </w:p>
        </w:tc>
        <w:tc>
          <w:tcPr>
            <w:tcW w:type="dxa" w:w="3360"/>
            <w:vAlign w:val="center"/>
          </w:tcPr>
          <w:p>
            <w:pPr>
              <w:spacing w:after="0"/>
            </w:pPr>
            <w:r>
              <w:rPr>
                <w:sz w:val="16"/>
              </w:rPr>
              <w:t>₹10.00</w:t>
            </w:r>
          </w:p>
        </w:tc>
      </w:tr>
    </w:tbl>
    <w:p/>
    <w:p>
      <w:r>
        <w:t>₹4–₹6 is a provisional target, not a promise. Costs can rise if each lead needs many searches, large pages, repeated model calls, expensive models, verification/enrichment, or if fewer drafts succeed. The app should calculate observed cost from usage data, not hard-code a fixed cost.</w:t>
      </w:r>
    </w:p>
    <w:p>
      <w:pPr>
        <w:pStyle w:val="Heading1"/>
      </w:pPr>
      <w:r>
        <w:t>17. Cost-Control Requirements</w:t>
      </w:r>
    </w:p>
    <w:p>
      <w:pPr>
        <w:pStyle w:val="ListBullet"/>
        <w:spacing w:after="40"/>
      </w:pPr>
      <w:r>
        <w:t>Run deterministic filters before LLM calls; research only leads with a plausible fit.</w:t>
      </w:r>
    </w:p>
    <w:p>
      <w:pPr>
        <w:pStyle w:val="ListBullet"/>
        <w:spacing w:after="40"/>
      </w:pPr>
      <w:r>
        <w:t>Use low-cost extraction/model steps first; reserve stronger models for complex or qualified leads.</w:t>
      </w:r>
    </w:p>
    <w:p>
      <w:pPr>
        <w:pStyle w:val="ListBullet"/>
        <w:spacing w:after="40"/>
      </w:pPr>
      <w:r>
        <w:t>Limit searches/pages per lead and stop once evidence is sufficient.</w:t>
      </w:r>
    </w:p>
    <w:p>
      <w:pPr>
        <w:pStyle w:val="ListBullet"/>
        <w:spacing w:after="40"/>
      </w:pPr>
      <w:r>
        <w:t>Cache company research by domain and reuse recent evidence across contacts at the same company.</w:t>
      </w:r>
    </w:p>
    <w:p>
      <w:pPr>
        <w:pStyle w:val="ListBullet"/>
        <w:spacing w:after="40"/>
      </w:pPr>
      <w:r>
        <w:t>Avoid unnecessary re-research and draft regeneration.</w:t>
      </w:r>
    </w:p>
    <w:p>
      <w:pPr>
        <w:pStyle w:val="ListBullet"/>
        <w:spacing w:after="40"/>
      </w:pPr>
      <w:r>
        <w:t>Use token budgets, structured outputs, bounded retries and concise prompts.</w:t>
      </w:r>
    </w:p>
    <w:p>
      <w:pPr>
        <w:pStyle w:val="ListBullet"/>
        <w:spacing w:after="40"/>
      </w:pPr>
      <w:r>
        <w:t>Apply a minimum score before paid enrichment or verification.</w:t>
      </w:r>
    </w:p>
    <w:p>
      <w:pPr>
        <w:pStyle w:val="ListBullet"/>
        <w:spacing w:after="40"/>
      </w:pPr>
      <w:r>
        <w:t>Show estimated spend before large batches; support daily/monthly caps and safe pause at the cap.</w:t>
      </w:r>
    </w:p>
    <w:p>
      <w:pPr>
        <w:pStyle w:val="ListBullet"/>
        <w:spacing w:after="40"/>
      </w:pPr>
      <w:r>
        <w:t>Track cost per imported, researched, qualified and successfully drafted lead.</w:t>
      </w:r>
    </w:p>
    <w:p>
      <w:pPr>
        <w:pStyle w:val="ListBullet"/>
        <w:spacing w:after="40"/>
      </w:pPr>
      <w:r>
        <w:t>Support dry-run mode for a small sample without creating Gmail drafts.</w:t>
      </w:r>
    </w:p>
    <w:p>
      <w:pPr>
        <w:pStyle w:val="Heading1"/>
      </w:pPr>
      <w:r>
        <w:t>18. Development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b/>
                <w:sz w:val="17"/>
              </w:rPr>
              <w:t>Phase</w:t>
            </w:r>
          </w:p>
        </w:tc>
        <w:tc>
          <w:tcPr>
            <w:tcW w:type="dxa" w:w="3360"/>
            <w:shd w:fill="CFE2F3"/>
          </w:tcPr>
          <w:p>
            <w:r>
              <w:rPr>
                <w:b/>
                <w:sz w:val="17"/>
              </w:rPr>
              <w:t>Scope</w:t>
            </w:r>
          </w:p>
        </w:tc>
        <w:tc>
          <w:tcPr>
            <w:tcW w:type="dxa" w:w="3360"/>
            <w:shd w:fill="CFE2F3"/>
          </w:tcPr>
          <w:p>
            <w:r>
              <w:rPr>
                <w:b/>
                <w:sz w:val="17"/>
              </w:rPr>
              <w:t>Exit criteria</w:t>
            </w:r>
          </w:p>
        </w:tc>
      </w:tr>
      <w:tr>
        <w:tc>
          <w:tcPr>
            <w:tcW w:type="dxa" w:w="3360"/>
            <w:vAlign w:val="center"/>
          </w:tcPr>
          <w:p>
            <w:pPr>
              <w:spacing w:after="0"/>
            </w:pPr>
            <w:r>
              <w:rPr>
                <w:sz w:val="16"/>
              </w:rPr>
              <w:t>0 — Discovery</w:t>
            </w:r>
          </w:p>
        </w:tc>
        <w:tc>
          <w:tcPr>
            <w:tcW w:type="dxa" w:w="3360"/>
            <w:vAlign w:val="center"/>
          </w:tcPr>
          <w:p>
            <w:pPr>
              <w:spacing w:after="0"/>
            </w:pPr>
            <w:r>
              <w:rPr>
                <w:sz w:val="16"/>
              </w:rPr>
              <w:t>Confirm ICP, offers/case studies, Gmail accounts, vendor credentials, budget caps, compliance and sample CSVs.</w:t>
            </w:r>
          </w:p>
        </w:tc>
        <w:tc>
          <w:tcPr>
            <w:tcW w:type="dxa" w:w="3360"/>
            <w:vAlign w:val="center"/>
          </w:tcPr>
          <w:p>
            <w:pPr>
              <w:spacing w:after="0"/>
            </w:pPr>
            <w:r>
              <w:rPr>
                <w:sz w:val="16"/>
              </w:rPr>
              <w:t>Requirements and test data signed off.</w:t>
            </w:r>
          </w:p>
        </w:tc>
      </w:tr>
      <w:tr>
        <w:tc>
          <w:tcPr>
            <w:tcW w:type="dxa" w:w="3360"/>
            <w:vAlign w:val="center"/>
          </w:tcPr>
          <w:p>
            <w:pPr>
              <w:spacing w:after="0"/>
            </w:pPr>
            <w:r>
              <w:rPr>
                <w:sz w:val="16"/>
              </w:rPr>
              <w:t>1 — Foundation</w:t>
            </w:r>
          </w:p>
        </w:tc>
        <w:tc>
          <w:tcPr>
            <w:tcW w:type="dxa" w:w="3360"/>
            <w:vAlign w:val="center"/>
          </w:tcPr>
          <w:p>
            <w:pPr>
              <w:spacing w:after="0"/>
            </w:pPr>
            <w:r>
              <w:rPr>
                <w:sz w:val="16"/>
              </w:rPr>
              <w:t>Repo, auth, schema, settings, campaign model, logging and dashboard shell.</w:t>
            </w:r>
          </w:p>
        </w:tc>
        <w:tc>
          <w:tcPr>
            <w:tcW w:type="dxa" w:w="3360"/>
            <w:vAlign w:val="center"/>
          </w:tcPr>
          <w:p>
            <w:pPr>
              <w:spacing w:after="0"/>
            </w:pPr>
            <w:r>
              <w:rPr>
                <w:sz w:val="16"/>
              </w:rPr>
              <w:t>Deployable app, migrations and access controls.</w:t>
            </w:r>
          </w:p>
        </w:tc>
      </w:tr>
      <w:tr>
        <w:tc>
          <w:tcPr>
            <w:tcW w:type="dxa" w:w="3360"/>
            <w:vAlign w:val="center"/>
          </w:tcPr>
          <w:p>
            <w:pPr>
              <w:spacing w:after="0"/>
            </w:pPr>
            <w:r>
              <w:rPr>
                <w:sz w:val="16"/>
              </w:rPr>
              <w:t>2 — CSV/XLSX import</w:t>
            </w:r>
          </w:p>
        </w:tc>
        <w:tc>
          <w:tcPr>
            <w:tcW w:type="dxa" w:w="3360"/>
            <w:vAlign w:val="center"/>
          </w:tcPr>
          <w:p>
            <w:pPr>
              <w:spacing w:after="0"/>
            </w:pPr>
            <w:r>
              <w:rPr>
                <w:sz w:val="16"/>
              </w:rPr>
              <w:t>Upload, preview, mapping, validation, dedupe, dry run, summary and error export.</w:t>
            </w:r>
          </w:p>
        </w:tc>
        <w:tc>
          <w:tcPr>
            <w:tcW w:type="dxa" w:w="3360"/>
            <w:vAlign w:val="center"/>
          </w:tcPr>
          <w:p>
            <w:pPr>
              <w:spacing w:after="0"/>
            </w:pPr>
            <w:r>
              <w:rPr>
                <w:sz w:val="16"/>
              </w:rPr>
              <w:t>Test files import accurately; row-level errors clear.</w:t>
            </w:r>
          </w:p>
        </w:tc>
      </w:tr>
      <w:tr>
        <w:tc>
          <w:tcPr>
            <w:tcW w:type="dxa" w:w="3360"/>
            <w:vAlign w:val="center"/>
          </w:tcPr>
          <w:p>
            <w:pPr>
              <w:spacing w:after="0"/>
            </w:pPr>
            <w:r>
              <w:rPr>
                <w:sz w:val="16"/>
              </w:rPr>
              <w:t>3 — Queue/scoring</w:t>
            </w:r>
          </w:p>
        </w:tc>
        <w:tc>
          <w:tcPr>
            <w:tcW w:type="dxa" w:w="3360"/>
            <w:vAlign w:val="center"/>
          </w:tcPr>
          <w:p>
            <w:pPr>
              <w:spacing w:after="0"/>
            </w:pPr>
            <w:r>
              <w:rPr>
                <w:sz w:val="16"/>
              </w:rPr>
              <w:t>Job queue, ICP filters, score breakdown, status machine, retries and spend caps.</w:t>
            </w:r>
          </w:p>
        </w:tc>
        <w:tc>
          <w:tcPr>
            <w:tcW w:type="dxa" w:w="3360"/>
            <w:vAlign w:val="center"/>
          </w:tcPr>
          <w:p>
            <w:pPr>
              <w:spacing w:after="0"/>
            </w:pPr>
            <w:r>
              <w:rPr>
                <w:sz w:val="16"/>
              </w:rPr>
              <w:t>Repeatable scoring and resumable jobs.</w:t>
            </w:r>
          </w:p>
        </w:tc>
      </w:tr>
      <w:tr>
        <w:tc>
          <w:tcPr>
            <w:tcW w:type="dxa" w:w="3360"/>
            <w:vAlign w:val="center"/>
          </w:tcPr>
          <w:p>
            <w:pPr>
              <w:spacing w:after="0"/>
            </w:pPr>
            <w:r>
              <w:rPr>
                <w:sz w:val="16"/>
              </w:rPr>
              <w:t>4 — Research</w:t>
            </w:r>
          </w:p>
        </w:tc>
        <w:tc>
          <w:tcPr>
            <w:tcW w:type="dxa" w:w="3360"/>
            <w:vAlign w:val="center"/>
          </w:tcPr>
          <w:p>
            <w:pPr>
              <w:spacing w:after="0"/>
            </w:pPr>
            <w:r>
              <w:rPr>
                <w:sz w:val="16"/>
              </w:rPr>
              <w:t>Website extraction, search provider, evidence store, caching and source links.</w:t>
            </w:r>
          </w:p>
        </w:tc>
        <w:tc>
          <w:tcPr>
            <w:tcW w:type="dxa" w:w="3360"/>
            <w:vAlign w:val="center"/>
          </w:tcPr>
          <w:p>
            <w:pPr>
              <w:spacing w:after="0"/>
            </w:pPr>
            <w:r>
              <w:rPr>
                <w:sz w:val="16"/>
              </w:rPr>
              <w:t>Traceable sources; no unsupported facts treated as certain.</w:t>
            </w:r>
          </w:p>
        </w:tc>
      </w:tr>
      <w:tr>
        <w:tc>
          <w:tcPr>
            <w:tcW w:type="dxa" w:w="3360"/>
            <w:vAlign w:val="center"/>
          </w:tcPr>
          <w:p>
            <w:pPr>
              <w:spacing w:after="0"/>
            </w:pPr>
            <w:r>
              <w:rPr>
                <w:sz w:val="16"/>
              </w:rPr>
              <w:t>5 — Mastra + Claude</w:t>
            </w:r>
          </w:p>
        </w:tc>
        <w:tc>
          <w:tcPr>
            <w:tcW w:type="dxa" w:w="3360"/>
            <w:vAlign w:val="center"/>
          </w:tcPr>
          <w:p>
            <w:pPr>
              <w:spacing w:after="0"/>
            </w:pPr>
            <w:r>
              <w:rPr>
                <w:sz w:val="16"/>
              </w:rPr>
              <w:t>Structured extraction, offer selection, draft generation, second-pass validation and telemetry.</w:t>
            </w:r>
          </w:p>
        </w:tc>
        <w:tc>
          <w:tcPr>
            <w:tcW w:type="dxa" w:w="3360"/>
            <w:vAlign w:val="center"/>
          </w:tcPr>
          <w:p>
            <w:pPr>
              <w:spacing w:after="0"/>
            </w:pPr>
            <w:r>
              <w:rPr>
                <w:sz w:val="16"/>
              </w:rPr>
              <w:t>Quality-tested drafts and measured token use.</w:t>
            </w:r>
          </w:p>
        </w:tc>
      </w:tr>
      <w:tr>
        <w:tc>
          <w:tcPr>
            <w:tcW w:type="dxa" w:w="3360"/>
            <w:vAlign w:val="center"/>
          </w:tcPr>
          <w:p>
            <w:pPr>
              <w:spacing w:after="0"/>
            </w:pPr>
            <w:r>
              <w:rPr>
                <w:sz w:val="16"/>
              </w:rPr>
              <w:t>6 — Gmail draft-only</w:t>
            </w:r>
          </w:p>
        </w:tc>
        <w:tc>
          <w:tcPr>
            <w:tcW w:type="dxa" w:w="3360"/>
            <w:vAlign w:val="center"/>
          </w:tcPr>
          <w:p>
            <w:pPr>
              <w:spacing w:after="0"/>
            </w:pPr>
            <w:r>
              <w:rPr>
                <w:sz w:val="16"/>
              </w:rPr>
              <w:t>OAuth for two inboxes, account assignment, idempotency, re-auth and errors.</w:t>
            </w:r>
          </w:p>
        </w:tc>
        <w:tc>
          <w:tcPr>
            <w:tcW w:type="dxa" w:w="3360"/>
            <w:vAlign w:val="center"/>
          </w:tcPr>
          <w:p>
            <w:pPr>
              <w:spacing w:after="0"/>
            </w:pPr>
            <w:r>
              <w:rPr>
                <w:sz w:val="16"/>
              </w:rPr>
              <w:t>Drafts in correct inbox; sending disabled.</w:t>
            </w:r>
          </w:p>
        </w:tc>
      </w:tr>
      <w:tr>
        <w:tc>
          <w:tcPr>
            <w:tcW w:type="dxa" w:w="3360"/>
            <w:vAlign w:val="center"/>
          </w:tcPr>
          <w:p>
            <w:pPr>
              <w:spacing w:after="0"/>
            </w:pPr>
            <w:r>
              <w:rPr>
                <w:sz w:val="16"/>
              </w:rPr>
              <w:t>7 — Review/reporting</w:t>
            </w:r>
          </w:p>
        </w:tc>
        <w:tc>
          <w:tcPr>
            <w:tcW w:type="dxa" w:w="3360"/>
            <w:vAlign w:val="center"/>
          </w:tcPr>
          <w:p>
            <w:pPr>
              <w:spacing w:after="0"/>
            </w:pPr>
            <w:r>
              <w:rPr>
                <w:sz w:val="16"/>
              </w:rPr>
              <w:t>Review/edit/regenerate/approve/skip, suppression center, dashboard and usage/cost reports.</w:t>
            </w:r>
          </w:p>
        </w:tc>
        <w:tc>
          <w:tcPr>
            <w:tcW w:type="dxa" w:w="3360"/>
            <w:vAlign w:val="center"/>
          </w:tcPr>
          <w:p>
            <w:pPr>
              <w:spacing w:after="0"/>
            </w:pPr>
            <w:r>
              <w:rPr>
                <w:sz w:val="16"/>
              </w:rPr>
              <w:t>Operator can manage batch end to end.</w:t>
            </w:r>
          </w:p>
        </w:tc>
      </w:tr>
      <w:tr>
        <w:tc>
          <w:tcPr>
            <w:tcW w:type="dxa" w:w="3360"/>
            <w:vAlign w:val="center"/>
          </w:tcPr>
          <w:p>
            <w:pPr>
              <w:spacing w:after="0"/>
            </w:pPr>
            <w:r>
              <w:rPr>
                <w:sz w:val="16"/>
              </w:rPr>
              <w:t>8 — Pilot/hardening</w:t>
            </w:r>
          </w:p>
        </w:tc>
        <w:tc>
          <w:tcPr>
            <w:tcW w:type="dxa" w:w="3360"/>
            <w:vAlign w:val="center"/>
          </w:tcPr>
          <w:p>
            <w:pPr>
              <w:spacing w:after="0"/>
            </w:pPr>
            <w:r>
              <w:rPr>
                <w:sz w:val="16"/>
              </w:rPr>
              <w:t>Pilot 50–100 leads, bad CSVs, duplicates, provider errors, security and cost review.</w:t>
            </w:r>
          </w:p>
        </w:tc>
        <w:tc>
          <w:tcPr>
            <w:tcW w:type="dxa" w:w="3360"/>
            <w:vAlign w:val="center"/>
          </w:tcPr>
          <w:p>
            <w:pPr>
              <w:spacing w:after="0"/>
            </w:pPr>
            <w:r>
              <w:rPr>
                <w:sz w:val="16"/>
              </w:rPr>
              <w:t>Observed quality/cost report and go/no-go for 60/day.</w:t>
            </w:r>
          </w:p>
        </w:tc>
      </w:tr>
    </w:tbl>
    <w:p/>
    <w:p>
      <w:r>
        <w:t>Do not promise a delivery date until credentials, sample data, approved offers, Gmail OAuth setup and required research depth are confirmed.</w:t>
      </w:r>
    </w:p>
    <w:p>
      <w:pPr>
        <w:pStyle w:val="Heading1"/>
      </w:pPr>
      <w:r>
        <w:t>19. MVP Acceptance Checklist</w:t>
      </w:r>
    </w:p>
    <w:p>
      <w:pPr>
        <w:pStyle w:val="ListBullet"/>
        <w:spacing w:after="40"/>
      </w:pPr>
      <w:r>
        <w:t>CSV/XLSX import includes column mapping, preview, row-level errors and import summary.</w:t>
      </w:r>
    </w:p>
    <w:p>
      <w:pPr>
        <w:pStyle w:val="ListBullet"/>
        <w:spacing w:after="40"/>
      </w:pPr>
      <w:r>
        <w:t>Deduplication and suppression run before paid enrichment and before draft creation.</w:t>
      </w:r>
    </w:p>
    <w:p>
      <w:pPr>
        <w:pStyle w:val="ListBullet"/>
        <w:spacing w:after="40"/>
      </w:pPr>
      <w:r>
        <w:t>Every research-backed personalization claim has stored evidence or is omitted.</w:t>
      </w:r>
    </w:p>
    <w:p>
      <w:pPr>
        <w:pStyle w:val="ListBullet"/>
        <w:spacing w:after="40"/>
      </w:pPr>
      <w:r>
        <w:t>Score and qualification reason are visible and explainable.</w:t>
      </w:r>
    </w:p>
    <w:p>
      <w:pPr>
        <w:pStyle w:val="ListBullet"/>
        <w:spacing w:after="40"/>
      </w:pPr>
      <w:r>
        <w:t>User can inspect sources and edit a draft before it reaches Gmail.</w:t>
      </w:r>
    </w:p>
    <w:p>
      <w:pPr>
        <w:pStyle w:val="ListBullet"/>
        <w:spacing w:after="40"/>
      </w:pPr>
      <w:r>
        <w:t>System creates drafts in selected inboxes and sends only drafts explicitly approved for sending; every send is tracked (v2).</w:t>
      </w:r>
    </w:p>
    <w:p>
      <w:pPr>
        <w:pStyle w:val="ListBullet"/>
        <w:spacing w:after="40"/>
      </w:pPr>
      <w:r>
        <w:t>Retrying does not create duplicate leads or Gmail drafts.</w:t>
      </w:r>
    </w:p>
    <w:p>
      <w:pPr>
        <w:pStyle w:val="ListBullet"/>
        <w:spacing w:after="40"/>
      </w:pPr>
      <w:r>
        <w:t>Two inboxes connect independently with clear health/re-auth status.</w:t>
      </w:r>
    </w:p>
    <w:p>
      <w:pPr>
        <w:pStyle w:val="ListBullet"/>
        <w:spacing w:after="40"/>
      </w:pPr>
      <w:r>
        <w:t>Telemetry records model/token usage where available, searches, verification credits, retries and successful drafts.</w:t>
      </w:r>
    </w:p>
    <w:p>
      <w:pPr>
        <w:pStyle w:val="ListBullet"/>
        <w:spacing w:after="40"/>
      </w:pPr>
      <w:r>
        <w:t>Daily/monthly caps pause jobs safely and explain why.</w:t>
      </w:r>
    </w:p>
    <w:p>
      <w:pPr>
        <w:pStyle w:val="ListBullet"/>
        <w:spacing w:after="40"/>
      </w:pPr>
      <w:r>
        <w:t>DNC/opt-out suppression applies across campaigns.</w:t>
      </w:r>
    </w:p>
    <w:p>
      <w:pPr>
        <w:pStyle w:val="ListBullet"/>
        <w:spacing w:after="40"/>
      </w:pPr>
      <w:r>
        <w:t>Secrets are protected and audit logs are available.</w:t>
      </w:r>
    </w:p>
    <w:p>
      <w:pPr>
        <w:pStyle w:val="ListBullet"/>
        <w:spacing w:after="40"/>
      </w:pPr>
      <w:r>
        <w:t>Pilot report includes actual cost per successful draft, processing time, pass rate, research coverage and human edit rate.</w:t>
      </w:r>
    </w:p>
    <w:p>
      <w:pPr>
        <w:pStyle w:val="Heading1"/>
      </w:pPr>
      <w:r>
        <w:t>20. Decisions Required Before Coding</w:t>
      </w:r>
    </w:p>
    <w:p>
      <w:pPr>
        <w:pStyle w:val="ListBullet"/>
        <w:spacing w:after="40"/>
      </w:pPr>
      <w:r>
        <w:t>Define target ICP: industries, company size, geography, roles and buying signals.</w:t>
      </w:r>
    </w:p>
    <w:p>
      <w:pPr>
        <w:pStyle w:val="ListBullet"/>
        <w:spacing w:after="40"/>
      </w:pPr>
      <w:r>
        <w:t>Provide approved offers, value propositions, case studies, proof points and CTA options.</w:t>
      </w:r>
    </w:p>
    <w:p>
      <w:pPr>
        <w:pStyle w:val="ListBullet"/>
        <w:spacing w:after="40"/>
      </w:pPr>
      <w:r>
        <w:t>Confirm Apollo workflow: CSV export/import first or API integration if permitted by the plan.</w:t>
      </w:r>
    </w:p>
    <w:p>
      <w:pPr>
        <w:pStyle w:val="ListBullet"/>
        <w:spacing w:after="40"/>
      </w:pPr>
      <w:r>
        <w:t>Choose email verification provider after checking pricing, accuracy and data handling.</w:t>
      </w:r>
    </w:p>
    <w:p>
      <w:pPr>
        <w:pStyle w:val="ListBullet"/>
        <w:spacing w:after="40"/>
      </w:pPr>
      <w:r>
        <w:t>Confirm the two Gmail inboxes and who will authorize OAuth; test accounts first.</w:t>
      </w:r>
    </w:p>
    <w:p>
      <w:pPr>
        <w:pStyle w:val="ListBullet"/>
        <w:spacing w:after="40"/>
      </w:pPr>
      <w:r>
        <w:t>Set score thresholds and actions for borderline leads.</w:t>
      </w:r>
    </w:p>
    <w:p>
      <w:pPr>
        <w:pStyle w:val="ListBullet"/>
        <w:spacing w:after="40"/>
      </w:pPr>
      <w:r>
        <w:t>Decide whether no-email leads can be researched before enrichment.</w:t>
      </w:r>
    </w:p>
    <w:p>
      <w:pPr>
        <w:pStyle w:val="ListBullet"/>
        <w:spacing w:after="40"/>
      </w:pPr>
      <w:r>
        <w:t>Set spend caps and maximum searches/pages per lead.</w:t>
      </w:r>
    </w:p>
    <w:p>
      <w:pPr>
        <w:pStyle w:val="ListBullet"/>
        <w:spacing w:after="40"/>
      </w:pPr>
      <w:r>
        <w:t>Define retention, access roles and compliance requirements.</w:t>
      </w:r>
    </w:p>
    <w:p>
      <w:pPr>
        <w:pStyle w:val="ListBullet"/>
        <w:spacing w:after="40"/>
      </w:pPr>
      <w:r>
        <w:t>Decide whether Google Sheets sync is necessary or PostgreSQL + CSV export is enough for MVP.</w:t>
      </w:r>
    </w:p>
    <w:p>
      <w:pPr>
        <w:pStyle w:val="Heading1"/>
      </w:pPr>
      <w:r>
        <w:t>21. Official Pricing / Technical References</w:t>
      </w:r>
    </w:p>
    <w:p>
      <w:pPr>
        <w:pStyle w:val="ListBullet"/>
        <w:spacing w:after="40"/>
      </w:pPr>
      <w:r>
        <w:rPr>
          <w:b/>
        </w:rPr>
        <w:t xml:space="preserve">Mastra pricing: </w:t>
      </w:r>
      <w:r>
        <w:t>https://mastra.ai/pricing</w:t>
      </w:r>
    </w:p>
    <w:p>
      <w:pPr>
        <w:pStyle w:val="ListBullet"/>
        <w:spacing w:after="40"/>
      </w:pPr>
      <w:r>
        <w:rPr>
          <w:b/>
        </w:rPr>
        <w:t xml:space="preserve">Mastra platform pricing explanation: </w:t>
      </w:r>
      <w:r>
        <w:t>https://mastra.ai/blog/mastra-platform-pricing</w:t>
      </w:r>
    </w:p>
    <w:p>
      <w:pPr>
        <w:pStyle w:val="ListBullet"/>
        <w:spacing w:after="40"/>
      </w:pPr>
      <w:r>
        <w:rPr>
          <w:b/>
        </w:rPr>
        <w:t xml:space="preserve">Anthropic Claude API pricing: </w:t>
      </w:r>
      <w:r>
        <w:t>https://platform.claude.com/docs/en/about-claude/pricing</w:t>
      </w:r>
    </w:p>
    <w:p>
      <w:pPr>
        <w:pStyle w:val="ListBullet"/>
        <w:spacing w:after="40"/>
      </w:pPr>
      <w:r>
        <w:rPr>
          <w:b/>
        </w:rPr>
        <w:t xml:space="preserve">Apify pricing: </w:t>
      </w:r>
      <w:r>
        <w:t>https://apify.com/pricing</w:t>
      </w:r>
    </w:p>
    <w:p>
      <w:pPr>
        <w:pStyle w:val="ListBullet"/>
        <w:spacing w:after="40"/>
      </w:pPr>
      <w:r>
        <w:rPr>
          <w:b/>
        </w:rPr>
        <w:t xml:space="preserve">Serper pricing entry point: </w:t>
      </w:r>
      <w:r>
        <w:t>https://serper.dev/</w:t>
      </w:r>
    </w:p>
    <w:p>
      <w:pPr>
        <w:pStyle w:val="ListBullet"/>
        <w:spacing w:after="40"/>
      </w:pPr>
      <w:r>
        <w:rPr>
          <w:b/>
        </w:rPr>
        <w:t xml:space="preserve">Gmail API usage limits: </w:t>
      </w:r>
      <w:r>
        <w:t>https://developers.google.com/workspace/gmail/api/reference/quota</w:t>
      </w:r>
    </w:p>
    <w:p>
      <w:pPr>
        <w:pStyle w:val="ListBullet"/>
        <w:spacing w:after="40"/>
      </w:pPr>
      <w:r>
        <w:rPr>
          <w:b/>
        </w:rPr>
        <w:t xml:space="preserve">Gmail API error handling/retries: </w:t>
      </w:r>
      <w:r>
        <w:t>https://developers.google.com/workspace/gmail/api/guides/handle-errors</w:t>
      </w:r>
    </w:p>
    <w:p>
      <w:pPr>
        <w:pStyle w:val="Heading1"/>
      </w:pPr>
      <w:r>
        <w:t>22. Short Context to Paste into a New Chat</w:t>
      </w:r>
    </w:p>
    <w:p>
      <w:r>
        <w:t>I want to build a complete AI Outreach Engine. Use Mastra with TypeScript/Node.js for agent/workflow orchestration, Claude API for research synthesis, lead qualification support, personalized email drafts and a second-pass factual quality check, PostgreSQL for persistence, and Gmail API OAuth to create drafts in two authorized inboxes. Version 2 adds approved-only sending as a separate stage, Crunchbase and hiring-signal research, email tracking, lead history and dashboard reporting (Section 23). No email is ever sent without explicit user approval. It must support CSV/XLSX import with preview, flexible column mapping, validation, deduplication, dry-run, row-level error reporting and import summaries. Apollo is a planned source, but Apollo subscription and credits are excluded from operating-cost estimates and budgeted separately. The system should research permitted public company information, store source links/evidence, score leads 0–100, qualify before paid enrichment, use a configurable offer/case-study library, check claims, manage DNC/suppression, and show usage/cost telemetry. Target is 60 successful drafts per workday across two inboxes (~1,320/month). ₹4–₹6 per draft is only a provisional target, not guaranteed. Start with self-hosted open-source Mastra to avoid the optional $250/month hosted Teams plan; verify current vendor pricing and measure real usage in a 50–100 lead pilot. Full requirements, exclusions, stack, workflow, budget, phases and acceptance criteria are in this document.</w:t>
      </w:r>
    </w:p>
    <w:p>
      <w:pPr>
        <w:pStyle w:val="Heading1"/>
      </w:pPr>
      <w:r>
        <w:t xml:space="preserve">23. Version 2 Extension Requirements</w:t>
      </w:r>
    </w:p>
    <w:p>
      <w:r>
        <w:t xml:space="preserve">Added 26 October 2026. These requirements extend the system above without breaking existing behaviour: import, qualification, research, drafting, quality check and human review keep working exactly as specified. Where a v2 rule conflicts with earlier wording about sending, the v2 rule applies and earlier lines have been updated to match.</w:t>
      </w:r>
    </w:p>
    <w:p>
      <w:pPr>
        <w:pStyle w:val="Heading2"/>
      </w:pPr>
      <w:r>
        <w:t xml:space="preserve">23.1 Crunchbase research and hiring-signal detection</w:t>
      </w:r>
    </w:p>
    <w:p>
      <w:pPr>
        <w:pStyle w:val="ListBullet"/>
        <w:spacing w:after="40"/>
      </w:pPr>
      <w:r>
        <w:t xml:space="preserve">Add Crunchbase as an additional company research source for funding rounds, growth, expansion and potential hiring signals.</w:t>
      </w:r>
    </w:p>
    <w:p>
      <w:pPr>
        <w:pStyle w:val="ListBullet"/>
        <w:spacing w:after="40"/>
      </w:pPr>
      <w:r>
        <w:t xml:space="preserve">Verify hiring signals against the company website, careers page and public job listings before treating them as true. A Crunchbase or news mention alone is a 'possible' signal; a live careers page or job listing makes it 'verified'.</w:t>
      </w:r>
    </w:p>
    <w:p>
      <w:pPr>
        <w:pStyle w:val="ListBullet"/>
        <w:spacing w:after="40"/>
      </w:pPr>
      <w:r>
        <w:t xml:space="preserve">Store, for each signal: signal type (funding, hiring, expansion, launch, leadership change), short description, source URL, source name, signal date (date of the event), retrieval date, verification status and confidence.</w:t>
      </w:r>
    </w:p>
    <w:p>
      <w:pPr>
        <w:pStyle w:val="ListBullet"/>
        <w:spacing w:after="40"/>
      </w:pPr>
      <w:r>
        <w:t xml:space="preserve">Prefer the most recent signal as the lead's trigger; signals older than a configurable window (default 180 days) must not be described as recent in an email.</w:t>
      </w:r>
    </w:p>
    <w:p>
      <w:pPr>
        <w:pStyle w:val="ListBullet"/>
        <w:spacing w:after="40"/>
      </w:pPr>
      <w:r>
        <w:t xml:space="preserve">Cache Crunchbase results by company domain and reuse them across contacts at the same company.</w:t>
      </w:r>
    </w:p>
    <w:p>
      <w:pPr>
        <w:pStyle w:val="ListBullet"/>
        <w:spacing w:after="40"/>
      </w:pPr>
      <w:r>
        <w:rPr>
          <w:b/>
        </w:rPr>
        <w:t xml:space="preserve">Important: </w:t>
      </w:r>
      <w:r>
        <w:t xml:space="preserve">Access check before implementation: public reporting in 2026 says the full Crunchbase API (including funding-round data) needs an Enterprise or Applications licence quoted by Crunchbase sales, and the limited Basic access covers only organization lookup endpoints. Confirm the plan, endpoints, rate limits, data-use terms and price in writing before building against it.</w:t>
      </w:r>
    </w:p>
    <w:p>
      <w:pPr>
        <w:pStyle w:val="ListBullet"/>
        <w:spacing w:after="40"/>
      </w:pPr>
      <w:r>
        <w:t xml:space="preserve">Build Crunchbase behind a provider adapter and a feature flag (off by default). If API access is not purchased, fall back to (a) importing a Crunchbase CSV export the account is licensed to make, and/or (b) funding/news signals from the search API and company newsroom. Never scrape Crunchbase pages or bypass its access controls.</w:t>
      </w:r>
    </w:p>
    <w:p>
      <w:pPr>
        <w:pStyle w:val="Heading2"/>
      </w:pPr>
      <w:r>
        <w:t xml:space="preserve">23.2 Additional lead fields</w:t>
      </w:r>
    </w:p>
    <w:p>
      <w:r>
        <w:t xml:space="preserve">Store the following fields for every lead (existing fields in Section 6 remain):</w:t>
      </w:r>
    </w:p>
    <w:tbl>
      <w:tblPr>
        <w:tblStyle w:val="TableGrid"/>
        <w:tblW w:type="dxa" w:w="10080"/>
        <w:jc w:val="center"/>
        <w:tblLook w:firstColumn="1" w:firstRow="1" w:lastColumn="0" w:lastRow="0" w:noHBand="0" w:noVBand="1" w:val="04A0"/>
      </w:tblPr>
      <w:tblGrid>
        <w:gridCol w:w="2400"/>
        <w:gridCol w:w="7680"/>
      </w:tblGrid>
      <w:tr>
        <w:tc>
          <w:tcPr>
            <w:tcW w:type="dxa" w:w="2400"/>
            <w:shd w:val="clear" w:color="auto" w:fill="CFE2F3"/>
          </w:tcPr>
          <w:p>
            <w:r>
              <w:rPr>
                <w:b/>
                <w:sz w:val="17"/>
              </w:rPr>
              <w:t xml:space="preserve">Group</w:t>
            </w:r>
          </w:p>
        </w:tc>
        <w:tc>
          <w:tcPr>
            <w:tcW w:type="dxa" w:w="7680"/>
            <w:shd w:val="clear" w:color="auto" w:fill="CFE2F3"/>
          </w:tcPr>
          <w:p>
            <w:r>
              <w:rPr>
                <w:b/>
                <w:sz w:val="17"/>
              </w:rPr>
              <w:t xml:space="preserve">Fields</w:t>
            </w:r>
          </w:p>
        </w:tc>
      </w:tr>
      <w:tr>
        <w:tc>
          <w:tcPr>
            <w:tcW w:type="dxa" w:w="2400"/>
            <w:vAlign w:val="center"/>
          </w:tcPr>
          <w:p>
            <w:pPr>
              <w:spacing w:after="0"/>
            </w:pPr>
            <w:r>
              <w:rPr>
                <w:sz w:val="16"/>
              </w:rPr>
              <w:t xml:space="preserve">Company</w:t>
            </w:r>
          </w:p>
        </w:tc>
        <w:tc>
          <w:tcPr>
            <w:tcW w:type="dxa" w:w="7680"/>
            <w:vAlign w:val="center"/>
          </w:tcPr>
          <w:p>
            <w:pPr>
              <w:spacing w:after="0"/>
            </w:pPr>
            <w:r>
              <w:rPr>
                <w:sz w:val="16"/>
              </w:rPr>
              <w:t xml:space="preserve">company name, company domain, country, employee count</w:t>
            </w:r>
          </w:p>
        </w:tc>
      </w:tr>
      <w:tr>
        <w:tc>
          <w:tcPr>
            <w:tcW w:type="dxa" w:w="2400"/>
            <w:vAlign w:val="center"/>
          </w:tcPr>
          <w:p>
            <w:pPr>
              <w:spacing w:after="0"/>
            </w:pPr>
            <w:r>
              <w:rPr>
                <w:sz w:val="16"/>
              </w:rPr>
              <w:t xml:space="preserve">Targeting</w:t>
            </w:r>
          </w:p>
        </w:tc>
        <w:tc>
          <w:tcPr>
            <w:tcW w:type="dxa" w:w="7680"/>
            <w:vAlign w:val="center"/>
          </w:tcPr>
          <w:p>
            <w:pPr>
              <w:spacing w:after="0"/>
            </w:pPr>
            <w:r>
              <w:rPr>
                <w:sz w:val="16"/>
              </w:rPr>
              <w:t xml:space="preserve">ICP (matched ICP segment), lead source (Apollo, CSV, manual), campaign name</w:t>
            </w:r>
          </w:p>
        </w:tc>
      </w:tr>
      <w:tr>
        <w:tc>
          <w:tcPr>
            <w:tcW w:type="dxa" w:w="2400"/>
            <w:vAlign w:val="center"/>
          </w:tcPr>
          <w:p>
            <w:pPr>
              <w:spacing w:after="0"/>
            </w:pPr>
            <w:r>
              <w:rPr>
                <w:sz w:val="16"/>
              </w:rPr>
              <w:t xml:space="preserve">Contact</w:t>
            </w:r>
          </w:p>
        </w:tc>
        <w:tc>
          <w:tcPr>
            <w:tcW w:type="dxa" w:w="7680"/>
            <w:vAlign w:val="center"/>
          </w:tcPr>
          <w:p>
            <w:pPr>
              <w:spacing w:after="0"/>
            </w:pPr>
            <w:r>
              <w:rPr>
                <w:sz w:val="16"/>
              </w:rPr>
              <w:t xml:space="preserve">contact name, job title, email, professional profile URL, Do Not Contact status</w:t>
            </w:r>
          </w:p>
        </w:tc>
      </w:tr>
      <w:tr>
        <w:tc>
          <w:tcPr>
            <w:tcW w:type="dxa" w:w="2400"/>
            <w:vAlign w:val="center"/>
          </w:tcPr>
          <w:p>
            <w:pPr>
              <w:spacing w:after="0"/>
            </w:pPr>
            <w:r>
              <w:rPr>
                <w:sz w:val="16"/>
              </w:rPr>
              <w:t xml:space="preserve">Qualification</w:t>
            </w:r>
          </w:p>
        </w:tc>
        <w:tc>
          <w:tcPr>
            <w:tcW w:type="dxa" w:w="7680"/>
            <w:vAlign w:val="center"/>
          </w:tcPr>
          <w:p>
            <w:pPr>
              <w:spacing w:after="0"/>
            </w:pPr>
            <w:r>
              <w:rPr>
                <w:sz w:val="16"/>
              </w:rPr>
              <w:t xml:space="preserve">lead score (0–100)</w:t>
            </w:r>
          </w:p>
        </w:tc>
      </w:tr>
      <w:tr>
        <w:tc>
          <w:tcPr>
            <w:tcW w:type="dxa" w:w="2400"/>
            <w:vAlign w:val="center"/>
          </w:tcPr>
          <w:p>
            <w:pPr>
              <w:spacing w:after="0"/>
            </w:pPr>
            <w:r>
              <w:rPr>
                <w:sz w:val="16"/>
              </w:rPr>
              <w:t xml:space="preserve">Trigger</w:t>
            </w:r>
          </w:p>
        </w:tc>
        <w:tc>
          <w:tcPr>
            <w:tcW w:type="dxa" w:w="7680"/>
            <w:vAlign w:val="center"/>
          </w:tcPr>
          <w:p>
            <w:pPr>
              <w:spacing w:after="0"/>
            </w:pPr>
            <w:r>
              <w:rPr>
                <w:sz w:val="16"/>
              </w:rPr>
              <w:t xml:space="preserve">trigger (signal used for outreach), trigger date, trigger source (URL)</w:t>
            </w:r>
          </w:p>
        </w:tc>
      </w:tr>
      <w:tr>
        <w:tc>
          <w:tcPr>
            <w:tcW w:type="dxa" w:w="2400"/>
            <w:vAlign w:val="center"/>
          </w:tcPr>
          <w:p>
            <w:pPr>
              <w:spacing w:after="0"/>
            </w:pPr>
            <w:r>
              <w:rPr>
                <w:sz w:val="16"/>
              </w:rPr>
              <w:t xml:space="preserve">Offer</w:t>
            </w:r>
          </w:p>
        </w:tc>
        <w:tc>
          <w:tcPr>
            <w:tcW w:type="dxa" w:w="7680"/>
            <w:vAlign w:val="center"/>
          </w:tcPr>
          <w:p>
            <w:pPr>
              <w:spacing w:after="0"/>
            </w:pPr>
            <w:r>
              <w:rPr>
                <w:sz w:val="16"/>
              </w:rPr>
              <w:t xml:space="preserve">Nuance offer (offer selected from the approved offer library), relevant case study</w:t>
            </w:r>
          </w:p>
        </w:tc>
      </w:tr>
      <w:tr>
        <w:tc>
          <w:tcPr>
            <w:tcW w:type="dxa" w:w="2400"/>
            <w:vAlign w:val="center"/>
          </w:tcPr>
          <w:p>
            <w:pPr>
              <w:spacing w:after="0"/>
            </w:pPr>
            <w:r>
              <w:rPr>
                <w:sz w:val="16"/>
              </w:rPr>
              <w:t xml:space="preserve">Pipeline</w:t>
            </w:r>
          </w:p>
        </w:tc>
        <w:tc>
          <w:tcPr>
            <w:tcW w:type="dxa" w:w="7680"/>
            <w:vAlign w:val="center"/>
          </w:tcPr>
          <w:p>
            <w:pPr>
              <w:spacing w:after="0"/>
            </w:pPr>
            <w:r>
              <w:rPr>
                <w:sz w:val="16"/>
              </w:rPr>
              <w:t xml:space="preserve">owner, last contact date, next action, next action date, nurture date, opportunity value</w:t>
            </w:r>
          </w:p>
        </w:tc>
      </w:tr>
    </w:tbl>
    <w:p/>
    <w:p>
      <w:pPr>
        <w:pStyle w:val="Heading2"/>
      </w:pPr>
      <w:r>
        <w:t xml:space="preserve">23.3 Approved Gmail sending (separate stage)</w:t>
      </w:r>
    </w:p>
    <w:p>
      <w:pPr>
        <w:pStyle w:val="ListBullet"/>
        <w:spacing w:after="40"/>
      </w:pPr>
      <w:r>
        <w:t xml:space="preserve">Keep two separate stages: (1) draft generation and Gmail draft creation, (2) sending. Approving a draft for Gmail does not approve it for sending.</w:t>
      </w:r>
    </w:p>
    <w:p>
      <w:pPr>
        <w:pStyle w:val="ListBullet"/>
        <w:spacing w:after="40"/>
      </w:pPr>
      <w:r>
        <w:t xml:space="preserve">A draft can be sent only when a user with sender permission clicks Send (single) or confirms a reviewed batch. The confirmation shows recipient, inbox, subject and count before sending.</w:t>
      </w:r>
    </w:p>
    <w:p>
      <w:pPr>
        <w:pStyle w:val="ListBullet"/>
        <w:spacing w:after="40"/>
      </w:pPr>
      <w:r>
        <w:t xml:space="preserve">Before every send, re-check: DNC/suppression, duplicate send for the same lead + campaign + step, a verified or accepted email status, inbox connection health and daily send caps per inbox.</w:t>
      </w:r>
    </w:p>
    <w:p>
      <w:pPr>
        <w:pStyle w:val="ListBullet"/>
        <w:spacing w:after="40"/>
      </w:pPr>
      <w:r>
        <w:t xml:space="preserve">Send through the Gmail API from the inbox that owns the draft. Use a stable idempotency key (campaign ID + lead ID + step + version) so a retry can never send twice.</w:t>
      </w:r>
    </w:p>
    <w:p>
      <w:pPr>
        <w:pStyle w:val="ListBullet"/>
        <w:spacing w:after="40"/>
      </w:pPr>
      <w:r>
        <w:t xml:space="preserve">Support a configurable delay between sends and a per-inbox daily send cap to protect sender reputation.</w:t>
      </w:r>
    </w:p>
    <w:p>
      <w:pPr>
        <w:pStyle w:val="ListBullet"/>
        <w:spacing w:after="40"/>
      </w:pPr>
      <w:r>
        <w:t xml:space="preserve">Scopes and Google verification: gmail.send is classified by Google as a sensitive scope; draft management and reading replies use restricted scopes. If both inboxes belong to the same Google Workspace as the Cloud project, configure the OAuth app as Internal. Otherwise plan for Google's verification process, and note that apps left in Testing mode receive refresh tokens that expire, which would break sending.</w:t>
      </w:r>
    </w:p>
    <w:p>
      <w:pPr>
        <w:pStyle w:val="Heading2"/>
      </w:pPr>
      <w:r>
        <w:t xml:space="preserve">23.4 Email tracking and reporting</w:t>
      </w:r>
    </w:p>
    <w:p>
      <w:pPr>
        <w:pStyle w:val="ListBullet"/>
        <w:spacing w:after="40"/>
      </w:pPr>
      <w:r>
        <w:t xml:space="preserve">Track sent, failed and unsent (pending, approved-not-yet-sent, cancelled) emails per campaign, inbox and day.</w:t>
      </w:r>
    </w:p>
    <w:p>
      <w:pPr>
        <w:pStyle w:val="ListBullet"/>
        <w:spacing w:after="40"/>
      </w:pPr>
      <w:r>
        <w:t xml:space="preserve">For each send attempt store: recipient name and email, company, subject, email body, sending inbox, campaign, sending date and time, status (queued, sending, sent, failed, cancelled), failure reason when available, attempt number and the Gmail message ID and thread ID when available.</w:t>
      </w:r>
    </w:p>
    <w:p>
      <w:pPr>
        <w:pStyle w:val="ListBullet"/>
        <w:spacing w:after="40"/>
      </w:pPr>
      <w:r>
        <w:t xml:space="preserve">Failed sends show the reason and allow a manual retry; permanent failures (invalid address, bounce) add the address to suppression.</w:t>
      </w:r>
    </w:p>
    <w:p>
      <w:pPr>
        <w:pStyle w:val="Heading2"/>
      </w:pPr>
      <w:r>
        <w:t xml:space="preserve">23.5 Lead history</w:t>
      </w:r>
    </w:p>
    <w:p>
      <w:pPr>
        <w:pStyle w:val="ListBullet"/>
        <w:spacing w:after="40"/>
      </w:pPr>
      <w:r>
        <w:t xml:space="preserve">Keep a complete, time-ordered outreach history per lead: imports, research runs, score changes, generated draft versions, Gmail drafts, sent emails, failures, previous contacts, status changes, DNC changes and planned follow-ups.</w:t>
      </w:r>
    </w:p>
    <w:p>
      <w:pPr>
        <w:pStyle w:val="ListBullet"/>
        <w:spacing w:after="40"/>
      </w:pPr>
      <w:r>
        <w:t xml:space="preserve">Track replies when reply tracking is enabled (Gmail thread check); until then, allow a user to mark Replied manually. A reply stops all planned follow-ups for that lead.</w:t>
      </w:r>
    </w:p>
    <w:p>
      <w:pPr>
        <w:pStyle w:val="ListBullet"/>
        <w:spacing w:after="40"/>
      </w:pPr>
      <w:r>
        <w:t xml:space="preserve">History entries are append-only and record who or what made the change.</w:t>
      </w:r>
    </w:p>
    <w:p>
      <w:pPr>
        <w:pStyle w:val="Heading2"/>
      </w:pPr>
      <w:r>
        <w:t xml:space="preserve">23.6 Dashboard reporting</w:t>
      </w:r>
    </w:p>
    <w:p>
      <w:pPr>
        <w:pStyle w:val="ListBullet"/>
        <w:spacing w:after="40"/>
      </w:pPr>
      <w:r>
        <w:t xml:space="preserve">Show counts and trends for: imported leads, researched companies, qualified leads, generated drafts, sent emails, failed emails, pending emails, replies and upcoming follow-ups.</w:t>
      </w:r>
    </w:p>
    <w:p>
      <w:pPr>
        <w:pStyle w:val="ListBullet"/>
        <w:spacing w:after="40"/>
      </w:pPr>
      <w:r>
        <w:t xml:space="preserve">Show campaign performance: per campaign drafts, sends, failures, replies, reply rate and cost per successful draft and per sent email.</w:t>
      </w:r>
    </w:p>
    <w:p>
      <w:pPr>
        <w:pStyle w:val="ListBullet"/>
        <w:spacing w:after="40"/>
      </w:pPr>
      <w:r>
        <w:t xml:space="preserve">Show actual operating costs from recorded usage (Claude tokens, search calls, verification credits, Crunchbase calls if enabled, hosting) against the monthly budget.</w:t>
      </w:r>
    </w:p>
    <w:p>
      <w:pPr>
        <w:pStyle w:val="ListBullet"/>
        <w:spacing w:after="40"/>
      </w:pPr>
      <w:r>
        <w:t xml:space="preserve">Filters: date range, campaign, inbox, owner.</w:t>
      </w:r>
    </w:p>
    <w:p>
      <w:pPr>
        <w:pStyle w:val="Heading2"/>
      </w:pPr>
      <w:r>
        <w:t xml:space="preserve">23.7 Database and reliability</w:t>
      </w:r>
    </w:p>
    <w:p>
      <w:pPr>
        <w:pStyle w:val="ListBullet"/>
        <w:spacing w:after="40"/>
      </w:pPr>
      <w:r>
        <w:t xml:space="preserve">Store all lead, research, signal, email draft, send, campaign, history and tracking data in PostgreSQL. Supabase-hosted PostgreSQL is acceptable and is the planned host.</w:t>
      </w:r>
    </w:p>
    <w:p>
      <w:pPr>
        <w:pStyle w:val="ListBullet"/>
        <w:spacing w:after="40"/>
      </w:pPr>
      <w:r>
        <w:t xml:space="preserve">Prevent duplicate processing with unique constraints and idempotency keys on leads, research runs, Gmail drafts and sends.</w:t>
      </w:r>
    </w:p>
    <w:p>
      <w:pPr>
        <w:pStyle w:val="ListBullet"/>
        <w:spacing w:after="40"/>
      </w:pPr>
      <w:r>
        <w:t xml:space="preserve">Respect the Do Not Contact list at import, before research spend, before draft creation and immediately before every send.</w:t>
      </w:r>
    </w:p>
    <w:p>
      <w:pPr>
        <w:pStyle w:val="ListBullet"/>
        <w:spacing w:after="40"/>
      </w:pPr>
      <w:r>
        <w:t xml:space="preserve">Handle failures with bounded retries and backoff, clear failed/dead-letter states, and an operator retry button.</w:t>
      </w:r>
    </w:p>
    <w:p>
      <w:pPr>
        <w:pStyle w:val="ListBullet"/>
        <w:spacing w:after="40"/>
      </w:pPr>
      <w:r>
        <w:t xml:space="preserve">Resume interrupted workflows from the last completed step where possible; a crash during sending must never cause a second send.</w:t>
      </w:r>
    </w:p>
    <w:p>
      <w:pPr>
        <w:pStyle w:val="Heading2"/>
      </w:pPr>
      <w:r>
        <w:t xml:space="preserve">23.8 Cost estimate (updated)</w:t>
      </w:r>
    </w:p>
    <w:p>
      <w:pPr>
        <w:pStyle w:val="ListBullet"/>
        <w:spacing w:after="40"/>
      </w:pPr>
      <w:r>
        <w:t xml:space="preserve">Keep ₹4–₹6 per successfully generated email draft as a preliminary target only, excluding Apollo subscription and credits. Validate the actual cost in the pilot.</w:t>
      </w:r>
    </w:p>
    <w:p>
      <w:pPr>
        <w:pStyle w:val="ListBullet"/>
        <w:spacing w:after="40"/>
      </w:pPr>
      <w:r>
        <w:t xml:space="preserve">Crunchbase API cost is not included in the ₹4–₹6 target. Public 2026 reporting describes Crunchbase API access as enterprise-licensed and quote-based, which could exceed the whole operating budget; get a written quote and decide before implementation. Gmail sending adds no expected API cost within standard quotas.</w:t>
      </w:r>
    </w:p>
    <w:p>
      <w:pPr>
        <w:pStyle w:val="ListBullet"/>
        <w:spacing w:after="40"/>
      </w:pPr>
      <w:r>
        <w:t xml:space="preserve">Report cost per successful draft and cost per sent email separately.</w:t>
      </w:r>
    </w:p>
    <w:p>
      <w:pPr>
        <w:pStyle w:val="Heading2"/>
      </w:pPr>
      <w:r>
        <w:t xml:space="preserve">23.9 Additional decisions required</w:t>
      </w:r>
    </w:p>
    <w:p>
      <w:pPr>
        <w:pStyle w:val="ListBullet"/>
        <w:spacing w:after="40"/>
      </w:pPr>
      <w:r>
        <w:t xml:space="preserve">Crunchbase: buy API access, use licensed CSV exports, or rely on search/newsroom signals only.</w:t>
      </w:r>
    </w:p>
    <w:p>
      <w:pPr>
        <w:pStyle w:val="ListBullet"/>
        <w:spacing w:after="40"/>
      </w:pPr>
      <w:r>
        <w:t xml:space="preserve">Who may approve sending, and the per-inbox daily send cap and delay between sends.</w:t>
      </w:r>
    </w:p>
    <w:p>
      <w:pPr>
        <w:pStyle w:val="ListBullet"/>
        <w:spacing w:after="40"/>
      </w:pPr>
      <w:r>
        <w:t xml:space="preserve">Whether both inboxes are on one Google Workspace (Internal OAuth app) or separate accounts (verification needed).</w:t>
      </w:r>
    </w:p>
    <w:p>
      <w:pPr>
        <w:pStyle w:val="ListBullet"/>
        <w:spacing w:after="40"/>
      </w:pPr>
      <w:r>
        <w:t xml:space="preserve">Whether automatic reply tracking is in scope for this version (requires a restricted read scope) or replies are marked manually.</w:t>
      </w:r>
    </w:p>
    <w:p>
      <w:pPr>
        <w:pStyle w:val="ListBullet"/>
        <w:spacing w:after="40"/>
      </w:pPr>
      <w:r>
        <w:t xml:space="preserve">Definition of 'Nuance offer' list and the owner list for leads.</w:t>
      </w:r>
    </w:p>
    <w:p>
      <w:pPr>
        <w:pStyle w:val="Heading2"/>
      </w:pPr>
      <w:r>
        <w:t xml:space="preserve">23.10 Additional references</w:t>
      </w:r>
    </w:p>
    <w:p>
      <w:pPr>
        <w:pStyle w:val="ListBullet"/>
        <w:spacing w:after="40"/>
      </w:pPr>
      <w:r>
        <w:rPr>
          <w:b/>
        </w:rPr>
        <w:t xml:space="preserve">Crunchbase API access: </w:t>
      </w:r>
      <w:r>
        <w:t xml:space="preserve">https://data.crunchbase.com/docs/using-the-api</w:t>
      </w:r>
    </w:p>
    <w:p>
      <w:pPr>
        <w:pStyle w:val="ListBullet"/>
        <w:spacing w:after="40"/>
      </w:pPr>
      <w:r>
        <w:rPr>
          <w:b/>
        </w:rPr>
        <w:t xml:space="preserve">Gmail API scopes: </w:t>
      </w:r>
      <w:r>
        <w:t xml:space="preserve">https://developers.google.com/workspace/gmail/api/auth/scopes</w:t>
      </w:r>
    </w:p>
    <w:p>
      <w:pPr>
        <w:pStyle w:val="ListBullet"/>
        <w:spacing w:after="40"/>
      </w:pPr>
      <w:r>
        <w:rPr>
          <w:b/>
        </w:rPr>
        <w:t xml:space="preserve">Google OAuth verification FAQ: </w:t>
      </w:r>
      <w:r>
        <w:t xml:space="preserve">https://support.google.com/cloud/answer/13463817</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Outreach Engine — Development Handoff | Planning document, not a vendor quote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