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g5y30msyeq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Reinforcement Learning (RL) for Cryptocurrency Trading with Generative Market Simulation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vostrc2u0kk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develop a lightweight, scalable framework that combines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Reinforcement Learning (RL)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Generative AI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optimizing cryptocurrency trading strategies. The system will: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 realistic market simulations using synthetic data.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an RL agent for executing risk-balanced trades.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Leverage Bitcoin mining metrics for market insights.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chess-inspired game theory to enhance decision-making in volatile markets.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k7fl5qwdckn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j69891xwcd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Key Challenges in Crypto Trading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Scarcity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Limited historical data makes it difficult to train robust RL models for rare market events like flash crashes.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Market Volatility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Traditional strategies, including moving averages, cannot adapt quickly enough to sudden price movements.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Miner Influence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Bitcoin's price stability is affected by mining activity—hash rates and energy costs—yet this factor is rarely considered.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Overfitting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Models trained on limited historical data struggle in real-market conditions.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54ct6s7dmuh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Solution Proposed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Generative Market Simulation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Leverage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TimeGAN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generate synthetic price and volume data for enhanced training datasets.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RL Agent with Chess-like Planning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Monte Carlo Tree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sophisticated multi-step decision-making.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Mining-Aware Features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Track mining metrics to forecast sell pressure and assess network health.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i449xec2jn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Target Audience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Quantitative Traders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Those seeking data-driven, adaptive crypto strategies.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Crypto Analysts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Professionals studying mining's influence on market dynamics.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ML Engineers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Practitioners exploring synthetic financial data generation.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Academic Researchers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Scholars investigating RL in decentralized systems.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lgeweyq11vu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Expected Outcome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628rqgtuk3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Deliverables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TimeGAN 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generates realistic crypto market data, validated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Dynamic Time Warping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RL-based trading agent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delivering 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≥15% annual returns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(backtested), outperforming buy-and-hold in terms of drawdowns.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Streamlit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dashboard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displaying agent performance, synthetic data examples, and mining correlations.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Optional: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mining integration module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predicting miner-driven sell pressure.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fdysttezs7b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Metrics for Success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RL Agent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Sharpe Ratio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 2.0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Max Drawdown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 20%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TimeGAN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FID score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 0.5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(lower scores indicate more realistic data).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Mining Module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Accuracy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&gt; 70%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predicting miner sell events.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h5l7namt2gh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Scalability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82y4v62caig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Technical Scalability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Asset Agnosticism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Adaptable framework for stocks, NFTs, and DeFi tokens through interchangeable data pipelines.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Cloud Integration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AWS/GCP deployment enabling real-time trading via low-latency APIs.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Modular Design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Independent upgrading of TimeGAN, RL agent, and mining module components.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sufbx3dzt9y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Market Scalability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Partnerships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Mining pool collaboration (e.g., Foundry USA) for real-time hash rate data.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Regulatory Compliance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Implementation of AML/KYC checks for institutional use.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Community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Open-source RL environment to facilitate community-driven improvements.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bojm4eifmtk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Future Work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Sentiment Layer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LLM integration (e.g., GPT-4) for news and social media trend analysis.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Decentralized Deployment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Blockchain node implementation for trustless execution.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qqvoaspt20fo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project connects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Generative AI, Reinforcement Learning, and cryptocurrency markets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By approaching trading as a chess-like game with synthetic data enhancement, it presents an innovative, scalable answer to volatility and data scarcity challenges.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modular architecture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ensures value in both academic research and practical trading, contributing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$20B+ algorithmic crypto trading sector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7t3o0y6e560i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Sourabh Soni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Contact: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Sourabhs701@gmail.com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Tags: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Reinforcement Learning, Generative AI, Cryptocurrency, Bitcoin Mining, Algorithmic Trading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ourabhs7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