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60A" w:rsidRDefault="004B008B">
      <w:pPr>
        <w:jc w:val="center"/>
        <w:rPr>
          <w:rFonts w:hint="eastAsia"/>
        </w:rPr>
      </w:pPr>
      <w:r>
        <w:rPr>
          <w:b/>
          <w:sz w:val="48"/>
        </w:rPr>
        <w:t>EXECUTIVE SUMMARY</w:t>
      </w:r>
    </w:p>
    <w:p w:rsidR="008B160A" w:rsidRDefault="004B008B">
      <w:pPr>
        <w:jc w:val="center"/>
        <w:rPr>
          <w:rFonts w:hint="eastAsia"/>
        </w:rPr>
      </w:pPr>
      <w:r>
        <w:rPr>
          <w:b/>
          <w:sz w:val="28"/>
        </w:rPr>
        <w:t>Nassau Candy Distributor</w:t>
      </w:r>
      <w:r>
        <w:rPr>
          <w:b/>
          <w:sz w:val="28"/>
        </w:rPr>
        <w:br/>
        <w:t>Product Line Profitability &amp; Margin Performance Analysis</w:t>
      </w:r>
    </w:p>
    <w:p w:rsidR="008B160A" w:rsidRDefault="004B008B">
      <w:pPr>
        <w:jc w:val="center"/>
        <w:rPr>
          <w:rFonts w:hint="eastAsia"/>
        </w:rPr>
      </w:pPr>
      <w:r>
        <w:rPr>
          <w:i/>
        </w:rPr>
        <w:t>Management-focused summary of key findings, risks and recommendations</w:t>
      </w:r>
    </w:p>
    <w:p w:rsidR="008B160A" w:rsidRDefault="004B008B">
      <w:pPr>
        <w:spacing w:before="200" w:after="100"/>
        <w:rPr>
          <w:rFonts w:hint="eastAsia"/>
        </w:rPr>
      </w:pPr>
      <w:r>
        <w:rPr>
          <w:b/>
          <w:sz w:val="28"/>
        </w:rPr>
        <w:t>1. Business Snapshot</w:t>
      </w:r>
    </w:p>
    <w:p w:rsidR="008B160A" w:rsidRDefault="004B008B">
      <w:pPr>
        <w:spacing w:after="140"/>
        <w:rPr>
          <w:rFonts w:hint="eastAsia"/>
        </w:rPr>
      </w:pPr>
      <w:r>
        <w:t xml:space="preserve">The analysis covers 10,194 transaction records, 8,549 unique </w:t>
      </w:r>
      <w:r>
        <w:t>orders and 5,044 customers. The dataset generated $141,783.63 in sales, $93,442.80 in gross profit and $48,340.83 in cost, with 38,654 units sold. The overall gross margin is 65.91%.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B160A">
        <w:trPr>
          <w:jc w:val="center"/>
        </w:trPr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b/>
                <w:sz w:val="18"/>
              </w:rPr>
              <w:t>Result</w:t>
            </w:r>
          </w:p>
        </w:tc>
      </w:tr>
      <w:tr w:rsidR="008B160A">
        <w:trPr>
          <w:jc w:val="center"/>
        </w:trPr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Sales</w:t>
            </w:r>
          </w:p>
        </w:tc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$141,783.63</w:t>
            </w:r>
          </w:p>
        </w:tc>
      </w:tr>
      <w:tr w:rsidR="008B160A">
        <w:trPr>
          <w:jc w:val="center"/>
        </w:trPr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Gross Profit</w:t>
            </w:r>
          </w:p>
        </w:tc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$93,442.80</w:t>
            </w:r>
          </w:p>
        </w:tc>
      </w:tr>
      <w:tr w:rsidR="008B160A">
        <w:trPr>
          <w:jc w:val="center"/>
        </w:trPr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Cost</w:t>
            </w:r>
          </w:p>
        </w:tc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$48,34</w:t>
            </w:r>
            <w:r>
              <w:rPr>
                <w:sz w:val="18"/>
              </w:rPr>
              <w:t>0.83</w:t>
            </w:r>
          </w:p>
        </w:tc>
      </w:tr>
      <w:tr w:rsidR="008B160A">
        <w:trPr>
          <w:jc w:val="center"/>
        </w:trPr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Gross Margin</w:t>
            </w:r>
          </w:p>
        </w:tc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65.91%</w:t>
            </w:r>
          </w:p>
        </w:tc>
      </w:tr>
      <w:tr w:rsidR="008B160A">
        <w:trPr>
          <w:jc w:val="center"/>
        </w:trPr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Units Sold</w:t>
            </w:r>
          </w:p>
        </w:tc>
        <w:tc>
          <w:tcPr>
            <w:tcW w:w="5040" w:type="dxa"/>
          </w:tcPr>
          <w:p w:rsidR="008B160A" w:rsidRDefault="004B008B">
            <w:pPr>
              <w:rPr>
                <w:rFonts w:hint="eastAsia"/>
              </w:rPr>
            </w:pPr>
            <w:r>
              <w:rPr>
                <w:sz w:val="18"/>
              </w:rPr>
              <w:t>38,654</w:t>
            </w:r>
          </w:p>
        </w:tc>
      </w:tr>
    </w:tbl>
    <w:p w:rsidR="008B160A" w:rsidRDefault="008B160A">
      <w:pPr>
        <w:rPr>
          <w:rFonts w:hint="eastAsia"/>
        </w:rPr>
      </w:pPr>
    </w:p>
    <w:p w:rsidR="008B160A" w:rsidRDefault="004B008B">
      <w:pPr>
        <w:spacing w:before="200" w:after="100"/>
        <w:rPr>
          <w:rFonts w:hint="eastAsia"/>
        </w:rPr>
      </w:pPr>
      <w:r>
        <w:rPr>
          <w:b/>
          <w:sz w:val="28"/>
        </w:rPr>
        <w:t>2. Key Findings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Profitability is highly concentrated: the top five products contribute 95.06% of total gross profit.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The leading division by gross profit is Chocolate, generating $88,824.62.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 xml:space="preserve">1 products fall </w:t>
      </w:r>
      <w:r>
        <w:t>below the 20% gross-margin diagnostic threshold and warrant review.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The strongest products should be protected through inventory availability, pricing discipline and margin monitoring.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Sales volume should be evaluated together with gross margin and gross p</w:t>
      </w:r>
      <w:r>
        <w:t>rofit.</w:t>
      </w:r>
    </w:p>
    <w:p w:rsidR="008B160A" w:rsidRDefault="004B008B">
      <w:pPr>
        <w:spacing w:before="200" w:after="100"/>
        <w:rPr>
          <w:rFonts w:hint="eastAsia"/>
        </w:rPr>
      </w:pPr>
      <w:r>
        <w:rPr>
          <w:b/>
          <w:sz w:val="28"/>
        </w:rPr>
        <w:t>3. Strategic Risks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High profit concentration creates dependency risk if leading products face stock-outs, demand disruption or margin deterioration.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Low-margin products may consume resources without contributing proportionately to profitability.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Foc</w:t>
      </w:r>
      <w:r>
        <w:t>using on sales alone can hide deterioration in profitability.</w:t>
      </w:r>
    </w:p>
    <w:p w:rsidR="008B160A" w:rsidRDefault="004B008B">
      <w:pPr>
        <w:spacing w:before="200" w:after="100"/>
        <w:rPr>
          <w:rFonts w:hint="eastAsia"/>
        </w:rPr>
      </w:pPr>
      <w:r>
        <w:rPr>
          <w:b/>
          <w:sz w:val="28"/>
        </w:rPr>
        <w:t>4. Recommended Actions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Prioritize stock availability and replenishment for the highest gross-profit products.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Review pricing, discounts and procurement costs for products below the margin thresh</w:t>
      </w:r>
      <w:r>
        <w:t>old.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Use division and regional profitability—not sales alone—to guide commercial priorities.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Track gross margin and profit concentration as recurring management KPIs.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Develop profitable secondary products to reduce dependency on current top contributors.</w:t>
      </w:r>
    </w:p>
    <w:p w:rsidR="008B160A" w:rsidRDefault="004B008B">
      <w:pPr>
        <w:pStyle w:val="ListBullet"/>
        <w:spacing w:after="60"/>
        <w:rPr>
          <w:rFonts w:hint="eastAsia"/>
        </w:rPr>
      </w:pPr>
      <w:r>
        <w:t>R</w:t>
      </w:r>
      <w:r>
        <w:t>efresh the Streamlit dashboard regularly for ongoing performance monitoring.</w:t>
      </w:r>
    </w:p>
    <w:p w:rsidR="008B160A" w:rsidRDefault="004B008B">
      <w:pPr>
        <w:spacing w:before="200" w:after="100"/>
        <w:rPr>
          <w:rFonts w:hint="eastAsia"/>
        </w:rPr>
      </w:pPr>
      <w:r>
        <w:rPr>
          <w:b/>
          <w:sz w:val="28"/>
        </w:rPr>
        <w:t>5. Expected Business Impact</w:t>
      </w:r>
    </w:p>
    <w:p w:rsidR="008B160A" w:rsidRDefault="004B008B">
      <w:pPr>
        <w:spacing w:after="140"/>
        <w:rPr>
          <w:rFonts w:hint="eastAsia"/>
        </w:rPr>
      </w:pPr>
      <w:r>
        <w:t>These actions can improve profitability visibility, reduce exposure to low-margin activity, protect core profit drivers, and support evidence-based inv</w:t>
      </w:r>
      <w:r>
        <w:t>entory, pricing and portfolio decisions.</w:t>
      </w:r>
    </w:p>
    <w:p w:rsidR="004B008B" w:rsidRDefault="004B008B">
      <w:pPr>
        <w:spacing w:after="140"/>
      </w:pPr>
    </w:p>
    <w:p w:rsidR="004B008B" w:rsidRDefault="004B008B" w:rsidP="004B008B">
      <w:pPr>
        <w:spacing w:before="200" w:after="100"/>
        <w:rPr>
          <w:rFonts w:hint="eastAsia"/>
        </w:rPr>
      </w:pPr>
      <w:r>
        <w:rPr>
          <w:b/>
          <w:sz w:val="28"/>
        </w:rPr>
        <w:lastRenderedPageBreak/>
        <w:t>6. Analytical Deliverable</w:t>
      </w:r>
    </w:p>
    <w:p w:rsidR="004B008B" w:rsidRDefault="004B008B">
      <w:pPr>
        <w:spacing w:after="140"/>
      </w:pPr>
    </w:p>
    <w:p w:rsidR="008B160A" w:rsidRDefault="004B008B">
      <w:pPr>
        <w:spacing w:after="140"/>
        <w:rPr>
          <w:rFonts w:hint="eastAsia"/>
        </w:rPr>
      </w:pPr>
      <w:r>
        <w:t xml:space="preserve">The accompanying </w:t>
      </w:r>
      <w:proofErr w:type="spellStart"/>
      <w:r>
        <w:t>Streamlit</w:t>
      </w:r>
      <w:proofErr w:type="spellEnd"/>
      <w:r>
        <w:t xml:space="preserve"> dashboard provides product profitability, gross-margin, division, cost-versus-sales and profit-concentration views, with interactive date, division, margin-thresh</w:t>
      </w:r>
      <w:r>
        <w:t>old and product controls.</w:t>
      </w:r>
    </w:p>
    <w:p w:rsidR="008B160A" w:rsidRDefault="004B008B">
      <w:pPr>
        <w:spacing w:before="200" w:after="100"/>
        <w:rPr>
          <w:rFonts w:hint="eastAsia"/>
        </w:rPr>
      </w:pPr>
      <w:r>
        <w:rPr>
          <w:b/>
          <w:sz w:val="28"/>
        </w:rPr>
        <w:t>Conclusion</w:t>
      </w:r>
    </w:p>
    <w:p w:rsidR="008B160A" w:rsidRDefault="004B008B">
      <w:pPr>
        <w:spacing w:after="140"/>
        <w:rPr>
          <w:rFonts w:hint="eastAsia"/>
        </w:rPr>
      </w:pPr>
      <w:r>
        <w:t xml:space="preserve">The business shows a strong overall gross margin of 65.91%, but profitability is concentrated among a small number of products. Management should protect core profit drivers while actively improving or rationalizing </w:t>
      </w:r>
      <w:r>
        <w:t>lower-margin products.</w:t>
      </w:r>
      <w:bookmarkStart w:id="0" w:name="_GoBack"/>
      <w:bookmarkEnd w:id="0"/>
    </w:p>
    <w:sectPr w:rsidR="008B160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08B"/>
    <w:rsid w:val="008B16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B3D771-7342-4AAA-BDFC-CF7A65356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2026-08-14T07:17:00Z</dcterms:modified>
  <cp:category/>
</cp:coreProperties>
</file>