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2016" w:rsidRDefault="001D2016" w:rsidP="001D2016">
      <w:pPr>
        <w:pStyle w:val="Heading1"/>
        <w:jc w:val="center"/>
      </w:pPr>
      <w:r>
        <w:t>DATA ANALYTICS PROJECT REPORT</w:t>
      </w:r>
    </w:p>
    <w:p w:rsidR="001D2016" w:rsidRPr="009F1ADC" w:rsidRDefault="001D2016" w:rsidP="001D2016">
      <w:pPr>
        <w:rPr>
          <w:rFonts w:hint="eastAsia"/>
          <w:sz w:val="25"/>
        </w:rPr>
      </w:pPr>
    </w:p>
    <w:p w:rsidR="001D2016" w:rsidRPr="009F1ADC" w:rsidRDefault="001D2016" w:rsidP="001D2016">
      <w:pPr>
        <w:spacing w:before="160"/>
        <w:jc w:val="center"/>
        <w:rPr>
          <w:rFonts w:hint="eastAsia"/>
          <w:sz w:val="29"/>
        </w:rPr>
      </w:pPr>
      <w:r w:rsidRPr="009F1ADC">
        <w:rPr>
          <w:b/>
          <w:sz w:val="60"/>
        </w:rPr>
        <w:t>NASSAU CANDY DISTRIBUTOR</w:t>
      </w:r>
      <w:bookmarkStart w:id="0" w:name="_GoBack"/>
      <w:bookmarkEnd w:id="0"/>
    </w:p>
    <w:p w:rsidR="001D2016" w:rsidRDefault="001D2016" w:rsidP="001D2016">
      <w:pPr>
        <w:spacing w:before="40" w:after="40"/>
        <w:jc w:val="center"/>
        <w:rPr>
          <w:rFonts w:hint="eastAsia"/>
        </w:rPr>
      </w:pPr>
      <w:r>
        <w:rPr>
          <w:b/>
          <w:sz w:val="36"/>
        </w:rPr>
        <w:t>Product Line Profitability &amp;</w:t>
      </w:r>
    </w:p>
    <w:p w:rsidR="001D2016" w:rsidRDefault="001D2016" w:rsidP="001D2016">
      <w:pPr>
        <w:spacing w:after="400"/>
        <w:jc w:val="center"/>
        <w:rPr>
          <w:rFonts w:hint="eastAsia"/>
        </w:rPr>
      </w:pPr>
      <w:r>
        <w:rPr>
          <w:b/>
          <w:sz w:val="36"/>
        </w:rPr>
        <w:t>Margin Performance Analysis</w:t>
      </w:r>
    </w:p>
    <w:p w:rsidR="001D2016" w:rsidRDefault="001D2016" w:rsidP="001D2016">
      <w:pPr>
        <w:spacing w:after="0"/>
        <w:jc w:val="center"/>
        <w:rPr>
          <w:rFonts w:hint="eastAsia"/>
        </w:rPr>
      </w:pPr>
      <w:r>
        <w:rPr>
          <w:sz w:val="20"/>
        </w:rPr>
        <w:t>━━━━━━━━━━━━━━━━━━━━━━━━━━━━━━━━</w:t>
      </w:r>
    </w:p>
    <w:p w:rsidR="001D2016" w:rsidRPr="00AF0288" w:rsidRDefault="001D2016" w:rsidP="001D2016">
      <w:pPr>
        <w:spacing w:after="400"/>
        <w:jc w:val="center"/>
        <w:rPr>
          <w:rFonts w:hint="eastAsia"/>
          <w:i/>
          <w:sz w:val="28"/>
        </w:rPr>
      </w:pPr>
      <w:r w:rsidRPr="00AF0288">
        <w:rPr>
          <w:i/>
          <w:sz w:val="28"/>
        </w:rPr>
        <w:t>Exploratory Data Analysis, Profitability Diagnostics</w:t>
      </w:r>
      <w:proofErr w:type="gramStart"/>
      <w:r w:rsidRPr="00AF0288">
        <w:rPr>
          <w:i/>
          <w:sz w:val="28"/>
        </w:rPr>
        <w:t>,</w:t>
      </w:r>
      <w:proofErr w:type="gramEnd"/>
      <w:r w:rsidRPr="00AF0288">
        <w:rPr>
          <w:i/>
          <w:sz w:val="28"/>
        </w:rPr>
        <w:br/>
        <w:t>Profit Concentration &amp; Interactive Dashboard</w:t>
      </w:r>
    </w:p>
    <w:tbl>
      <w:tblPr>
        <w:tblStyle w:val="TableGrid"/>
        <w:tblW w:w="10336" w:type="dxa"/>
        <w:jc w:val="center"/>
        <w:tblLook w:val="04A0" w:firstRow="1" w:lastRow="0" w:firstColumn="1" w:lastColumn="0" w:noHBand="0" w:noVBand="1"/>
      </w:tblPr>
      <w:tblGrid>
        <w:gridCol w:w="2584"/>
        <w:gridCol w:w="2584"/>
        <w:gridCol w:w="2584"/>
        <w:gridCol w:w="2584"/>
      </w:tblGrid>
      <w:tr w:rsidR="001D2016" w:rsidTr="008C40FF">
        <w:trPr>
          <w:trHeight w:val="708"/>
          <w:jc w:val="center"/>
        </w:trPr>
        <w:tc>
          <w:tcPr>
            <w:tcW w:w="2584" w:type="dxa"/>
            <w:vAlign w:val="center"/>
          </w:tcPr>
          <w:p w:rsidR="001D2016" w:rsidRPr="009F1ADC" w:rsidRDefault="001D2016" w:rsidP="008C40FF">
            <w:pPr>
              <w:pStyle w:val="NoSpacing"/>
              <w:rPr>
                <w:rFonts w:hint="eastAsia"/>
                <w:b/>
              </w:rPr>
            </w:pPr>
            <w:r w:rsidRPr="009F1ADC">
              <w:rPr>
                <w:b/>
              </w:rPr>
              <w:t>Transactions</w:t>
            </w:r>
          </w:p>
        </w:tc>
        <w:tc>
          <w:tcPr>
            <w:tcW w:w="2584" w:type="dxa"/>
            <w:vAlign w:val="center"/>
          </w:tcPr>
          <w:p w:rsidR="001D2016" w:rsidRPr="009F1ADC" w:rsidRDefault="001D2016" w:rsidP="008C40FF">
            <w:pPr>
              <w:pStyle w:val="NoSpacing"/>
              <w:rPr>
                <w:rFonts w:hint="eastAsia"/>
                <w:b/>
              </w:rPr>
            </w:pPr>
            <w:r w:rsidRPr="009F1ADC">
              <w:rPr>
                <w:b/>
              </w:rPr>
              <w:t>Products</w:t>
            </w:r>
          </w:p>
        </w:tc>
        <w:tc>
          <w:tcPr>
            <w:tcW w:w="2584" w:type="dxa"/>
            <w:vAlign w:val="center"/>
          </w:tcPr>
          <w:p w:rsidR="001D2016" w:rsidRPr="009F1ADC" w:rsidRDefault="001D2016" w:rsidP="008C40FF">
            <w:pPr>
              <w:pStyle w:val="NoSpacing"/>
              <w:rPr>
                <w:rFonts w:hint="eastAsia"/>
                <w:b/>
              </w:rPr>
            </w:pPr>
            <w:r w:rsidRPr="009F1ADC">
              <w:rPr>
                <w:b/>
              </w:rPr>
              <w:t>Divisions</w:t>
            </w:r>
          </w:p>
        </w:tc>
        <w:tc>
          <w:tcPr>
            <w:tcW w:w="2584" w:type="dxa"/>
            <w:vAlign w:val="center"/>
          </w:tcPr>
          <w:p w:rsidR="001D2016" w:rsidRPr="009F1ADC" w:rsidRDefault="001D2016" w:rsidP="008C40FF">
            <w:pPr>
              <w:pStyle w:val="NoSpacing"/>
              <w:rPr>
                <w:rFonts w:hint="eastAsia"/>
                <w:b/>
              </w:rPr>
            </w:pPr>
            <w:r w:rsidRPr="009F1ADC">
              <w:rPr>
                <w:b/>
              </w:rPr>
              <w:t>Overall Gross Margin</w:t>
            </w:r>
          </w:p>
        </w:tc>
      </w:tr>
      <w:tr w:rsidR="001D2016" w:rsidTr="008C40FF">
        <w:trPr>
          <w:trHeight w:val="861"/>
          <w:jc w:val="center"/>
        </w:trPr>
        <w:tc>
          <w:tcPr>
            <w:tcW w:w="2584" w:type="dxa"/>
            <w:vAlign w:val="center"/>
          </w:tcPr>
          <w:p w:rsidR="001D2016" w:rsidRDefault="001D2016" w:rsidP="008C40FF">
            <w:pPr>
              <w:rPr>
                <w:rFonts w:hint="eastAsia"/>
              </w:rPr>
            </w:pPr>
            <w:r>
              <w:rPr>
                <w:b/>
                <w:sz w:val="22"/>
              </w:rPr>
              <w:t>10,194</w:t>
            </w:r>
          </w:p>
        </w:tc>
        <w:tc>
          <w:tcPr>
            <w:tcW w:w="2584" w:type="dxa"/>
            <w:vAlign w:val="center"/>
          </w:tcPr>
          <w:p w:rsidR="001D2016" w:rsidRDefault="001D2016" w:rsidP="008C40FF">
            <w:pPr>
              <w:rPr>
                <w:rFonts w:hint="eastAsia"/>
              </w:rPr>
            </w:pPr>
            <w:r>
              <w:rPr>
                <w:b/>
                <w:sz w:val="22"/>
              </w:rPr>
              <w:t>15</w:t>
            </w:r>
          </w:p>
        </w:tc>
        <w:tc>
          <w:tcPr>
            <w:tcW w:w="2584" w:type="dxa"/>
            <w:vAlign w:val="center"/>
          </w:tcPr>
          <w:p w:rsidR="001D2016" w:rsidRDefault="001D2016" w:rsidP="008C40FF">
            <w:pPr>
              <w:rPr>
                <w:rFonts w:hint="eastAsia"/>
              </w:rPr>
            </w:pPr>
            <w:r>
              <w:rPr>
                <w:b/>
                <w:sz w:val="22"/>
              </w:rPr>
              <w:t>3</w:t>
            </w:r>
          </w:p>
        </w:tc>
        <w:tc>
          <w:tcPr>
            <w:tcW w:w="2584" w:type="dxa"/>
            <w:vAlign w:val="center"/>
          </w:tcPr>
          <w:p w:rsidR="001D2016" w:rsidRDefault="001D2016" w:rsidP="008C40FF">
            <w:pPr>
              <w:rPr>
                <w:rFonts w:hint="eastAsia"/>
              </w:rPr>
            </w:pPr>
            <w:r>
              <w:rPr>
                <w:b/>
                <w:sz w:val="22"/>
              </w:rPr>
              <w:t>65.91%</w:t>
            </w:r>
          </w:p>
        </w:tc>
      </w:tr>
    </w:tbl>
    <w:p w:rsidR="001D2016" w:rsidRDefault="001D2016" w:rsidP="001D2016">
      <w:pPr>
        <w:spacing w:before="200" w:after="100"/>
        <w:rPr>
          <w:sz w:val="32"/>
        </w:rPr>
      </w:pPr>
    </w:p>
    <w:p w:rsidR="001D2016" w:rsidRPr="00AF0288" w:rsidRDefault="001D2016" w:rsidP="001D2016">
      <w:pPr>
        <w:spacing w:before="200" w:after="100"/>
        <w:rPr>
          <w:rFonts w:hint="eastAsia"/>
          <w:sz w:val="31"/>
        </w:rPr>
      </w:pPr>
      <w:r>
        <w:rPr>
          <w:sz w:val="32"/>
        </w:rPr>
        <w:t xml:space="preserve">                    </w:t>
      </w:r>
      <w:r w:rsidRPr="00AF0288">
        <w:rPr>
          <w:sz w:val="32"/>
        </w:rPr>
        <w:t>Prepared as part of a Data Analytics Internship Project</w:t>
      </w:r>
    </w:p>
    <w:p w:rsidR="001D2016" w:rsidRPr="00AF0288" w:rsidRDefault="001D2016" w:rsidP="001D2016">
      <w:pPr>
        <w:spacing w:before="40" w:after="100"/>
        <w:jc w:val="center"/>
        <w:rPr>
          <w:rFonts w:hint="eastAsia"/>
          <w:sz w:val="31"/>
        </w:rPr>
      </w:pPr>
      <w:r w:rsidRPr="00AF0288">
        <w:rPr>
          <w:sz w:val="30"/>
        </w:rPr>
        <w:t xml:space="preserve">Tools: Python • Pandas • </w:t>
      </w:r>
      <w:proofErr w:type="spellStart"/>
      <w:r w:rsidRPr="00AF0288">
        <w:rPr>
          <w:sz w:val="30"/>
        </w:rPr>
        <w:t>Streamlit</w:t>
      </w:r>
      <w:proofErr w:type="spellEnd"/>
      <w:r w:rsidRPr="00AF0288">
        <w:rPr>
          <w:sz w:val="30"/>
        </w:rPr>
        <w:t xml:space="preserve"> • Excel / CSV</w:t>
      </w:r>
    </w:p>
    <w:p w:rsidR="001D2016" w:rsidRPr="00AF0288" w:rsidRDefault="001D2016" w:rsidP="001D2016">
      <w:pPr>
        <w:spacing w:before="40" w:after="360"/>
        <w:jc w:val="center"/>
        <w:rPr>
          <w:rFonts w:hint="eastAsia"/>
          <w:sz w:val="31"/>
        </w:rPr>
      </w:pPr>
      <w:r w:rsidRPr="00AF0288">
        <w:rPr>
          <w:i/>
          <w:sz w:val="30"/>
        </w:rPr>
        <w:t>Research Paper | EDA • Insights • Recommendations</w:t>
      </w:r>
    </w:p>
    <w:p w:rsidR="001D2016" w:rsidRDefault="001D2016" w:rsidP="001D2016">
      <w:pPr>
        <w:spacing w:before="480" w:after="440"/>
        <w:jc w:val="center"/>
      </w:pPr>
    </w:p>
    <w:p w:rsidR="001D2016" w:rsidRDefault="001D2016" w:rsidP="001D2016">
      <w:pPr>
        <w:spacing w:before="480" w:after="440"/>
        <w:jc w:val="center"/>
      </w:pPr>
    </w:p>
    <w:p w:rsidR="001D2016" w:rsidRDefault="001D2016" w:rsidP="001D2016">
      <w:pPr>
        <w:spacing w:before="480" w:after="440"/>
        <w:jc w:val="center"/>
      </w:pPr>
    </w:p>
    <w:p w:rsidR="001D2016" w:rsidRDefault="001D2016" w:rsidP="001D2016">
      <w:pPr>
        <w:spacing w:before="40" w:after="80"/>
        <w:jc w:val="center"/>
        <w:rPr>
          <w:sz w:val="30"/>
        </w:rPr>
      </w:pPr>
    </w:p>
    <w:p w:rsidR="001D2016" w:rsidRDefault="001D2016" w:rsidP="001D2016">
      <w:pPr>
        <w:spacing w:before="40" w:after="80"/>
        <w:jc w:val="center"/>
        <w:rPr>
          <w:sz w:val="30"/>
        </w:rPr>
      </w:pPr>
    </w:p>
    <w:p w:rsidR="001D2016" w:rsidRPr="00AF0288" w:rsidRDefault="001D2016" w:rsidP="001D2016">
      <w:pPr>
        <w:spacing w:before="40" w:after="80"/>
        <w:jc w:val="center"/>
        <w:rPr>
          <w:rFonts w:hint="eastAsia"/>
          <w:sz w:val="31"/>
        </w:rPr>
      </w:pPr>
      <w:r w:rsidRPr="00AF0288">
        <w:rPr>
          <w:sz w:val="30"/>
        </w:rPr>
        <w:t>Submission Report</w:t>
      </w:r>
    </w:p>
    <w:p w:rsidR="001D2016" w:rsidRPr="00AF0288" w:rsidRDefault="001D2016" w:rsidP="001D2016">
      <w:pPr>
        <w:spacing w:after="120"/>
        <w:jc w:val="center"/>
        <w:rPr>
          <w:rFonts w:hint="eastAsia"/>
          <w:sz w:val="31"/>
        </w:rPr>
      </w:pPr>
      <w:r w:rsidRPr="00AF0288">
        <w:rPr>
          <w:sz w:val="30"/>
        </w:rPr>
        <w:t>2026</w:t>
      </w:r>
    </w:p>
    <w:p w:rsidR="001D2016" w:rsidRDefault="001D2016" w:rsidP="001D2016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28"/>
        </w:rPr>
      </w:pPr>
    </w:p>
    <w:p w:rsidR="00D00E85" w:rsidRDefault="001D2016">
      <w:pPr>
        <w:pStyle w:val="Heading1"/>
      </w:pPr>
      <w:r>
        <w:t>. Execu</w:t>
      </w:r>
      <w:r>
        <w:t>tive Overview</w:t>
      </w:r>
    </w:p>
    <w:p w:rsidR="00D00E85" w:rsidRDefault="001D2016">
      <w:pPr>
        <w:rPr>
          <w:rFonts w:hint="eastAsia"/>
        </w:rPr>
      </w:pPr>
      <w:r>
        <w:t>This research paper presents an</w:t>
      </w:r>
      <w:r>
        <w:t xml:space="preserve"> analytical assessment of Nassau Candy Distributor's sales, cost, gross profit and gross-margin performance. The analysis covers 10,194 transaction records, 15 products, 3 divisions and 4 regions. The business generated $141,783.63 in total sales and $93,4</w:t>
      </w:r>
      <w:r>
        <w:t>42.80 in gross profit, resulting in an overall gross margin of 65.91%.</w:t>
      </w:r>
    </w:p>
    <w:p w:rsidR="00D00E85" w:rsidRDefault="001D2016">
      <w:pPr>
        <w:rPr>
          <w:rFonts w:hint="eastAsia"/>
        </w:rPr>
      </w:pPr>
      <w:r>
        <w:t xml:space="preserve">A major finding is the high concentration of profitability: the top five products account for 95.06% of total gross profit. This indicates that protecting the availability, pricing and </w:t>
      </w:r>
      <w:r>
        <w:t>margin performance of these products should be a priority.</w:t>
      </w:r>
    </w:p>
    <w:p w:rsidR="00D00E85" w:rsidRDefault="001D2016">
      <w:pPr>
        <w:pStyle w:val="Heading1"/>
      </w:pPr>
      <w:r>
        <w:t>2. Project Objectives</w:t>
      </w:r>
    </w:p>
    <w:p w:rsidR="00D00E85" w:rsidRDefault="001D2016">
      <w:pPr>
        <w:pStyle w:val="ListBullet"/>
        <w:rPr>
          <w:rFonts w:hint="eastAsia"/>
        </w:rPr>
      </w:pPr>
      <w:r>
        <w:t>Measure overall sales, cost, units and gross-profit performance.</w:t>
      </w:r>
    </w:p>
    <w:p w:rsidR="00D00E85" w:rsidRDefault="001D2016">
      <w:pPr>
        <w:pStyle w:val="ListBullet"/>
        <w:rPr>
          <w:rFonts w:hint="eastAsia"/>
        </w:rPr>
      </w:pPr>
      <w:r>
        <w:t>Identify the products contributing most to gross profit and margin.</w:t>
      </w:r>
    </w:p>
    <w:p w:rsidR="00D00E85" w:rsidRDefault="001D2016">
      <w:pPr>
        <w:pStyle w:val="ListBullet"/>
        <w:rPr>
          <w:rFonts w:hint="eastAsia"/>
        </w:rPr>
      </w:pPr>
      <w:r>
        <w:t>Compare profitability across divisions and</w:t>
      </w:r>
      <w:r>
        <w:t xml:space="preserve"> regions.</w:t>
      </w:r>
    </w:p>
    <w:p w:rsidR="00D00E85" w:rsidRDefault="001D2016">
      <w:pPr>
        <w:pStyle w:val="ListBullet"/>
        <w:rPr>
          <w:rFonts w:hint="eastAsia"/>
        </w:rPr>
      </w:pPr>
      <w:r>
        <w:t>Diagnose the relationship between cost and sales.</w:t>
      </w:r>
    </w:p>
    <w:p w:rsidR="00D00E85" w:rsidRDefault="001D2016">
      <w:pPr>
        <w:pStyle w:val="ListBullet"/>
        <w:rPr>
          <w:rFonts w:hint="eastAsia"/>
        </w:rPr>
      </w:pPr>
      <w:r>
        <w:t>Identify low-margin products that may require attention.</w:t>
      </w:r>
    </w:p>
    <w:p w:rsidR="00D00E85" w:rsidRDefault="001D2016">
      <w:pPr>
        <w:pStyle w:val="ListBullet"/>
        <w:rPr>
          <w:rFonts w:hint="eastAsia"/>
        </w:rPr>
      </w:pPr>
      <w:r>
        <w:t>Assess profit concentration using Pareto-style and dependency indicators.</w:t>
      </w:r>
    </w:p>
    <w:p w:rsidR="00D00E85" w:rsidRDefault="001D2016">
      <w:pPr>
        <w:pStyle w:val="ListBullet"/>
        <w:rPr>
          <w:rFonts w:hint="eastAsia"/>
        </w:rPr>
      </w:pPr>
      <w:r>
        <w:t xml:space="preserve">Build an interactive Streamlit dashboard for management-oriented </w:t>
      </w:r>
      <w:r>
        <w:t>exploration.</w:t>
      </w:r>
    </w:p>
    <w:p w:rsidR="00D00E85" w:rsidRDefault="001D2016">
      <w:pPr>
        <w:pStyle w:val="ListBullet"/>
        <w:rPr>
          <w:rFonts w:hint="eastAsia"/>
        </w:rPr>
      </w:pPr>
      <w:r>
        <w:t>Translate analytical findings into practical business recommendations.</w:t>
      </w:r>
    </w:p>
    <w:p w:rsidR="00D00E85" w:rsidRDefault="001D2016">
      <w:pPr>
        <w:pStyle w:val="Heading1"/>
      </w:pPr>
      <w:r>
        <w:t>3. Dataset Description</w:t>
      </w:r>
    </w:p>
    <w:p w:rsidR="00D00E85" w:rsidRDefault="001D2016">
      <w:pPr>
        <w:rPr>
          <w:rFonts w:hint="eastAsia"/>
        </w:rPr>
      </w:pPr>
      <w:r>
        <w:t>The analysis uses the Nassau Candy Distributor transactional dataset. It contains 10,194 rows and includes order, customer, geographic, product and f</w:t>
      </w:r>
      <w:r>
        <w:t>inancial fields. Key financial variables are Sales, Cost, Gross Profit and Units.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D00E85">
        <w:trPr>
          <w:jc w:val="center"/>
        </w:trPr>
        <w:tc>
          <w:tcPr>
            <w:tcW w:w="5040" w:type="dxa"/>
          </w:tcPr>
          <w:p w:rsidR="00D00E85" w:rsidRDefault="001D2016">
            <w:pPr>
              <w:rPr>
                <w:rFonts w:hint="eastAsia"/>
              </w:rPr>
            </w:pPr>
            <w:r>
              <w:rPr>
                <w:b/>
                <w:sz w:val="18"/>
              </w:rPr>
              <w:t>Dataset Metric</w:t>
            </w:r>
          </w:p>
        </w:tc>
        <w:tc>
          <w:tcPr>
            <w:tcW w:w="5040" w:type="dxa"/>
          </w:tcPr>
          <w:p w:rsidR="00D00E85" w:rsidRDefault="001D2016">
            <w:pPr>
              <w:rPr>
                <w:rFonts w:hint="eastAsia"/>
              </w:rPr>
            </w:pPr>
            <w:r>
              <w:rPr>
                <w:b/>
                <w:sz w:val="18"/>
              </w:rPr>
              <w:t>Value</w:t>
            </w:r>
          </w:p>
        </w:tc>
      </w:tr>
      <w:tr w:rsidR="00D00E85">
        <w:trPr>
          <w:jc w:val="center"/>
        </w:trPr>
        <w:tc>
          <w:tcPr>
            <w:tcW w:w="504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Transaction records</w:t>
            </w:r>
          </w:p>
        </w:tc>
        <w:tc>
          <w:tcPr>
            <w:tcW w:w="504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10,194</w:t>
            </w:r>
          </w:p>
        </w:tc>
      </w:tr>
      <w:tr w:rsidR="00D00E85">
        <w:trPr>
          <w:jc w:val="center"/>
        </w:trPr>
        <w:tc>
          <w:tcPr>
            <w:tcW w:w="504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Unique orders</w:t>
            </w:r>
          </w:p>
        </w:tc>
        <w:tc>
          <w:tcPr>
            <w:tcW w:w="504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8,549</w:t>
            </w:r>
          </w:p>
        </w:tc>
      </w:tr>
      <w:tr w:rsidR="00D00E85">
        <w:trPr>
          <w:jc w:val="center"/>
        </w:trPr>
        <w:tc>
          <w:tcPr>
            <w:tcW w:w="504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Unique customers</w:t>
            </w:r>
          </w:p>
        </w:tc>
        <w:tc>
          <w:tcPr>
            <w:tcW w:w="504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5,044</w:t>
            </w:r>
          </w:p>
        </w:tc>
      </w:tr>
      <w:tr w:rsidR="00D00E85">
        <w:trPr>
          <w:jc w:val="center"/>
        </w:trPr>
        <w:tc>
          <w:tcPr>
            <w:tcW w:w="504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Unique products</w:t>
            </w:r>
          </w:p>
        </w:tc>
        <w:tc>
          <w:tcPr>
            <w:tcW w:w="504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15</w:t>
            </w:r>
          </w:p>
        </w:tc>
      </w:tr>
      <w:tr w:rsidR="00D00E85">
        <w:trPr>
          <w:jc w:val="center"/>
        </w:trPr>
        <w:tc>
          <w:tcPr>
            <w:tcW w:w="504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Divisions</w:t>
            </w:r>
          </w:p>
        </w:tc>
        <w:tc>
          <w:tcPr>
            <w:tcW w:w="504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</w:tr>
      <w:tr w:rsidR="00D00E85">
        <w:trPr>
          <w:jc w:val="center"/>
        </w:trPr>
        <w:tc>
          <w:tcPr>
            <w:tcW w:w="504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Regions</w:t>
            </w:r>
          </w:p>
        </w:tc>
        <w:tc>
          <w:tcPr>
            <w:tcW w:w="504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</w:tr>
      <w:tr w:rsidR="00D00E85">
        <w:trPr>
          <w:jc w:val="center"/>
        </w:trPr>
        <w:tc>
          <w:tcPr>
            <w:tcW w:w="504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Total units</w:t>
            </w:r>
          </w:p>
        </w:tc>
        <w:tc>
          <w:tcPr>
            <w:tcW w:w="504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38,654</w:t>
            </w:r>
          </w:p>
        </w:tc>
      </w:tr>
    </w:tbl>
    <w:p w:rsidR="00D00E85" w:rsidRDefault="00D00E85">
      <w:pPr>
        <w:rPr>
          <w:rFonts w:hint="eastAsia"/>
        </w:rPr>
      </w:pPr>
    </w:p>
    <w:p w:rsidR="00D00E85" w:rsidRDefault="001D2016">
      <w:pPr>
        <w:pStyle w:val="Heading1"/>
      </w:pPr>
      <w:r>
        <w:t>4. Methodology</w:t>
      </w:r>
    </w:p>
    <w:p w:rsidR="00D00E85" w:rsidRDefault="001D2016">
      <w:pPr>
        <w:rPr>
          <w:rFonts w:hint="eastAsia"/>
        </w:rPr>
      </w:pPr>
      <w:r>
        <w:t>The analysis was performed using Python and Pandas for data preparation and aggregation, followed by Streamlit for interactive dashboard development. Product-level and division-level summaries were created using grouped aggregations. Gross Margin % was ca</w:t>
      </w:r>
      <w:r>
        <w:t>lculated from Gross Profit divided by Sales. Profit contribution and cumulative contribution were used for concentration analysis.</w:t>
      </w:r>
    </w:p>
    <w:p w:rsidR="00D00E85" w:rsidRDefault="001D2016">
      <w:pPr>
        <w:pStyle w:val="ListBullet"/>
        <w:rPr>
          <w:rFonts w:hint="eastAsia"/>
        </w:rPr>
      </w:pPr>
      <w:r>
        <w:t>Loaded the transactional dataset into Pandas.</w:t>
      </w:r>
    </w:p>
    <w:p w:rsidR="00D00E85" w:rsidRDefault="001D2016">
      <w:pPr>
        <w:pStyle w:val="ListBullet"/>
        <w:rPr>
          <w:rFonts w:hint="eastAsia"/>
        </w:rPr>
      </w:pPr>
      <w:r>
        <w:t>Reviewed and prepared relevant date, product, division and financial fields.</w:t>
      </w:r>
    </w:p>
    <w:p w:rsidR="00D00E85" w:rsidRDefault="001D2016">
      <w:pPr>
        <w:pStyle w:val="ListBullet"/>
        <w:rPr>
          <w:rFonts w:hint="eastAsia"/>
        </w:rPr>
      </w:pPr>
      <w:r>
        <w:t>Aggregated Sales, Cost, Gross Profit and Units at product and division levels.</w:t>
      </w:r>
    </w:p>
    <w:p w:rsidR="00D00E85" w:rsidRDefault="001D2016">
      <w:pPr>
        <w:pStyle w:val="ListBullet"/>
        <w:rPr>
          <w:rFonts w:hint="eastAsia"/>
        </w:rPr>
      </w:pPr>
      <w:r>
        <w:t>Calculated Gross Margin % for profitability comparison.</w:t>
      </w:r>
    </w:p>
    <w:p w:rsidR="00D00E85" w:rsidRDefault="001D2016">
      <w:pPr>
        <w:pStyle w:val="ListBullet"/>
        <w:rPr>
          <w:rFonts w:hint="eastAsia"/>
        </w:rPr>
      </w:pPr>
      <w:r>
        <w:t>Created cost-versus-sales diagnostics and margin risk flags.</w:t>
      </w:r>
    </w:p>
    <w:p w:rsidR="00D00E85" w:rsidRDefault="001D2016">
      <w:pPr>
        <w:pStyle w:val="ListBullet"/>
        <w:rPr>
          <w:rFonts w:hint="eastAsia"/>
        </w:rPr>
      </w:pPr>
      <w:r>
        <w:lastRenderedPageBreak/>
        <w:t>Created profit concentration and dependency indicators.</w:t>
      </w:r>
    </w:p>
    <w:p w:rsidR="00D00E85" w:rsidRDefault="001D2016">
      <w:pPr>
        <w:pStyle w:val="ListBullet"/>
        <w:rPr>
          <w:rFonts w:hint="eastAsia"/>
        </w:rPr>
      </w:pPr>
      <w:r>
        <w:t>Adde</w:t>
      </w:r>
      <w:r>
        <w:t>d interactive dashboard controls for date, division, margin threshold and product selection.</w:t>
      </w:r>
    </w:p>
    <w:p w:rsidR="00D00E85" w:rsidRDefault="001D2016">
      <w:pPr>
        <w:pStyle w:val="Heading1"/>
      </w:pPr>
      <w:r>
        <w:t>5. Overall Financial Performance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D00E85">
        <w:trPr>
          <w:jc w:val="center"/>
        </w:trPr>
        <w:tc>
          <w:tcPr>
            <w:tcW w:w="5040" w:type="dxa"/>
          </w:tcPr>
          <w:p w:rsidR="00D00E85" w:rsidRDefault="001D2016">
            <w:pPr>
              <w:rPr>
                <w:rFonts w:hint="eastAsia"/>
              </w:rPr>
            </w:pPr>
            <w:r>
              <w:rPr>
                <w:b/>
                <w:sz w:val="18"/>
              </w:rPr>
              <w:t>Metric</w:t>
            </w:r>
          </w:p>
        </w:tc>
        <w:tc>
          <w:tcPr>
            <w:tcW w:w="5040" w:type="dxa"/>
          </w:tcPr>
          <w:p w:rsidR="00D00E85" w:rsidRDefault="001D2016">
            <w:pPr>
              <w:rPr>
                <w:rFonts w:hint="eastAsia"/>
              </w:rPr>
            </w:pPr>
            <w:r>
              <w:rPr>
                <w:b/>
                <w:sz w:val="18"/>
              </w:rPr>
              <w:t>Result</w:t>
            </w:r>
          </w:p>
        </w:tc>
      </w:tr>
      <w:tr w:rsidR="00D00E85">
        <w:trPr>
          <w:jc w:val="center"/>
        </w:trPr>
        <w:tc>
          <w:tcPr>
            <w:tcW w:w="504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Total Sales</w:t>
            </w:r>
          </w:p>
        </w:tc>
        <w:tc>
          <w:tcPr>
            <w:tcW w:w="504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$141,783.63</w:t>
            </w:r>
          </w:p>
        </w:tc>
      </w:tr>
      <w:tr w:rsidR="00D00E85">
        <w:trPr>
          <w:jc w:val="center"/>
        </w:trPr>
        <w:tc>
          <w:tcPr>
            <w:tcW w:w="504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Total Cost</w:t>
            </w:r>
          </w:p>
        </w:tc>
        <w:tc>
          <w:tcPr>
            <w:tcW w:w="504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$48,340.83</w:t>
            </w:r>
          </w:p>
        </w:tc>
      </w:tr>
      <w:tr w:rsidR="00D00E85">
        <w:trPr>
          <w:jc w:val="center"/>
        </w:trPr>
        <w:tc>
          <w:tcPr>
            <w:tcW w:w="504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Total Gross Profit</w:t>
            </w:r>
          </w:p>
        </w:tc>
        <w:tc>
          <w:tcPr>
            <w:tcW w:w="504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$93,442.80</w:t>
            </w:r>
          </w:p>
        </w:tc>
      </w:tr>
      <w:tr w:rsidR="00D00E85">
        <w:trPr>
          <w:jc w:val="center"/>
        </w:trPr>
        <w:tc>
          <w:tcPr>
            <w:tcW w:w="504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Gross Margin</w:t>
            </w:r>
          </w:p>
        </w:tc>
        <w:tc>
          <w:tcPr>
            <w:tcW w:w="504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65.91%</w:t>
            </w:r>
          </w:p>
        </w:tc>
      </w:tr>
      <w:tr w:rsidR="00D00E85">
        <w:trPr>
          <w:jc w:val="center"/>
        </w:trPr>
        <w:tc>
          <w:tcPr>
            <w:tcW w:w="504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Units Sold</w:t>
            </w:r>
          </w:p>
        </w:tc>
        <w:tc>
          <w:tcPr>
            <w:tcW w:w="504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38,654</w:t>
            </w:r>
          </w:p>
        </w:tc>
      </w:tr>
    </w:tbl>
    <w:p w:rsidR="00D00E85" w:rsidRDefault="00D00E85">
      <w:pPr>
        <w:rPr>
          <w:rFonts w:hint="eastAsia"/>
        </w:rPr>
      </w:pPr>
    </w:p>
    <w:p w:rsidR="00D00E85" w:rsidRDefault="001D2016">
      <w:pPr>
        <w:rPr>
          <w:rFonts w:hint="eastAsia"/>
        </w:rPr>
      </w:pPr>
      <w:r>
        <w:t>The dataset generated $141,783.63 in sales against $48,340.83 in cost, producing $93,442.80 of gross profit. The resulting gross margin is 65.91%, indicating that a substantial share of sales is retained as gross profit before other operating expe</w:t>
      </w:r>
      <w:r>
        <w:t>nses.</w:t>
      </w:r>
    </w:p>
    <w:p w:rsidR="00D00E85" w:rsidRDefault="001D2016">
      <w:pPr>
        <w:pStyle w:val="Heading1"/>
      </w:pPr>
      <w:r>
        <w:t>6. Product Profitability Analysis</w:t>
      </w:r>
    </w:p>
    <w:p w:rsidR="00D00E85" w:rsidRDefault="001D2016">
      <w:pPr>
        <w:rPr>
          <w:rFonts w:hint="eastAsia"/>
        </w:rPr>
      </w:pPr>
      <w:r>
        <w:t>Product-level analysis was used to identify the strongest contributors to gross profit and to compare margin performance. Products were ranked by gross profit and gross margin percentage.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D00E85">
        <w:trPr>
          <w:jc w:val="center"/>
        </w:trPr>
        <w:tc>
          <w:tcPr>
            <w:tcW w:w="2520" w:type="dxa"/>
          </w:tcPr>
          <w:p w:rsidR="00D00E85" w:rsidRDefault="001D2016">
            <w:pPr>
              <w:rPr>
                <w:rFonts w:hint="eastAsia"/>
              </w:rPr>
            </w:pPr>
            <w:r>
              <w:rPr>
                <w:b/>
                <w:sz w:val="18"/>
              </w:rPr>
              <w:t>Product</w:t>
            </w:r>
          </w:p>
        </w:tc>
        <w:tc>
          <w:tcPr>
            <w:tcW w:w="2520" w:type="dxa"/>
          </w:tcPr>
          <w:p w:rsidR="00D00E85" w:rsidRDefault="001D2016">
            <w:pPr>
              <w:rPr>
                <w:rFonts w:hint="eastAsia"/>
              </w:rPr>
            </w:pPr>
            <w:r>
              <w:rPr>
                <w:b/>
                <w:sz w:val="18"/>
              </w:rPr>
              <w:t>Sales</w:t>
            </w:r>
          </w:p>
        </w:tc>
        <w:tc>
          <w:tcPr>
            <w:tcW w:w="2520" w:type="dxa"/>
          </w:tcPr>
          <w:p w:rsidR="00D00E85" w:rsidRDefault="001D2016">
            <w:pPr>
              <w:rPr>
                <w:rFonts w:hint="eastAsia"/>
              </w:rPr>
            </w:pPr>
            <w:r>
              <w:rPr>
                <w:b/>
                <w:sz w:val="18"/>
              </w:rPr>
              <w:t>Gross Profit</w:t>
            </w:r>
          </w:p>
        </w:tc>
        <w:tc>
          <w:tcPr>
            <w:tcW w:w="2520" w:type="dxa"/>
          </w:tcPr>
          <w:p w:rsidR="00D00E85" w:rsidRDefault="001D2016">
            <w:pPr>
              <w:rPr>
                <w:rFonts w:hint="eastAsia"/>
              </w:rPr>
            </w:pPr>
            <w:r>
              <w:rPr>
                <w:b/>
                <w:sz w:val="18"/>
              </w:rPr>
              <w:t>G</w:t>
            </w:r>
            <w:r>
              <w:rPr>
                <w:b/>
                <w:sz w:val="18"/>
              </w:rPr>
              <w:t>ross Margin</w:t>
            </w:r>
          </w:p>
        </w:tc>
      </w:tr>
      <w:tr w:rsidR="00D00E85">
        <w:trPr>
          <w:jc w:val="center"/>
        </w:trPr>
        <w:tc>
          <w:tcPr>
            <w:tcW w:w="252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Wonka Bar -Scrumdiddlyumptious</w:t>
            </w:r>
          </w:p>
        </w:tc>
        <w:tc>
          <w:tcPr>
            <w:tcW w:w="252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$27,874.80</w:t>
            </w:r>
          </w:p>
        </w:tc>
        <w:tc>
          <w:tcPr>
            <w:tcW w:w="252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$19,357.50</w:t>
            </w:r>
          </w:p>
        </w:tc>
        <w:tc>
          <w:tcPr>
            <w:tcW w:w="252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69.44%</w:t>
            </w:r>
          </w:p>
        </w:tc>
      </w:tr>
      <w:tr w:rsidR="00D00E85">
        <w:trPr>
          <w:jc w:val="center"/>
        </w:trPr>
        <w:tc>
          <w:tcPr>
            <w:tcW w:w="252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Wonka Bar - Triple Dazzle Caramel</w:t>
            </w:r>
          </w:p>
        </w:tc>
        <w:tc>
          <w:tcPr>
            <w:tcW w:w="252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$28,485.00</w:t>
            </w:r>
          </w:p>
        </w:tc>
        <w:tc>
          <w:tcPr>
            <w:tcW w:w="252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$18,610.20</w:t>
            </w:r>
          </w:p>
        </w:tc>
        <w:tc>
          <w:tcPr>
            <w:tcW w:w="252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65.33%</w:t>
            </w:r>
          </w:p>
        </w:tc>
      </w:tr>
      <w:tr w:rsidR="00D00E85">
        <w:trPr>
          <w:jc w:val="center"/>
        </w:trPr>
        <w:tc>
          <w:tcPr>
            <w:tcW w:w="252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Wonka Bar - Milk Chocolate</w:t>
            </w:r>
          </w:p>
        </w:tc>
        <w:tc>
          <w:tcPr>
            <w:tcW w:w="252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$26,867.75</w:t>
            </w:r>
          </w:p>
        </w:tc>
        <w:tc>
          <w:tcPr>
            <w:tcW w:w="252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$17,443.37</w:t>
            </w:r>
          </w:p>
        </w:tc>
        <w:tc>
          <w:tcPr>
            <w:tcW w:w="252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64.92%</w:t>
            </w:r>
          </w:p>
        </w:tc>
      </w:tr>
      <w:tr w:rsidR="00D00E85">
        <w:trPr>
          <w:jc w:val="center"/>
        </w:trPr>
        <w:tc>
          <w:tcPr>
            <w:tcW w:w="252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Wonka Bar - Nutty Crunch Surprise</w:t>
            </w:r>
          </w:p>
        </w:tc>
        <w:tc>
          <w:tcPr>
            <w:tcW w:w="252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$23,574.95</w:t>
            </w:r>
          </w:p>
        </w:tc>
        <w:tc>
          <w:tcPr>
            <w:tcW w:w="252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$16,819.95</w:t>
            </w:r>
          </w:p>
        </w:tc>
        <w:tc>
          <w:tcPr>
            <w:tcW w:w="252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71.35%</w:t>
            </w:r>
          </w:p>
        </w:tc>
      </w:tr>
      <w:tr w:rsidR="00D00E85">
        <w:trPr>
          <w:jc w:val="center"/>
        </w:trPr>
        <w:tc>
          <w:tcPr>
            <w:tcW w:w="252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Wonka Bar - Fudge Mallows</w:t>
            </w:r>
          </w:p>
        </w:tc>
        <w:tc>
          <w:tcPr>
            <w:tcW w:w="252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$24,890.40</w:t>
            </w:r>
          </w:p>
        </w:tc>
        <w:tc>
          <w:tcPr>
            <w:tcW w:w="252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$16,593.60</w:t>
            </w:r>
          </w:p>
        </w:tc>
        <w:tc>
          <w:tcPr>
            <w:tcW w:w="252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66.67%</w:t>
            </w:r>
          </w:p>
        </w:tc>
      </w:tr>
      <w:tr w:rsidR="00D00E85">
        <w:trPr>
          <w:jc w:val="center"/>
        </w:trPr>
        <w:tc>
          <w:tcPr>
            <w:tcW w:w="252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Lickable Wallpaper</w:t>
            </w:r>
          </w:p>
        </w:tc>
        <w:tc>
          <w:tcPr>
            <w:tcW w:w="252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$7,860.00</w:t>
            </w:r>
          </w:p>
        </w:tc>
        <w:tc>
          <w:tcPr>
            <w:tcW w:w="252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$3,930.00</w:t>
            </w:r>
          </w:p>
        </w:tc>
        <w:tc>
          <w:tcPr>
            <w:tcW w:w="252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50.00%</w:t>
            </w:r>
          </w:p>
        </w:tc>
      </w:tr>
      <w:tr w:rsidR="00D00E85">
        <w:trPr>
          <w:jc w:val="center"/>
        </w:trPr>
        <w:tc>
          <w:tcPr>
            <w:tcW w:w="252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Wonka Gum</w:t>
            </w:r>
          </w:p>
        </w:tc>
        <w:tc>
          <w:tcPr>
            <w:tcW w:w="252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$597.50</w:t>
            </w:r>
          </w:p>
        </w:tc>
        <w:tc>
          <w:tcPr>
            <w:tcW w:w="252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$310.70</w:t>
            </w:r>
          </w:p>
        </w:tc>
        <w:tc>
          <w:tcPr>
            <w:tcW w:w="252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52.00%</w:t>
            </w:r>
          </w:p>
        </w:tc>
      </w:tr>
      <w:tr w:rsidR="00D00E85">
        <w:trPr>
          <w:jc w:val="center"/>
        </w:trPr>
        <w:tc>
          <w:tcPr>
            <w:tcW w:w="252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Everlasting Gobstopper</w:t>
            </w:r>
          </w:p>
        </w:tc>
        <w:tc>
          <w:tcPr>
            <w:tcW w:w="252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$130.00</w:t>
            </w:r>
          </w:p>
        </w:tc>
        <w:tc>
          <w:tcPr>
            <w:tcW w:w="252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$104.00</w:t>
            </w:r>
          </w:p>
        </w:tc>
        <w:tc>
          <w:tcPr>
            <w:tcW w:w="252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80.00%</w:t>
            </w:r>
          </w:p>
        </w:tc>
      </w:tr>
      <w:tr w:rsidR="00D00E85">
        <w:trPr>
          <w:jc w:val="center"/>
        </w:trPr>
        <w:tc>
          <w:tcPr>
            <w:tcW w:w="252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Kazookles</w:t>
            </w:r>
          </w:p>
        </w:tc>
        <w:tc>
          <w:tcPr>
            <w:tcW w:w="252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$1,205.75</w:t>
            </w:r>
          </w:p>
        </w:tc>
        <w:tc>
          <w:tcPr>
            <w:tcW w:w="252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$92.75</w:t>
            </w:r>
          </w:p>
        </w:tc>
        <w:tc>
          <w:tcPr>
            <w:tcW w:w="252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7.69%</w:t>
            </w:r>
          </w:p>
        </w:tc>
      </w:tr>
      <w:tr w:rsidR="00D00E85">
        <w:trPr>
          <w:jc w:val="center"/>
        </w:trPr>
        <w:tc>
          <w:tcPr>
            <w:tcW w:w="252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Hair Toffee</w:t>
            </w:r>
          </w:p>
        </w:tc>
        <w:tc>
          <w:tcPr>
            <w:tcW w:w="252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$76.50</w:t>
            </w:r>
          </w:p>
        </w:tc>
        <w:tc>
          <w:tcPr>
            <w:tcW w:w="252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$59.50</w:t>
            </w:r>
          </w:p>
        </w:tc>
        <w:tc>
          <w:tcPr>
            <w:tcW w:w="252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77.78%</w:t>
            </w:r>
          </w:p>
        </w:tc>
      </w:tr>
    </w:tbl>
    <w:p w:rsidR="00D00E85" w:rsidRDefault="00D00E85">
      <w:pPr>
        <w:rPr>
          <w:rFonts w:hint="eastAsia"/>
        </w:rPr>
      </w:pPr>
    </w:p>
    <w:p w:rsidR="00D00E85" w:rsidRDefault="001D2016">
      <w:pPr>
        <w:rPr>
          <w:rFonts w:hint="eastAsia"/>
        </w:rPr>
      </w:pPr>
      <w:r>
        <w:t>The top five products generate 95.06% of total gross profit. This concentration creates a clear dependency on a relatively small group of products and makes availability, pricing and margin management for these products particularly important.</w:t>
      </w:r>
    </w:p>
    <w:p w:rsidR="00D00E85" w:rsidRDefault="001D2016">
      <w:pPr>
        <w:pStyle w:val="Heading1"/>
      </w:pPr>
      <w:r>
        <w:t xml:space="preserve">7. </w:t>
      </w:r>
      <w:r>
        <w:t>Division Performance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D00E85">
        <w:trPr>
          <w:jc w:val="center"/>
        </w:trPr>
        <w:tc>
          <w:tcPr>
            <w:tcW w:w="2520" w:type="dxa"/>
          </w:tcPr>
          <w:p w:rsidR="00D00E85" w:rsidRDefault="001D2016">
            <w:pPr>
              <w:rPr>
                <w:rFonts w:hint="eastAsia"/>
              </w:rPr>
            </w:pPr>
            <w:r>
              <w:rPr>
                <w:b/>
                <w:sz w:val="18"/>
              </w:rPr>
              <w:t>Division</w:t>
            </w:r>
          </w:p>
        </w:tc>
        <w:tc>
          <w:tcPr>
            <w:tcW w:w="2520" w:type="dxa"/>
          </w:tcPr>
          <w:p w:rsidR="00D00E85" w:rsidRDefault="001D2016">
            <w:pPr>
              <w:rPr>
                <w:rFonts w:hint="eastAsia"/>
              </w:rPr>
            </w:pPr>
            <w:r>
              <w:rPr>
                <w:b/>
                <w:sz w:val="18"/>
              </w:rPr>
              <w:t>Sales</w:t>
            </w:r>
          </w:p>
        </w:tc>
        <w:tc>
          <w:tcPr>
            <w:tcW w:w="2520" w:type="dxa"/>
          </w:tcPr>
          <w:p w:rsidR="00D00E85" w:rsidRDefault="001D2016">
            <w:pPr>
              <w:rPr>
                <w:rFonts w:hint="eastAsia"/>
              </w:rPr>
            </w:pPr>
            <w:r>
              <w:rPr>
                <w:b/>
                <w:sz w:val="18"/>
              </w:rPr>
              <w:t>Gross Profit</w:t>
            </w:r>
          </w:p>
        </w:tc>
        <w:tc>
          <w:tcPr>
            <w:tcW w:w="2520" w:type="dxa"/>
          </w:tcPr>
          <w:p w:rsidR="00D00E85" w:rsidRDefault="001D2016">
            <w:pPr>
              <w:rPr>
                <w:rFonts w:hint="eastAsia"/>
              </w:rPr>
            </w:pPr>
            <w:r>
              <w:rPr>
                <w:b/>
                <w:sz w:val="18"/>
              </w:rPr>
              <w:t>Gross Margin</w:t>
            </w:r>
          </w:p>
        </w:tc>
      </w:tr>
      <w:tr w:rsidR="00D00E85">
        <w:trPr>
          <w:jc w:val="center"/>
        </w:trPr>
        <w:tc>
          <w:tcPr>
            <w:tcW w:w="252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Chocolate</w:t>
            </w:r>
          </w:p>
        </w:tc>
        <w:tc>
          <w:tcPr>
            <w:tcW w:w="252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$131,692.90</w:t>
            </w:r>
          </w:p>
        </w:tc>
        <w:tc>
          <w:tcPr>
            <w:tcW w:w="252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$88,824.62</w:t>
            </w:r>
          </w:p>
        </w:tc>
        <w:tc>
          <w:tcPr>
            <w:tcW w:w="252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67.45%</w:t>
            </w:r>
          </w:p>
        </w:tc>
      </w:tr>
      <w:tr w:rsidR="00D00E85">
        <w:trPr>
          <w:jc w:val="center"/>
        </w:trPr>
        <w:tc>
          <w:tcPr>
            <w:tcW w:w="252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Other</w:t>
            </w:r>
          </w:p>
        </w:tc>
        <w:tc>
          <w:tcPr>
            <w:tcW w:w="252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$9,663.25</w:t>
            </w:r>
          </w:p>
        </w:tc>
        <w:tc>
          <w:tcPr>
            <w:tcW w:w="252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$4,333.45</w:t>
            </w:r>
          </w:p>
        </w:tc>
        <w:tc>
          <w:tcPr>
            <w:tcW w:w="252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44.84%</w:t>
            </w:r>
          </w:p>
        </w:tc>
      </w:tr>
      <w:tr w:rsidR="00D00E85">
        <w:trPr>
          <w:jc w:val="center"/>
        </w:trPr>
        <w:tc>
          <w:tcPr>
            <w:tcW w:w="252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Sugar</w:t>
            </w:r>
          </w:p>
        </w:tc>
        <w:tc>
          <w:tcPr>
            <w:tcW w:w="252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$427.48</w:t>
            </w:r>
          </w:p>
        </w:tc>
        <w:tc>
          <w:tcPr>
            <w:tcW w:w="252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$284.73</w:t>
            </w:r>
          </w:p>
        </w:tc>
        <w:tc>
          <w:tcPr>
            <w:tcW w:w="252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66.61%</w:t>
            </w:r>
          </w:p>
        </w:tc>
      </w:tr>
    </w:tbl>
    <w:p w:rsidR="00D00E85" w:rsidRDefault="00D00E85">
      <w:pPr>
        <w:rPr>
          <w:rFonts w:hint="eastAsia"/>
        </w:rPr>
      </w:pPr>
    </w:p>
    <w:p w:rsidR="00D00E85" w:rsidRDefault="001D2016">
      <w:pPr>
        <w:rPr>
          <w:rFonts w:hint="eastAsia"/>
        </w:rPr>
      </w:pPr>
      <w:r>
        <w:t xml:space="preserve">The highest gross-profit division in the dataset is Chocolate, contributing $88,824.62 </w:t>
      </w:r>
      <w:r>
        <w:t>in gross profit with a gross margin of 67.45%. Division-level comparison helps management identify where revenue and profitability are strongest.</w:t>
      </w:r>
    </w:p>
    <w:p w:rsidR="00D00E85" w:rsidRDefault="001D2016">
      <w:pPr>
        <w:pStyle w:val="Heading1"/>
      </w:pPr>
      <w:r>
        <w:lastRenderedPageBreak/>
        <w:t>8. Regional Performance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D00E85">
        <w:trPr>
          <w:jc w:val="center"/>
        </w:trPr>
        <w:tc>
          <w:tcPr>
            <w:tcW w:w="2520" w:type="dxa"/>
          </w:tcPr>
          <w:p w:rsidR="00D00E85" w:rsidRDefault="001D2016">
            <w:pPr>
              <w:rPr>
                <w:rFonts w:hint="eastAsia"/>
              </w:rPr>
            </w:pPr>
            <w:r>
              <w:rPr>
                <w:b/>
                <w:sz w:val="18"/>
              </w:rPr>
              <w:t>Region</w:t>
            </w:r>
          </w:p>
        </w:tc>
        <w:tc>
          <w:tcPr>
            <w:tcW w:w="2520" w:type="dxa"/>
          </w:tcPr>
          <w:p w:rsidR="00D00E85" w:rsidRDefault="001D2016">
            <w:pPr>
              <w:rPr>
                <w:rFonts w:hint="eastAsia"/>
              </w:rPr>
            </w:pPr>
            <w:r>
              <w:rPr>
                <w:b/>
                <w:sz w:val="18"/>
              </w:rPr>
              <w:t>Sales</w:t>
            </w:r>
          </w:p>
        </w:tc>
        <w:tc>
          <w:tcPr>
            <w:tcW w:w="2520" w:type="dxa"/>
          </w:tcPr>
          <w:p w:rsidR="00D00E85" w:rsidRDefault="001D2016">
            <w:pPr>
              <w:rPr>
                <w:rFonts w:hint="eastAsia"/>
              </w:rPr>
            </w:pPr>
            <w:r>
              <w:rPr>
                <w:b/>
                <w:sz w:val="18"/>
              </w:rPr>
              <w:t>Gross Profit</w:t>
            </w:r>
          </w:p>
        </w:tc>
        <w:tc>
          <w:tcPr>
            <w:tcW w:w="2520" w:type="dxa"/>
          </w:tcPr>
          <w:p w:rsidR="00D00E85" w:rsidRDefault="001D2016">
            <w:pPr>
              <w:rPr>
                <w:rFonts w:hint="eastAsia"/>
              </w:rPr>
            </w:pPr>
            <w:r>
              <w:rPr>
                <w:b/>
                <w:sz w:val="18"/>
              </w:rPr>
              <w:t>Gross Margin</w:t>
            </w:r>
          </w:p>
        </w:tc>
      </w:tr>
      <w:tr w:rsidR="00D00E85">
        <w:trPr>
          <w:jc w:val="center"/>
        </w:trPr>
        <w:tc>
          <w:tcPr>
            <w:tcW w:w="252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Pacific</w:t>
            </w:r>
          </w:p>
        </w:tc>
        <w:tc>
          <w:tcPr>
            <w:tcW w:w="252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$46,301.53</w:t>
            </w:r>
          </w:p>
        </w:tc>
        <w:tc>
          <w:tcPr>
            <w:tcW w:w="252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$30,485.94</w:t>
            </w:r>
          </w:p>
        </w:tc>
        <w:tc>
          <w:tcPr>
            <w:tcW w:w="252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65.84%</w:t>
            </w:r>
          </w:p>
        </w:tc>
      </w:tr>
      <w:tr w:rsidR="00D00E85">
        <w:trPr>
          <w:jc w:val="center"/>
        </w:trPr>
        <w:tc>
          <w:tcPr>
            <w:tcW w:w="252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Atlantic</w:t>
            </w:r>
          </w:p>
        </w:tc>
        <w:tc>
          <w:tcPr>
            <w:tcW w:w="252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$41,197.24</w:t>
            </w:r>
          </w:p>
        </w:tc>
        <w:tc>
          <w:tcPr>
            <w:tcW w:w="252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$26,973.70</w:t>
            </w:r>
          </w:p>
        </w:tc>
        <w:tc>
          <w:tcPr>
            <w:tcW w:w="252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65.47%</w:t>
            </w:r>
          </w:p>
        </w:tc>
      </w:tr>
      <w:tr w:rsidR="00D00E85">
        <w:trPr>
          <w:jc w:val="center"/>
        </w:trPr>
        <w:tc>
          <w:tcPr>
            <w:tcW w:w="252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Interior</w:t>
            </w:r>
          </w:p>
        </w:tc>
        <w:tc>
          <w:tcPr>
            <w:tcW w:w="252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$32,037.60</w:t>
            </w:r>
          </w:p>
        </w:tc>
        <w:tc>
          <w:tcPr>
            <w:tcW w:w="252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$21,282.49</w:t>
            </w:r>
          </w:p>
        </w:tc>
        <w:tc>
          <w:tcPr>
            <w:tcW w:w="252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66.43%</w:t>
            </w:r>
          </w:p>
        </w:tc>
      </w:tr>
      <w:tr w:rsidR="00D00E85">
        <w:trPr>
          <w:jc w:val="center"/>
        </w:trPr>
        <w:tc>
          <w:tcPr>
            <w:tcW w:w="252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Gulf</w:t>
            </w:r>
          </w:p>
        </w:tc>
        <w:tc>
          <w:tcPr>
            <w:tcW w:w="252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$22,247.26</w:t>
            </w:r>
          </w:p>
        </w:tc>
        <w:tc>
          <w:tcPr>
            <w:tcW w:w="252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$14,700.67</w:t>
            </w:r>
          </w:p>
        </w:tc>
        <w:tc>
          <w:tcPr>
            <w:tcW w:w="252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66.08%</w:t>
            </w:r>
          </w:p>
        </w:tc>
      </w:tr>
    </w:tbl>
    <w:p w:rsidR="00D00E85" w:rsidRDefault="00D00E85">
      <w:pPr>
        <w:rPr>
          <w:rFonts w:hint="eastAsia"/>
        </w:rPr>
      </w:pPr>
    </w:p>
    <w:p w:rsidR="00D00E85" w:rsidRDefault="001D2016">
      <w:pPr>
        <w:rPr>
          <w:rFonts w:hint="eastAsia"/>
        </w:rPr>
      </w:pPr>
      <w:r>
        <w:t xml:space="preserve">Pacific is the leading region by gross profit in the analyzed dataset, with $30,485.94 of gross profit. Regional results can support inventory, sales </w:t>
      </w:r>
      <w:r>
        <w:t>and market-prioritization decisions.</w:t>
      </w:r>
    </w:p>
    <w:p w:rsidR="00D00E85" w:rsidRDefault="001D2016">
      <w:pPr>
        <w:pStyle w:val="Heading1"/>
      </w:pPr>
      <w:r>
        <w:t>9. Cost Structure Diagnostics</w:t>
      </w:r>
    </w:p>
    <w:p w:rsidR="00D00E85" w:rsidRDefault="001D2016">
      <w:pPr>
        <w:rPr>
          <w:rFonts w:hint="eastAsia"/>
        </w:rPr>
      </w:pPr>
      <w:r>
        <w:t>The cost-versus-sales diagnostic examines whether products with higher cost are also generating higher sales. At transaction level, the correlation between Cost and Sales is 0.959. A positi</w:t>
      </w:r>
      <w:r>
        <w:t>ve relationship indicates that higher-cost activity is generally associated with higher sales, but the relationship should be interpreted together with gross margin because sales volume alone does not guarantee strong profitability.</w:t>
      </w:r>
    </w:p>
    <w:p w:rsidR="00D00E85" w:rsidRDefault="001D2016">
      <w:pPr>
        <w:rPr>
          <w:rFonts w:hint="eastAsia"/>
        </w:rPr>
      </w:pPr>
      <w:r>
        <w:t>Using a 20% gross-margi</w:t>
      </w:r>
      <w:r>
        <w:t>n threshold as a diagnostic flag, 1 products fall below the threshold. These products should be reviewed for pricing, procurement cost, discounting, product mix and demand efficiency.</w:t>
      </w:r>
    </w:p>
    <w:p w:rsidR="00D00E85" w:rsidRDefault="001D2016">
      <w:pPr>
        <w:pStyle w:val="Heading1"/>
      </w:pPr>
      <w:r>
        <w:t>10. Profit Concentration &amp; Pareto Analysis</w:t>
      </w:r>
    </w:p>
    <w:p w:rsidR="00D00E85" w:rsidRDefault="001D2016">
      <w:pPr>
        <w:rPr>
          <w:rFonts w:hint="eastAsia"/>
        </w:rPr>
      </w:pPr>
      <w:r>
        <w:t>Profit concentration is prono</w:t>
      </w:r>
      <w:r>
        <w:t>unced: the top five products contribute 95.06% of total gross profit. A Pareto-style ranking orders products from highest to lowest gross profit and tracks cumulative profit contribution. This helps identify how quickly total profitability accumulates acro</w:t>
      </w:r>
      <w:r>
        <w:t>ss the product portfolio.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00E85">
        <w:trPr>
          <w:jc w:val="center"/>
        </w:trPr>
        <w:tc>
          <w:tcPr>
            <w:tcW w:w="3360" w:type="dxa"/>
          </w:tcPr>
          <w:p w:rsidR="00D00E85" w:rsidRDefault="001D2016">
            <w:pPr>
              <w:rPr>
                <w:rFonts w:hint="eastAsia"/>
              </w:rPr>
            </w:pPr>
            <w:r>
              <w:rPr>
                <w:b/>
                <w:sz w:val="18"/>
              </w:rPr>
              <w:t>Rank</w:t>
            </w:r>
          </w:p>
        </w:tc>
        <w:tc>
          <w:tcPr>
            <w:tcW w:w="3360" w:type="dxa"/>
          </w:tcPr>
          <w:p w:rsidR="00D00E85" w:rsidRDefault="001D2016">
            <w:pPr>
              <w:rPr>
                <w:rFonts w:hint="eastAsia"/>
              </w:rPr>
            </w:pPr>
            <w:r>
              <w:rPr>
                <w:b/>
                <w:sz w:val="18"/>
              </w:rPr>
              <w:t>Product</w:t>
            </w:r>
          </w:p>
        </w:tc>
        <w:tc>
          <w:tcPr>
            <w:tcW w:w="3360" w:type="dxa"/>
          </w:tcPr>
          <w:p w:rsidR="00D00E85" w:rsidRDefault="001D2016">
            <w:pPr>
              <w:rPr>
                <w:rFonts w:hint="eastAsia"/>
              </w:rPr>
            </w:pPr>
            <w:r>
              <w:rPr>
                <w:b/>
                <w:sz w:val="18"/>
              </w:rPr>
              <w:t>Share of Total Gross Profit</w:t>
            </w:r>
          </w:p>
        </w:tc>
      </w:tr>
      <w:tr w:rsidR="00D00E85">
        <w:trPr>
          <w:jc w:val="center"/>
        </w:trPr>
        <w:tc>
          <w:tcPr>
            <w:tcW w:w="336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336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Wonka Bar -Scrumdiddlyumptious</w:t>
            </w:r>
          </w:p>
        </w:tc>
        <w:tc>
          <w:tcPr>
            <w:tcW w:w="336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20.72%</w:t>
            </w:r>
          </w:p>
        </w:tc>
      </w:tr>
      <w:tr w:rsidR="00D00E85">
        <w:trPr>
          <w:jc w:val="center"/>
        </w:trPr>
        <w:tc>
          <w:tcPr>
            <w:tcW w:w="336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336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Wonka Bar - Triple Dazzle Caramel</w:t>
            </w:r>
          </w:p>
        </w:tc>
        <w:tc>
          <w:tcPr>
            <w:tcW w:w="336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19.92%</w:t>
            </w:r>
          </w:p>
        </w:tc>
      </w:tr>
      <w:tr w:rsidR="00D00E85">
        <w:trPr>
          <w:jc w:val="center"/>
        </w:trPr>
        <w:tc>
          <w:tcPr>
            <w:tcW w:w="336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36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Wonka Bar - Milk Chocolate</w:t>
            </w:r>
          </w:p>
        </w:tc>
        <w:tc>
          <w:tcPr>
            <w:tcW w:w="336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18.67%</w:t>
            </w:r>
          </w:p>
        </w:tc>
      </w:tr>
      <w:tr w:rsidR="00D00E85">
        <w:trPr>
          <w:jc w:val="center"/>
        </w:trPr>
        <w:tc>
          <w:tcPr>
            <w:tcW w:w="336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336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Wonka Bar - Nutty Crunch Surprise</w:t>
            </w:r>
          </w:p>
        </w:tc>
        <w:tc>
          <w:tcPr>
            <w:tcW w:w="336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18.00%</w:t>
            </w:r>
          </w:p>
        </w:tc>
      </w:tr>
      <w:tr w:rsidR="00D00E85">
        <w:trPr>
          <w:jc w:val="center"/>
        </w:trPr>
        <w:tc>
          <w:tcPr>
            <w:tcW w:w="336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336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 xml:space="preserve">Wonka Bar - Fudge </w:t>
            </w:r>
            <w:r>
              <w:rPr>
                <w:sz w:val="18"/>
              </w:rPr>
              <w:t>Mallows</w:t>
            </w:r>
          </w:p>
        </w:tc>
        <w:tc>
          <w:tcPr>
            <w:tcW w:w="336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17.76%</w:t>
            </w:r>
          </w:p>
        </w:tc>
      </w:tr>
    </w:tbl>
    <w:p w:rsidR="00D00E85" w:rsidRDefault="00D00E85">
      <w:pPr>
        <w:rPr>
          <w:rFonts w:hint="eastAsia"/>
        </w:rPr>
      </w:pPr>
    </w:p>
    <w:p w:rsidR="00D00E85" w:rsidRDefault="001D2016">
      <w:pPr>
        <w:rPr>
          <w:rFonts w:hint="eastAsia"/>
        </w:rPr>
      </w:pPr>
      <w:r>
        <w:t>The dependency indicator used in the dashboard measures the share of total gross profit generated by the top products. A high dependency percentage suggests that disruption, stock-outs or margin deterioration in leading products could have</w:t>
      </w:r>
      <w:r>
        <w:t xml:space="preserve"> a disproportionate effect on total profitability.</w:t>
      </w:r>
    </w:p>
    <w:p w:rsidR="00D00E85" w:rsidRDefault="001D2016">
      <w:pPr>
        <w:pStyle w:val="Heading1"/>
      </w:pPr>
      <w:r>
        <w:t>11. Key Insights</w:t>
      </w:r>
    </w:p>
    <w:p w:rsidR="00D00E85" w:rsidRDefault="001D2016">
      <w:pPr>
        <w:pStyle w:val="ListBullet"/>
        <w:rPr>
          <w:rFonts w:hint="eastAsia"/>
        </w:rPr>
      </w:pPr>
      <w:r>
        <w:t>The business generated $93,442.80 in gross profit from $141,783.63 in sales.</w:t>
      </w:r>
    </w:p>
    <w:p w:rsidR="00D00E85" w:rsidRDefault="001D2016">
      <w:pPr>
        <w:pStyle w:val="ListBullet"/>
        <w:rPr>
          <w:rFonts w:hint="eastAsia"/>
        </w:rPr>
      </w:pPr>
      <w:r>
        <w:t>Overall gross margin is 65.91%.</w:t>
      </w:r>
    </w:p>
    <w:p w:rsidR="00D00E85" w:rsidRDefault="001D2016">
      <w:pPr>
        <w:pStyle w:val="ListBullet"/>
        <w:rPr>
          <w:rFonts w:hint="eastAsia"/>
        </w:rPr>
      </w:pPr>
      <w:r>
        <w:t>Profitability is highly concentrated: the top five products contribute 95.06% o</w:t>
      </w:r>
      <w:r>
        <w:t>f total gross profit.</w:t>
      </w:r>
    </w:p>
    <w:p w:rsidR="00D00E85" w:rsidRDefault="001D2016">
      <w:pPr>
        <w:pStyle w:val="ListBullet"/>
        <w:rPr>
          <w:rFonts w:hint="eastAsia"/>
        </w:rPr>
      </w:pPr>
      <w:r>
        <w:t>Chocolate is the leading division by gross profit.</w:t>
      </w:r>
    </w:p>
    <w:p w:rsidR="00D00E85" w:rsidRDefault="001D2016">
      <w:pPr>
        <w:pStyle w:val="ListBullet"/>
        <w:rPr>
          <w:rFonts w:hint="eastAsia"/>
        </w:rPr>
      </w:pPr>
      <w:r>
        <w:t>Pacific is the leading region by gross profit.</w:t>
      </w:r>
    </w:p>
    <w:p w:rsidR="00D00E85" w:rsidRDefault="001D2016">
      <w:pPr>
        <w:pStyle w:val="ListBullet"/>
        <w:rPr>
          <w:rFonts w:hint="eastAsia"/>
        </w:rPr>
      </w:pPr>
      <w:r>
        <w:t>1 products fall below the 20% diagnostic gross-margin threshold.</w:t>
      </w:r>
    </w:p>
    <w:p w:rsidR="00D00E85" w:rsidRDefault="001D2016">
      <w:pPr>
        <w:pStyle w:val="Heading1"/>
      </w:pPr>
      <w:r>
        <w:t>12. Business Recommendations</w:t>
      </w:r>
    </w:p>
    <w:p w:rsidR="00D00E85" w:rsidRDefault="001D2016">
      <w:pPr>
        <w:pStyle w:val="ListBullet"/>
        <w:rPr>
          <w:rFonts w:hint="eastAsia"/>
        </w:rPr>
      </w:pPr>
      <w:r>
        <w:t>Protect availability of high-profit produc</w:t>
      </w:r>
      <w:r>
        <w:t>ts through appropriate inventory and replenishment planning.</w:t>
      </w:r>
    </w:p>
    <w:p w:rsidR="00D00E85" w:rsidRDefault="001D2016">
      <w:pPr>
        <w:pStyle w:val="ListBullet"/>
        <w:rPr>
          <w:rFonts w:hint="eastAsia"/>
        </w:rPr>
      </w:pPr>
      <w:r>
        <w:lastRenderedPageBreak/>
        <w:t>Monitor pricing and discount decisions for the top profit-contributing products to avoid unnecessary margin erosion.</w:t>
      </w:r>
    </w:p>
    <w:p w:rsidR="00D00E85" w:rsidRDefault="001D2016">
      <w:pPr>
        <w:pStyle w:val="ListBullet"/>
        <w:rPr>
          <w:rFonts w:hint="eastAsia"/>
        </w:rPr>
      </w:pPr>
      <w:r>
        <w:t>Investigate low-margin products for procurement-cost reduction, pricing adjust</w:t>
      </w:r>
      <w:r>
        <w:t>ments, bundle opportunities or portfolio rationalization.</w:t>
      </w:r>
    </w:p>
    <w:p w:rsidR="00D00E85" w:rsidRDefault="001D2016">
      <w:pPr>
        <w:pStyle w:val="ListBullet"/>
        <w:rPr>
          <w:rFonts w:hint="eastAsia"/>
        </w:rPr>
      </w:pPr>
      <w:r>
        <w:t>Use division and regional profitability metrics alongside sales when setting commercial priorities.</w:t>
      </w:r>
    </w:p>
    <w:p w:rsidR="00D00E85" w:rsidRDefault="001D2016">
      <w:pPr>
        <w:pStyle w:val="ListBullet"/>
        <w:rPr>
          <w:rFonts w:hint="eastAsia"/>
        </w:rPr>
      </w:pPr>
      <w:r>
        <w:t>Track gross margin regularly rather than relying only on sales volume to evaluate performance.</w:t>
      </w:r>
    </w:p>
    <w:p w:rsidR="00D00E85" w:rsidRDefault="001D2016">
      <w:pPr>
        <w:pStyle w:val="ListBullet"/>
        <w:rPr>
          <w:rFonts w:hint="eastAsia"/>
        </w:rPr>
      </w:pPr>
      <w:r>
        <w:t>Use</w:t>
      </w:r>
      <w:r>
        <w:t xml:space="preserve"> the interactive dashboard as a recurring management-monitoring tool and refresh it with updated transactional data.</w:t>
      </w:r>
    </w:p>
    <w:p w:rsidR="00D00E85" w:rsidRDefault="001D2016">
      <w:pPr>
        <w:pStyle w:val="ListBullet"/>
        <w:rPr>
          <w:rFonts w:hint="eastAsia"/>
        </w:rPr>
      </w:pPr>
      <w:r>
        <w:t>Reduce dependency risk by identifying opportunities to grow profitable secondary products without weakening the core portfolio.</w:t>
      </w:r>
    </w:p>
    <w:p w:rsidR="00D00E85" w:rsidRDefault="001D2016">
      <w:pPr>
        <w:pStyle w:val="Heading1"/>
      </w:pPr>
      <w:r>
        <w:t>13. Streaml</w:t>
      </w:r>
      <w:r>
        <w:t>it Dashboard</w:t>
      </w:r>
    </w:p>
    <w:p w:rsidR="00D00E85" w:rsidRDefault="001D2016">
      <w:pPr>
        <w:rPr>
          <w:rFonts w:hint="eastAsia"/>
        </w:rPr>
      </w:pPr>
      <w:r>
        <w:t>An interactive Streamlit dashboard was developed as part of the project. It provides product profitability views, division performance comparisons, cost-versus-sales diagnostics, margin risk flags, profit concentration analysis and user contro</w:t>
      </w:r>
      <w:r>
        <w:t>ls for date range, division, minimum margin and product selection.</w:t>
      </w:r>
    </w:p>
    <w:p w:rsidR="00D00E85" w:rsidRDefault="001D2016">
      <w:pPr>
        <w:pStyle w:val="Heading1"/>
      </w:pPr>
      <w:r>
        <w:t>14. Tools &amp; Technologies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D00E85">
        <w:trPr>
          <w:jc w:val="center"/>
        </w:trPr>
        <w:tc>
          <w:tcPr>
            <w:tcW w:w="5040" w:type="dxa"/>
          </w:tcPr>
          <w:p w:rsidR="00D00E85" w:rsidRDefault="001D2016">
            <w:pPr>
              <w:rPr>
                <w:rFonts w:hint="eastAsia"/>
              </w:rPr>
            </w:pPr>
            <w:r>
              <w:rPr>
                <w:b/>
                <w:sz w:val="18"/>
              </w:rPr>
              <w:t>Tool / Technology</w:t>
            </w:r>
          </w:p>
        </w:tc>
        <w:tc>
          <w:tcPr>
            <w:tcW w:w="5040" w:type="dxa"/>
          </w:tcPr>
          <w:p w:rsidR="00D00E85" w:rsidRDefault="001D2016">
            <w:pPr>
              <w:rPr>
                <w:rFonts w:hint="eastAsia"/>
              </w:rPr>
            </w:pPr>
            <w:r>
              <w:rPr>
                <w:b/>
                <w:sz w:val="18"/>
              </w:rPr>
              <w:t>Purpose</w:t>
            </w:r>
          </w:p>
        </w:tc>
      </w:tr>
      <w:tr w:rsidR="00D00E85">
        <w:trPr>
          <w:jc w:val="center"/>
        </w:trPr>
        <w:tc>
          <w:tcPr>
            <w:tcW w:w="504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Python</w:t>
            </w:r>
          </w:p>
        </w:tc>
        <w:tc>
          <w:tcPr>
            <w:tcW w:w="504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Data analysis and application logic</w:t>
            </w:r>
          </w:p>
        </w:tc>
      </w:tr>
      <w:tr w:rsidR="00D00E85">
        <w:trPr>
          <w:jc w:val="center"/>
        </w:trPr>
        <w:tc>
          <w:tcPr>
            <w:tcW w:w="504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Pandas</w:t>
            </w:r>
          </w:p>
        </w:tc>
        <w:tc>
          <w:tcPr>
            <w:tcW w:w="504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Data loading, transformation and aggregation</w:t>
            </w:r>
          </w:p>
        </w:tc>
      </w:tr>
      <w:tr w:rsidR="00D00E85">
        <w:trPr>
          <w:jc w:val="center"/>
        </w:trPr>
        <w:tc>
          <w:tcPr>
            <w:tcW w:w="504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Excel / CSV</w:t>
            </w:r>
          </w:p>
        </w:tc>
        <w:tc>
          <w:tcPr>
            <w:tcW w:w="504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Source data format</w:t>
            </w:r>
          </w:p>
        </w:tc>
      </w:tr>
      <w:tr w:rsidR="00D00E85">
        <w:trPr>
          <w:jc w:val="center"/>
        </w:trPr>
        <w:tc>
          <w:tcPr>
            <w:tcW w:w="504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Streamlit</w:t>
            </w:r>
          </w:p>
        </w:tc>
        <w:tc>
          <w:tcPr>
            <w:tcW w:w="5040" w:type="dxa"/>
            <w:vAlign w:val="center"/>
          </w:tcPr>
          <w:p w:rsidR="00D00E85" w:rsidRDefault="001D2016">
            <w:pPr>
              <w:rPr>
                <w:rFonts w:hint="eastAsia"/>
              </w:rPr>
            </w:pPr>
            <w:r>
              <w:rPr>
                <w:sz w:val="18"/>
              </w:rPr>
              <w:t>Interactive dashboard development</w:t>
            </w:r>
          </w:p>
        </w:tc>
      </w:tr>
    </w:tbl>
    <w:p w:rsidR="00D00E85" w:rsidRDefault="00D00E85">
      <w:pPr>
        <w:rPr>
          <w:rFonts w:hint="eastAsia"/>
        </w:rPr>
      </w:pPr>
    </w:p>
    <w:p w:rsidR="00D00E85" w:rsidRDefault="001D2016">
      <w:pPr>
        <w:pStyle w:val="Heading1"/>
      </w:pPr>
      <w:r>
        <w:t>15. Conclusion</w:t>
      </w:r>
    </w:p>
    <w:p w:rsidR="00D00E85" w:rsidRDefault="001D2016">
      <w:pPr>
        <w:rPr>
          <w:rFonts w:hint="eastAsia"/>
        </w:rPr>
      </w:pPr>
      <w:r>
        <w:t xml:space="preserve">The analysis demonstrates that Nassau Candy Distributor's profitability is driven disproportionately by a small number of products. While the overall gross margin is strong, the concentration of </w:t>
      </w:r>
      <w:r>
        <w:t>profit creates a dependency risk that should be actively monitored. Combining product-level margin diagnostics, division and regional comparisons, cost-versus-sales analysis and profit concentration indicators provides a practical framework for improving p</w:t>
      </w:r>
      <w:r>
        <w:t>rofitability and supporting data-driven management decisions.</w:t>
      </w:r>
    </w:p>
    <w:p w:rsidR="00D00E85" w:rsidRDefault="001D2016">
      <w:pPr>
        <w:pStyle w:val="Heading1"/>
      </w:pPr>
      <w:r>
        <w:t>Appendix: Submission Deliverables</w:t>
      </w:r>
    </w:p>
    <w:p w:rsidR="00D00E85" w:rsidRDefault="001D2016">
      <w:pPr>
        <w:pStyle w:val="ListBullet"/>
        <w:rPr>
          <w:rFonts w:hint="eastAsia"/>
        </w:rPr>
      </w:pPr>
      <w:r>
        <w:t>Research Paper – EDA, insights and recommendations.</w:t>
      </w:r>
    </w:p>
    <w:p w:rsidR="00D00E85" w:rsidRDefault="001D2016">
      <w:pPr>
        <w:pStyle w:val="ListBullet"/>
        <w:rPr>
          <w:rFonts w:hint="eastAsia"/>
        </w:rPr>
      </w:pPr>
      <w:r>
        <w:t>Streamlit Interactive Dashboard.</w:t>
      </w:r>
    </w:p>
    <w:p w:rsidR="00D00E85" w:rsidRDefault="001D2016">
      <w:pPr>
        <w:pStyle w:val="ListBullet"/>
        <w:rPr>
          <w:rFonts w:hint="eastAsia"/>
        </w:rPr>
      </w:pPr>
      <w:r>
        <w:t>Executive Summary for stakeholder communication.</w:t>
      </w:r>
    </w:p>
    <w:sectPr w:rsidR="00D00E85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D2016"/>
    <w:rsid w:val="0029639D"/>
    <w:rsid w:val="00326F90"/>
    <w:rsid w:val="009F1ADC"/>
    <w:rsid w:val="00AA1D8D"/>
    <w:rsid w:val="00AF0288"/>
    <w:rsid w:val="00B47730"/>
    <w:rsid w:val="00CB0664"/>
    <w:rsid w:val="00D00E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34FC311-E683-4109-8B6C-8CAB42F6AC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1377</Words>
  <Characters>7852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9211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2026-08-13T12:35:00Z</dcterms:modified>
  <cp:category/>
</cp:coreProperties>
</file>