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Entity Framework Core 8.0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Create Models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System.ComponentModel.DataAnnotations;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RetailInventory.Models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</w:t>
              <w:br w:type="textWrapping"/>
              <w:t xml:space="preserve">    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18"/>
                <w:szCs w:val="18"/>
                <w:shd w:fill="333333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.Empty;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ICollection&lt;Product&gt; Products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List&lt;Product&gt;();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System.ComponentModel.DataAnnotations;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RetailInventory.Models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</w:t>
              <w:br w:type="textWrapping"/>
              <w:t xml:space="preserve">    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18"/>
                <w:szCs w:val="18"/>
                <w:shd w:fill="333333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.Empty;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Price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CategoryId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Category Category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!;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AppDbContext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Microsoft.EntityFrameworkCore;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RetailInventory.Models;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RetailInventory.Data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AppDbContext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DbContext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AppDbContext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(DbContextOptions&lt;AppDbContext&gt; options)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(options)</w:t>
              <w:br w:type="textWrapping"/>
              <w:t xml:space="preserve">    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DbSet&lt;Product&gt; Products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DbSet&lt;Category&gt; Categories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OnConfiguring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(DbContextOptionsBuilder optionsBuilder)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(!optionsBuilder.IsConfigured)</w:t>
              <w:br w:type="textWrapping"/>
              <w:t xml:space="preserve">        {</w:t>
              <w:br w:type="textWrapping"/>
              <w:t xml:space="preserve">            optionsBuilder.UseSqlServer(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"Server=(localdb)\\mssqllocaldb;Database=RetailInventoryDb;Trusted_Connection=true;TrustServerCertificate=true;"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in SQL Server (SSMS):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190500</wp:posOffset>
            </wp:positionV>
            <wp:extent cx="3057525" cy="1266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304800</wp:posOffset>
            </wp:positionV>
            <wp:extent cx="1857375" cy="12763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Data in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Microsoft.EntityFrameworkCore;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RetailInventory.Data;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RetailInventory.Models;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RetailInventory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Task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Create DbContext with options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optionsBuilder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DbContextOptionsBuilder&lt;AppDbContext&gt;();</w:t>
              <w:br w:type="textWrapping"/>
              <w:t xml:space="preserve">        optionsBuilder.UseSqlServer(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"Server=(localdb)\\mssqllocaldb;Database=RetailInventoryDb;Trusted_Connection=true;TrustServerCertificate=true;"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AppDbContext(optionsBuilder.Options);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Ensure database exists and has 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context.Database.EnsureCreatedAsync();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Add sample data if not exists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context.Categories.AnyAsync())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electronics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Category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groceries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Category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"Groceries"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context.Categories.AddRangeAsync(electronics, groceries);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context.SaveChangesAsync();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"Laptop"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Price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8"/>
                <w:szCs w:val="18"/>
                <w:shd w:fill="333333" w:val="clear"/>
                <w:rtl w:val="0"/>
              </w:rPr>
              <w:t xml:space="preserve">75000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Category = electronics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"Rice Bag"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Price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8"/>
                <w:szCs w:val="18"/>
                <w:shd w:fill="333333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Category = groceries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context.Products.AddRangeAsync(product1, product2);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context.SaveChangesAsync();</w:t>
              <w:br w:type="textWrapping"/>
              <w:t xml:space="preserve">        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Retrieving Data from the Database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Retrieve All Products,Find by ID,FirstOrDefault with Condition)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Microsoft.EntityFrameworkCore;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RetailInventory.Data;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RetailInventory.Models;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RetailInventory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Task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Create DbContext with options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optionsBuilder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DbContextOptionsBuilder&lt;AppDbContext&gt;();</w:t>
              <w:br w:type="textWrapping"/>
              <w:t xml:space="preserve">        optionsBuilder.UseSqlServer(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"Server=(localdb)\\mssqllocaldb;Database=RetailInventoryDb;Trusted_Connection=true;TrustServerCertificate=true;"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AppDbContext(optionsBuilder.Options);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Ensure database exists and has 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context.Database.EnsureCreatedAsync();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Add sample data if not exists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context.Categories.AnyAsync())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electronics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Category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groceries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Category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"Groceries"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context.Categories.AddRangeAsync(electronics, groceries);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context.SaveChangesAsync();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"Laptop"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Price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8"/>
                <w:szCs w:val="18"/>
                <w:shd w:fill="333333" w:val="clear"/>
                <w:rtl w:val="0"/>
              </w:rPr>
              <w:t xml:space="preserve">75000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Category = electronics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"Rice Bag"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Price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8"/>
                <w:szCs w:val="18"/>
                <w:shd w:fill="333333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Category = groceries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context.Products.AddRangeAsync(product1, product2);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context.SaveChangesAsync();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Lab 5: Retrieving Data from the Database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Step 1: Retrieve All Products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context.Products.ToListAsync();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products)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$"{p.Name} - ₹{p.Price}"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Step 2: Find by ID (use first product's ID)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firstProduct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context.Products.FirstOrDefaultAsync();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product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context.Products.FindAsync(firstProduct?.Id);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$"Found: {product?.Name ?? "Product not found"}"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// Step 3: FirstOrDefault with Condition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expensive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context.Products.FirstOrDefaultAsync(p =&gt; p.Price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8"/>
                <w:szCs w:val="18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$"Expensive: {expensive?.Name ?? "No expensive product found"}"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Laptop - ?75000.00</w:t>
              <w:br w:type="textWrapping"/>
              <w:t xml:space="preserve">Rice Bag - ?1200.00</w:t>
              <w:br w:type="textWrapping"/>
              <w:t xml:space="preserve">Found: Laptop</w:t>
              <w:br w:type="textWrapping"/>
              <w:t xml:space="preserve">Expensive: Laptop</w:t>
              <w:br w:type="textWrapping"/>
              <w:br w:type="textWrapping"/>
              <w:t xml:space="preserve">C:\Users\bhowm\source\repos\AspireApp1\RetailInventory\bin\Debug\net9.0\RetailInventory.exe (process 22988) exited with code 0 (0x0).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automatically close the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 console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when debugging stops,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Tools-&gt;Options-&gt;Debugging-&gt;Automatically close the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 console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when debugging stops.</w:t>
              <w:br w:type="textWrapping"/>
              <w:t xml:space="preserve">Press any key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close this window . . 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progra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