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F4727" w14:textId="77777777" w:rsidR="00B844F0" w:rsidRPr="00B844F0" w:rsidRDefault="00B844F0" w:rsidP="00B844F0">
      <w:pPr>
        <w:shd w:val="clear" w:color="auto" w:fill="FFFFFF"/>
        <w:spacing w:before="225" w:after="225" w:line="240" w:lineRule="auto"/>
        <w:outlineLvl w:val="0"/>
        <w:rPr>
          <w:rFonts w:ascii="Lato" w:eastAsia="Times New Roman" w:hAnsi="Lato" w:cs="Times New Roman"/>
          <w:color w:val="666666"/>
          <w:kern w:val="36"/>
          <w:sz w:val="60"/>
          <w:szCs w:val="60"/>
          <w14:ligatures w14:val="none"/>
        </w:rPr>
      </w:pPr>
      <w:r w:rsidRPr="00B844F0">
        <w:rPr>
          <w:rFonts w:ascii="Lato" w:eastAsia="Times New Roman" w:hAnsi="Lato" w:cs="Times New Roman"/>
          <w:color w:val="666666"/>
          <w:kern w:val="36"/>
          <w:sz w:val="60"/>
          <w:szCs w:val="60"/>
          <w14:ligatures w14:val="none"/>
        </w:rPr>
        <w:t>Tutorial (30/1) - Battery Datasets</w:t>
      </w:r>
    </w:p>
    <w:p w14:paraId="594989AB" w14:textId="77777777" w:rsidR="00B844F0" w:rsidRPr="00B844F0" w:rsidRDefault="00B844F0" w:rsidP="00B844F0">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844F0">
        <w:rPr>
          <w:rFonts w:ascii="Lato" w:eastAsia="Times New Roman" w:hAnsi="Lato" w:cs="Times New Roman"/>
          <w:color w:val="273540"/>
          <w:kern w:val="0"/>
          <w:sz w:val="36"/>
          <w:szCs w:val="36"/>
          <w14:ligatures w14:val="none"/>
        </w:rPr>
        <w:t>1. The NASA Prognostics Center of Excellence (PCoE) Repository</w:t>
      </w:r>
    </w:p>
    <w:p w14:paraId="7533518A" w14:textId="77777777" w:rsidR="00B844F0" w:rsidRPr="00B844F0" w:rsidRDefault="00B844F0" w:rsidP="00B844F0">
      <w:pPr>
        <w:shd w:val="clear" w:color="auto" w:fill="FFFFFF"/>
        <w:spacing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The NASA PCoE dataset collection remains the seminal benchmark for battery prognostics. Established to support aerospace health management, these datasets provide "run-to-failure" trajectories that are rare in industrial datasets where testing is often truncated. The datasets typically feature commercially available 18650 Li-ion cells (eg, Gen 2 commercially available cells) cycled under strictly controlled thermal and electrical conditions. The protocols include standard Constant Current-Constant Voltage (CC-CV) charging followed by various discharge profiles, including constant impedance loads and, crucially, "Random Walk" operational profiles that mimic non-steady-state usage. The repository provides time-synchronous measurements of voltage, current, and temperature, alongside periodic reference discharge cycles used to measure the ground truth capacity. Electrochemical Impedance Spectroscopy (EIS) sweeps are also frequently provided, offering insights into the internal impedance evolution (Ohmic, Charge Transfer, and Diffusion resistances) as the cell ages.   </w:t>
      </w:r>
    </w:p>
    <w:p w14:paraId="4CCC14F7" w14:textId="45AD4AEC" w:rsidR="00B844F0" w:rsidRPr="00B844F0" w:rsidRDefault="00B844F0" w:rsidP="00B844F0">
      <w:pPr>
        <w:shd w:val="clear" w:color="auto" w:fill="FFFFFF"/>
        <w:spacing w:after="0" w:line="240" w:lineRule="auto"/>
        <w:rPr>
          <w:rFonts w:ascii="Lato" w:eastAsia="Times New Roman" w:hAnsi="Lato" w:cs="Times New Roman"/>
          <w:color w:val="273540"/>
          <w:kern w:val="0"/>
          <w14:ligatures w14:val="none"/>
        </w:rPr>
      </w:pPr>
      <w:r w:rsidRPr="00B844F0">
        <w:rPr>
          <w:rFonts w:ascii="Lato" w:eastAsia="Times New Roman" w:hAnsi="Lato" w:cs="Times New Roman"/>
          <w:b/>
          <w:bCs/>
          <w:color w:val="273540"/>
          <w:kern w:val="0"/>
          <w14:ligatures w14:val="none"/>
        </w:rPr>
        <w:t>Download the Datasets</w:t>
      </w:r>
      <w:r>
        <w:rPr>
          <w:rFonts w:ascii="Lato" w:eastAsia="Times New Roman" w:hAnsi="Lato" w:cs="Times New Roman"/>
          <w:b/>
          <w:bCs/>
          <w:color w:val="273540"/>
          <w:kern w:val="0"/>
          <w14:ligatures w14:val="none"/>
        </w:rPr>
        <w:t>.[</w:t>
      </w:r>
      <w:r w:rsidRPr="00B844F0">
        <w:rPr>
          <w:rFonts w:ascii="Lato" w:eastAsia="Times New Roman" w:hAnsi="Lato" w:cs="Times New Roman"/>
          <w:b/>
          <w:bCs/>
          <w:color w:val="273540"/>
          <w:kern w:val="0"/>
          <w14:ligatures w14:val="none"/>
        </w:rPr>
        <w:t>]</w:t>
      </w:r>
    </w:p>
    <w:p w14:paraId="4C4D2EE8" w14:textId="007057D6" w:rsidR="00B844F0" w:rsidRPr="00B844F0" w:rsidRDefault="00B844F0" w:rsidP="00B844F0">
      <w:pPr>
        <w:shd w:val="clear" w:color="auto" w:fill="FFFFFF"/>
        <w:spacing w:after="0" w:line="240" w:lineRule="auto"/>
        <w:rPr>
          <w:rFonts w:ascii="Lato" w:eastAsia="Times New Roman" w:hAnsi="Lato" w:cs="Times New Roman"/>
          <w:color w:val="273540"/>
          <w:kern w:val="0"/>
          <w14:ligatures w14:val="none"/>
        </w:rPr>
      </w:pPr>
      <w:r w:rsidRPr="00B844F0">
        <w:rPr>
          <w:rFonts w:ascii="Lato" w:eastAsia="Times New Roman" w:hAnsi="Lato" w:cs="Times New Roman"/>
          <w:b/>
          <w:bCs/>
          <w:color w:val="273540"/>
          <w:kern w:val="0"/>
          <w14:ligatures w14:val="none"/>
        </w:rPr>
        <w:t>Download the data analysis</w:t>
      </w:r>
      <w:r>
        <w:rPr>
          <w:rFonts w:ascii="Lato" w:eastAsia="Times New Roman" w:hAnsi="Lato" w:cs="Times New Roman"/>
          <w:b/>
          <w:bCs/>
          <w:color w:val="273540"/>
          <w:kern w:val="0"/>
          <w14:ligatures w14:val="none"/>
        </w:rPr>
        <w:t>[</w:t>
      </w:r>
      <w:r w:rsidRPr="00B844F0">
        <w:rPr>
          <w:rFonts w:ascii="Lato" w:eastAsia="Times New Roman" w:hAnsi="Lato" w:cs="Times New Roman"/>
          <w:b/>
          <w:bCs/>
          <w:color w:val="273540"/>
          <w:kern w:val="0"/>
          <w14:ligatures w14:val="none"/>
        </w:rPr>
        <w:t>]</w:t>
      </w:r>
    </w:p>
    <w:p w14:paraId="480D58B1"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b/>
          <w:bCs/>
          <w:color w:val="273540"/>
          <w:kern w:val="0"/>
          <w14:ligatures w14:val="none"/>
        </w:rPr>
        <w:t>Suggested Applications :</w:t>
      </w:r>
      <w:r w:rsidRPr="00B844F0">
        <w:rPr>
          <w:rFonts w:ascii="Lato" w:eastAsia="Times New Roman" w:hAnsi="Lato" w:cs="Times New Roman"/>
          <w:color w:val="273540"/>
          <w:kern w:val="0"/>
          <w14:ligatures w14:val="none"/>
        </w:rPr>
        <w:t xml:space="preserve"> SOH, SOC, and RUL prediction</w:t>
      </w:r>
    </w:p>
    <w:p w14:paraId="4310530B" w14:textId="77777777" w:rsidR="00B844F0" w:rsidRPr="00B844F0" w:rsidRDefault="00B844F0" w:rsidP="00B844F0">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844F0">
        <w:rPr>
          <w:rFonts w:ascii="Lato" w:eastAsia="Times New Roman" w:hAnsi="Lato" w:cs="Times New Roman"/>
          <w:color w:val="273540"/>
          <w:kern w:val="0"/>
          <w:sz w:val="36"/>
          <w:szCs w:val="36"/>
          <w14:ligatures w14:val="none"/>
        </w:rPr>
        <w:t>2. The CALCE Battery Research Group (University of Maryland)</w:t>
      </w:r>
    </w:p>
    <w:p w14:paraId="644EB78B" w14:textId="77777777" w:rsidR="00B844F0" w:rsidRPr="00B844F0" w:rsidRDefault="00B844F0" w:rsidP="00B844F0">
      <w:pPr>
        <w:shd w:val="clear" w:color="auto" w:fill="FFFFFF"/>
        <w:spacing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The Center for Advanced Life Cycle Engineering (CALCE) provides a dataset that is complementary to NASA's, often focusing on different chemistries (eg, LiCoO2, LiFePO4) and form factors (prismatic and pouch cells). CALCE data is renowned for its focus on calendar aging (storage degradation) and dynamic stress testing. The datasets often include results from standard drive cycles such as the Dynamic Stress Test (DST) and the Federal Urban Driving Schedule (FUDS), which introduce rapid current fluctuations absent in constant-current datasets. Similar to NASA, CALCE provides cycle-by-cycle capacity degradation data. However, the CALCE datasets often explore a wider matrix of State of Charge (SOC) ranges and temperatures, allowing for the study of partial cycling effects—a critical factor in hybrid electric vehicle (HEV) applications.   </w:t>
      </w:r>
    </w:p>
    <w:p w14:paraId="3AE43493"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 </w:t>
      </w:r>
    </w:p>
    <w:p w14:paraId="5FC1C683" w14:textId="77777777" w:rsidR="00B844F0" w:rsidRPr="00B844F0" w:rsidRDefault="00B844F0" w:rsidP="00B844F0">
      <w:pPr>
        <w:shd w:val="clear" w:color="auto" w:fill="FFFFFF"/>
        <w:spacing w:after="0" w:line="240" w:lineRule="auto"/>
        <w:rPr>
          <w:rFonts w:ascii="Lato" w:eastAsia="Times New Roman" w:hAnsi="Lato" w:cs="Times New Roman"/>
          <w:color w:val="273540"/>
          <w:kern w:val="0"/>
          <w14:ligatures w14:val="none"/>
        </w:rPr>
      </w:pPr>
      <w:r w:rsidRPr="00B844F0">
        <w:rPr>
          <w:rFonts w:ascii="Lato" w:eastAsia="Times New Roman" w:hAnsi="Lato" w:cs="Times New Roman"/>
          <w:b/>
          <w:bCs/>
          <w:color w:val="273540"/>
          <w:kern w:val="0"/>
          <w14:ligatures w14:val="none"/>
        </w:rPr>
        <w:t xml:space="preserve">Download the Datasets [ </w:t>
      </w:r>
      <w:hyperlink r:id="rId7" w:tgtFrame="_blank" w:history="1">
        <w:r w:rsidRPr="00B844F0">
          <w:rPr>
            <w:rFonts w:ascii="Lato" w:eastAsia="Times New Roman" w:hAnsi="Lato" w:cs="Times New Roman"/>
            <w:b/>
            <w:bCs/>
            <w:color w:val="0555A4"/>
            <w:kern w:val="0"/>
            <w:u w:val="single"/>
            <w14:ligatures w14:val="none"/>
          </w:rPr>
          <w:t>click here</w:t>
        </w:r>
        <w:r w:rsidRPr="00B844F0">
          <w:rPr>
            <w:rFonts w:ascii="Lato" w:eastAsia="Times New Roman" w:hAnsi="Lato" w:cs="Times New Roman"/>
            <w:b/>
            <w:bCs/>
            <w:color w:val="0555A4"/>
            <w:kern w:val="0"/>
            <w:u w:val="single"/>
            <w:bdr w:val="none" w:sz="0" w:space="0" w:color="auto" w:frame="1"/>
            <w14:ligatures w14:val="none"/>
          </w:rPr>
          <w:t>Links to an ex</w:t>
        </w:r>
        <w:r w:rsidRPr="00B844F0">
          <w:rPr>
            <w:rFonts w:ascii="Lato" w:eastAsia="Times New Roman" w:hAnsi="Lato" w:cs="Times New Roman"/>
            <w:b/>
            <w:bCs/>
            <w:color w:val="0555A4"/>
            <w:kern w:val="0"/>
            <w:u w:val="single"/>
            <w:bdr w:val="none" w:sz="0" w:space="0" w:color="auto" w:frame="1"/>
            <w14:ligatures w14:val="none"/>
          </w:rPr>
          <w:t>t</w:t>
        </w:r>
        <w:r w:rsidRPr="00B844F0">
          <w:rPr>
            <w:rFonts w:ascii="Lato" w:eastAsia="Times New Roman" w:hAnsi="Lato" w:cs="Times New Roman"/>
            <w:b/>
            <w:bCs/>
            <w:color w:val="0555A4"/>
            <w:kern w:val="0"/>
            <w:u w:val="single"/>
            <w:bdr w:val="none" w:sz="0" w:space="0" w:color="auto" w:frame="1"/>
            <w14:ligatures w14:val="none"/>
          </w:rPr>
          <w:t>ernal site</w:t>
        </w:r>
        <w:r w:rsidRPr="00B844F0">
          <w:rPr>
            <w:rFonts w:ascii="Lato" w:eastAsia="Times New Roman" w:hAnsi="Lato" w:cs="Times New Roman"/>
            <w:b/>
            <w:bCs/>
            <w:color w:val="0555A4"/>
            <w:kern w:val="0"/>
            <w:u w:val="single"/>
            <w:bdr w:val="none" w:sz="0" w:space="0" w:color="auto" w:frame="1"/>
            <w14:ligatures w14:val="none"/>
          </w:rPr>
          <w:t>.</w:t>
        </w:r>
      </w:hyperlink>
      <w:r w:rsidRPr="00B844F0">
        <w:rPr>
          <w:rFonts w:ascii="Lato" w:eastAsia="Times New Roman" w:hAnsi="Lato" w:cs="Times New Roman"/>
          <w:b/>
          <w:bCs/>
          <w:color w:val="273540"/>
          <w:kern w:val="0"/>
          <w14:ligatures w14:val="none"/>
        </w:rPr>
        <w:t xml:space="preserve"> ]</w:t>
      </w:r>
    </w:p>
    <w:p w14:paraId="27E98B00"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Suggested Application : SOH, SOC, and RUL prediction</w:t>
      </w:r>
    </w:p>
    <w:p w14:paraId="458638B2" w14:textId="77777777" w:rsidR="00B844F0" w:rsidRPr="00B844F0" w:rsidRDefault="00B844F0" w:rsidP="00B844F0">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844F0">
        <w:rPr>
          <w:rFonts w:ascii="Lato" w:eastAsia="Times New Roman" w:hAnsi="Lato" w:cs="Times New Roman"/>
          <w:color w:val="273540"/>
          <w:kern w:val="0"/>
          <w:sz w:val="36"/>
          <w:szCs w:val="36"/>
          <w14:ligatures w14:val="none"/>
        </w:rPr>
        <w:lastRenderedPageBreak/>
        <w:t>3. Panasonic 18650PF Li-ion Battery Performance and Characterization Dataset</w:t>
      </w:r>
    </w:p>
    <w:p w14:paraId="4939D942"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This dataset features experimental testing of a 2.9Ah Panasonic 18650PF cell . Using a Digatron Universal Battery Tester, the cell was subjected to a range of temperatures (25°C, 10°C, 0°C, -10°C, and -20°C) and dynamic drive cycles (US06, HWFET, UDDS, LA92) scaled to mimic the power demands of an electric Ford F150 . The collection provides high-fidelity data for characterizing lithium-ion performance under diverse environmental and load conditions .</w:t>
      </w:r>
    </w:p>
    <w:p w14:paraId="4B509596" w14:textId="77777777" w:rsidR="00B844F0" w:rsidRPr="00B844F0" w:rsidRDefault="00B844F0" w:rsidP="00B844F0">
      <w:pPr>
        <w:shd w:val="clear" w:color="auto" w:fill="FFFFFF"/>
        <w:spacing w:after="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 xml:space="preserve">Download the datasets [ </w:t>
      </w:r>
      <w:hyperlink r:id="rId8" w:tgtFrame="_blank" w:tooltip="Panasonic_18650PF.zip" w:history="1">
        <w:r w:rsidRPr="00B844F0">
          <w:rPr>
            <w:rFonts w:ascii="Lato" w:eastAsia="Times New Roman" w:hAnsi="Lato" w:cs="Times New Roman"/>
            <w:b/>
            <w:bCs/>
            <w:color w:val="0555A4"/>
            <w:kern w:val="0"/>
            <w:u w:val="single"/>
            <w14:ligatures w14:val="none"/>
          </w:rPr>
          <w:t>click here</w:t>
        </w:r>
      </w:hyperlink>
      <w:hyperlink r:id="rId9" w:history="1">
        <w:r w:rsidRPr="00B844F0">
          <w:rPr>
            <w:rFonts w:ascii="Lato" w:eastAsia="Times New Roman" w:hAnsi="Lato" w:cs="Times New Roman"/>
            <w:b/>
            <w:bCs/>
            <w:color w:val="0555A4"/>
            <w:kern w:val="0"/>
            <w:bdr w:val="none" w:sz="0" w:space="0" w:color="auto" w:frame="1"/>
            <w14:ligatures w14:val="none"/>
          </w:rPr>
          <w:t>Download click here</w:t>
        </w:r>
      </w:hyperlink>
      <w:hyperlink r:id="rId10" w:tgtFrame="_blank" w:tooltip="Open this document with ReadSpeaker docReader" w:history="1">
        <w:r w:rsidRPr="00B844F0">
          <w:rPr>
            <w:rFonts w:ascii="Lato" w:eastAsia="Times New Roman" w:hAnsi="Lato" w:cs="Times New Roman"/>
            <w:b/>
            <w:bCs/>
            <w:color w:val="0555A4"/>
            <w:kern w:val="0"/>
            <w:u w:val="single"/>
            <w:bdr w:val="none" w:sz="0" w:space="0" w:color="auto" w:frame="1"/>
            <w14:ligatures w14:val="none"/>
          </w:rPr>
          <w:t>Open this document with ReadSpeaker docReader</w:t>
        </w:r>
        <w:r w:rsidRPr="00B844F0">
          <w:rPr>
            <w:rFonts w:ascii="Lato" w:eastAsia="Times New Roman" w:hAnsi="Lato" w:cs="Times New Roman"/>
            <w:b/>
            <w:bCs/>
            <w:color w:val="0555A4"/>
            <w:kern w:val="0"/>
            <w:u w:val="single"/>
            <w14:ligatures w14:val="none"/>
          </w:rPr>
          <w:t xml:space="preserve"> </w:t>
        </w:r>
      </w:hyperlink>
      <w:r w:rsidRPr="00B844F0">
        <w:rPr>
          <w:rFonts w:ascii="Lato" w:eastAsia="Times New Roman" w:hAnsi="Lato" w:cs="Times New Roman"/>
          <w:color w:val="273540"/>
          <w:kern w:val="0"/>
          <w14:ligatures w14:val="none"/>
        </w:rPr>
        <w:t>]</w:t>
      </w:r>
    </w:p>
    <w:p w14:paraId="6D8788CF"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Suggested application: SOC prediction</w:t>
      </w:r>
    </w:p>
    <w:p w14:paraId="03986DEE"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 </w:t>
      </w:r>
    </w:p>
    <w:p w14:paraId="09BDF930" w14:textId="77777777" w:rsidR="00B844F0" w:rsidRPr="00B844F0" w:rsidRDefault="00B844F0" w:rsidP="00B844F0">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844F0">
        <w:rPr>
          <w:rFonts w:ascii="Lato" w:eastAsia="Times New Roman" w:hAnsi="Lato" w:cs="Times New Roman"/>
          <w:color w:val="273540"/>
          <w:kern w:val="0"/>
          <w:sz w:val="36"/>
          <w:szCs w:val="36"/>
          <w14:ligatures w14:val="none"/>
        </w:rPr>
        <w:t>4. NASA PCoE Randomized Battery Usage Dataset: Cells RW9–RW12 </w:t>
      </w:r>
    </w:p>
    <w:p w14:paraId="580D62FA"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This dataset, identifying cells RW9, RW10, RW11, and RW12 , is a specialized component of the NASA Prognostics Center of Excellence (PCoE) Randomized Battery Usage Data Set . It records the aging of 18650 Li-ion batteries under a Random Walk (RW) operational profile, where charging and discharging currents fluctuate randomly between -4.5A and 4.5A . Current levels are updated every 5 minutes , creating a high-variance environment that more accurately reflects real-world usage than standard constant-current tests.</w:t>
      </w:r>
    </w:p>
    <w:p w14:paraId="149B0809"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To monitor degradation, the random walk is paused every 1,500 periods (roughly every 5 days) to perform standardized reference charging and discharging cycles , providing clear benchmarks for the battery's health over time.</w:t>
      </w:r>
    </w:p>
    <w:p w14:paraId="1A8FF460" w14:textId="77777777" w:rsidR="00B844F0" w:rsidRPr="00B844F0" w:rsidRDefault="00B844F0" w:rsidP="00B844F0">
      <w:pPr>
        <w:shd w:val="clear" w:color="auto" w:fill="FFFFFF"/>
        <w:spacing w:after="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 xml:space="preserve">Download the datasets [ </w:t>
      </w:r>
      <w:hyperlink r:id="rId11" w:tgtFrame="_blank" w:history="1">
        <w:r w:rsidRPr="00B844F0">
          <w:rPr>
            <w:rFonts w:ascii="Lato" w:eastAsia="Times New Roman" w:hAnsi="Lato" w:cs="Times New Roman"/>
            <w:color w:val="0555A4"/>
            <w:kern w:val="0"/>
            <w:u w:val="single"/>
            <w14:ligatures w14:val="none"/>
          </w:rPr>
          <w:t>click here</w:t>
        </w:r>
        <w:r w:rsidRPr="00B844F0">
          <w:rPr>
            <w:rFonts w:ascii="Lato" w:eastAsia="Times New Roman" w:hAnsi="Lato" w:cs="Times New Roman"/>
            <w:color w:val="0555A4"/>
            <w:kern w:val="0"/>
            <w:u w:val="single"/>
            <w:bdr w:val="none" w:sz="0" w:space="0" w:color="auto" w:frame="1"/>
            <w14:ligatures w14:val="none"/>
          </w:rPr>
          <w:t>Links to an exte</w:t>
        </w:r>
        <w:r w:rsidRPr="00B844F0">
          <w:rPr>
            <w:rFonts w:ascii="Lato" w:eastAsia="Times New Roman" w:hAnsi="Lato" w:cs="Times New Roman"/>
            <w:color w:val="0555A4"/>
            <w:kern w:val="0"/>
            <w:u w:val="single"/>
            <w:bdr w:val="none" w:sz="0" w:space="0" w:color="auto" w:frame="1"/>
            <w14:ligatures w14:val="none"/>
          </w:rPr>
          <w:t>r</w:t>
        </w:r>
        <w:r w:rsidRPr="00B844F0">
          <w:rPr>
            <w:rFonts w:ascii="Lato" w:eastAsia="Times New Roman" w:hAnsi="Lato" w:cs="Times New Roman"/>
            <w:color w:val="0555A4"/>
            <w:kern w:val="0"/>
            <w:u w:val="single"/>
            <w:bdr w:val="none" w:sz="0" w:space="0" w:color="auto" w:frame="1"/>
            <w14:ligatures w14:val="none"/>
          </w:rPr>
          <w:t>nal site.</w:t>
        </w:r>
      </w:hyperlink>
      <w:r w:rsidRPr="00B844F0">
        <w:rPr>
          <w:rFonts w:ascii="Lato" w:eastAsia="Times New Roman" w:hAnsi="Lato" w:cs="Times New Roman"/>
          <w:color w:val="273540"/>
          <w:kern w:val="0"/>
          <w14:ligatures w14:val="none"/>
        </w:rPr>
        <w:t xml:space="preserve"> ]</w:t>
      </w:r>
    </w:p>
    <w:p w14:paraId="1F9EB5B5"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Suggested application: Dynamic SOC estimation, RUL prediction </w:t>
      </w:r>
      <w:r w:rsidRPr="00B844F0">
        <w:rPr>
          <w:rFonts w:ascii="Lato" w:eastAsia="Times New Roman" w:hAnsi="Lato" w:cs="Times New Roman"/>
          <w:color w:val="273540"/>
          <w:kern w:val="0"/>
          <w14:ligatures w14:val="none"/>
        </w:rPr>
        <w:br/>
      </w:r>
      <w:r w:rsidRPr="00B844F0">
        <w:rPr>
          <w:rFonts w:ascii="Lato" w:eastAsia="Times New Roman" w:hAnsi="Lato" w:cs="Times New Roman"/>
          <w:color w:val="273540"/>
          <w:kern w:val="0"/>
          <w14:ligatures w14:val="none"/>
        </w:rPr>
        <w:br/>
      </w:r>
      <w:r w:rsidRPr="00B844F0">
        <w:rPr>
          <w:rFonts w:ascii="Lato" w:eastAsia="Times New Roman" w:hAnsi="Lato" w:cs="Times New Roman"/>
          <w:color w:val="273540"/>
          <w:kern w:val="0"/>
          <w14:ligatures w14:val="none"/>
        </w:rPr>
        <w:br/>
        <w:t>Other dataset links </w:t>
      </w:r>
      <w:r w:rsidRPr="00B844F0">
        <w:rPr>
          <w:rFonts w:ascii="Lato" w:eastAsia="Times New Roman" w:hAnsi="Lato" w:cs="Times New Roman"/>
          <w:color w:val="273540"/>
          <w:kern w:val="0"/>
          <w14:ligatures w14:val="none"/>
        </w:rPr>
        <w:br/>
      </w:r>
      <w:r w:rsidRPr="00B844F0">
        <w:rPr>
          <w:rFonts w:ascii="Lato" w:eastAsia="Times New Roman" w:hAnsi="Lato" w:cs="Times New Roman"/>
          <w:color w:val="273540"/>
          <w:kern w:val="0"/>
          <w14:ligatures w14:val="none"/>
        </w:rPr>
        <w:br/>
      </w:r>
    </w:p>
    <w:p w14:paraId="26ADA863"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2" w:tgtFrame="_blank" w:history="1">
        <w:r w:rsidRPr="00B844F0">
          <w:rPr>
            <w:rFonts w:ascii="Lato" w:eastAsia="Times New Roman" w:hAnsi="Lato" w:cs="Times New Roman"/>
            <w:color w:val="0555A4"/>
            <w:kern w:val="0"/>
            <w:u w:val="single"/>
            <w14:ligatures w14:val="none"/>
          </w:rPr>
          <w:t>https://www.kaggle.com/datasets/ziya07/li-s-battery-thermal-failure-dataset</w:t>
        </w:r>
        <w:r w:rsidRPr="00B844F0">
          <w:rPr>
            <w:rFonts w:ascii="Lato" w:eastAsia="Times New Roman" w:hAnsi="Lato" w:cs="Times New Roman"/>
            <w:color w:val="0555A4"/>
            <w:kern w:val="0"/>
            <w:u w:val="single"/>
            <w:bdr w:val="none" w:sz="0" w:space="0" w:color="auto" w:frame="1"/>
            <w14:ligatures w14:val="none"/>
          </w:rPr>
          <w:t>Links to an external site.</w:t>
        </w:r>
      </w:hyperlink>
    </w:p>
    <w:p w14:paraId="6F21AA50"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3" w:tgtFrame="_blank" w:history="1">
        <w:r w:rsidRPr="00B844F0">
          <w:rPr>
            <w:rFonts w:ascii="Lato" w:eastAsia="Times New Roman" w:hAnsi="Lato" w:cs="Times New Roman"/>
            <w:color w:val="0555A4"/>
            <w:kern w:val="0"/>
            <w:u w:val="single"/>
            <w14:ligatures w14:val="none"/>
          </w:rPr>
          <w:t>https://kilthub.cmu.edu/articles/dataset/eVTOL_Battery_Dataset/14226830</w:t>
        </w:r>
        <w:r w:rsidRPr="00B844F0">
          <w:rPr>
            <w:rFonts w:ascii="Lato" w:eastAsia="Times New Roman" w:hAnsi="Lato" w:cs="Times New Roman"/>
            <w:color w:val="0555A4"/>
            <w:kern w:val="0"/>
            <w:u w:val="single"/>
            <w:bdr w:val="none" w:sz="0" w:space="0" w:color="auto" w:frame="1"/>
            <w14:ligatures w14:val="none"/>
          </w:rPr>
          <w:t>Links to an external site.</w:t>
        </w:r>
      </w:hyperlink>
    </w:p>
    <w:p w14:paraId="798FC2C9"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4" w:tgtFrame="_blank" w:history="1">
        <w:r w:rsidRPr="00B844F0">
          <w:rPr>
            <w:rFonts w:ascii="Lato" w:eastAsia="Times New Roman" w:hAnsi="Lato" w:cs="Times New Roman"/>
            <w:color w:val="0555A4"/>
            <w:kern w:val="0"/>
            <w:u w:val="single"/>
            <w14:ligatures w14:val="none"/>
          </w:rPr>
          <w:t>https://ieee-dataport.org/documents/time-series-data-battery-energy-storage-system</w:t>
        </w:r>
        <w:r w:rsidRPr="00B844F0">
          <w:rPr>
            <w:rFonts w:ascii="Lato" w:eastAsia="Times New Roman" w:hAnsi="Lato" w:cs="Times New Roman"/>
            <w:color w:val="0555A4"/>
            <w:kern w:val="0"/>
            <w:u w:val="single"/>
            <w:bdr w:val="none" w:sz="0" w:space="0" w:color="auto" w:frame="1"/>
            <w14:ligatures w14:val="none"/>
          </w:rPr>
          <w:t>Links to an external site.</w:t>
        </w:r>
      </w:hyperlink>
    </w:p>
    <w:p w14:paraId="1B307F4D"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5" w:tgtFrame="_blank" w:history="1">
        <w:r w:rsidRPr="00B844F0">
          <w:rPr>
            <w:rFonts w:ascii="Lato" w:eastAsia="Times New Roman" w:hAnsi="Lato" w:cs="Times New Roman"/>
            <w:color w:val="0555A4"/>
            <w:kern w:val="0"/>
            <w:u w:val="single"/>
            <w14:ligatures w14:val="none"/>
          </w:rPr>
          <w:t>https://zenodo.org/records/7244939</w:t>
        </w:r>
        <w:r w:rsidRPr="00B844F0">
          <w:rPr>
            <w:rFonts w:ascii="Lato" w:eastAsia="Times New Roman" w:hAnsi="Lato" w:cs="Times New Roman"/>
            <w:color w:val="0555A4"/>
            <w:kern w:val="0"/>
            <w:u w:val="single"/>
            <w:bdr w:val="none" w:sz="0" w:space="0" w:color="auto" w:frame="1"/>
            <w14:ligatures w14:val="none"/>
          </w:rPr>
          <w:t>Links to an external site.</w:t>
        </w:r>
      </w:hyperlink>
    </w:p>
    <w:p w14:paraId="2E905E34"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6" w:tgtFrame="_blank" w:history="1">
        <w:r w:rsidRPr="00B844F0">
          <w:rPr>
            <w:rFonts w:ascii="Lato" w:eastAsia="Times New Roman" w:hAnsi="Lato" w:cs="Times New Roman"/>
            <w:color w:val="0555A4"/>
            <w:kern w:val="0"/>
            <w:u w:val="single"/>
            <w14:ligatures w14:val="none"/>
          </w:rPr>
          <w:t>https://www.nrel.gov/transportation/battery-failure</w:t>
        </w:r>
        <w:r w:rsidRPr="00B844F0">
          <w:rPr>
            <w:rFonts w:ascii="Lato" w:eastAsia="Times New Roman" w:hAnsi="Lato" w:cs="Times New Roman"/>
            <w:color w:val="0555A4"/>
            <w:kern w:val="0"/>
            <w:u w:val="single"/>
            <w:bdr w:val="none" w:sz="0" w:space="0" w:color="auto" w:frame="1"/>
            <w14:ligatures w14:val="none"/>
          </w:rPr>
          <w:t>Links to an external site.</w:t>
        </w:r>
      </w:hyperlink>
    </w:p>
    <w:p w14:paraId="737AB153" w14:textId="77777777" w:rsidR="00B844F0" w:rsidRPr="00B844F0" w:rsidRDefault="00B844F0" w:rsidP="00B844F0">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7" w:tgtFrame="_blank" w:history="1">
        <w:r w:rsidRPr="00B844F0">
          <w:rPr>
            <w:rFonts w:ascii="Lato" w:eastAsia="Times New Roman" w:hAnsi="Lato" w:cs="Times New Roman"/>
            <w:color w:val="0555A4"/>
            <w:kern w:val="0"/>
            <w:u w:val="single"/>
            <w14:ligatures w14:val="none"/>
          </w:rPr>
          <w:t>https://data.nasa.gov/dataset/randomized-and-recommissioned-battery-dataset/resource/cdea0a46-2c8d-4192-bbe7-8fbebfcfdb31</w:t>
        </w:r>
        <w:r w:rsidRPr="00B844F0">
          <w:rPr>
            <w:rFonts w:ascii="Lato" w:eastAsia="Times New Roman" w:hAnsi="Lato" w:cs="Times New Roman"/>
            <w:color w:val="0555A4"/>
            <w:kern w:val="0"/>
            <w:u w:val="single"/>
            <w:bdr w:val="none" w:sz="0" w:space="0" w:color="auto" w:frame="1"/>
            <w14:ligatures w14:val="none"/>
          </w:rPr>
          <w:t>Links to an external site.</w:t>
        </w:r>
      </w:hyperlink>
      <w:hyperlink r:id="rId18" w:tgtFrame="_blank" w:history="1">
        <w:r w:rsidRPr="00B844F0">
          <w:rPr>
            <w:rFonts w:ascii="Lato" w:eastAsia="Times New Roman" w:hAnsi="Lato" w:cs="Times New Roman"/>
            <w:color w:val="0555A4"/>
            <w:kern w:val="0"/>
            <w:u w:val="single"/>
            <w:bdr w:val="none" w:sz="0" w:space="0" w:color="auto" w:frame="1"/>
            <w14:ligatures w14:val="none"/>
          </w:rPr>
          <w:t>Links to an external site.</w:t>
        </w:r>
      </w:hyperlink>
    </w:p>
    <w:p w14:paraId="44F1C572" w14:textId="77777777" w:rsidR="00B844F0" w:rsidRPr="00B844F0" w:rsidRDefault="00B844F0" w:rsidP="00B844F0">
      <w:pPr>
        <w:shd w:val="clear" w:color="auto" w:fill="FFFFFF"/>
        <w:spacing w:before="180" w:after="180" w:line="240" w:lineRule="auto"/>
        <w:rPr>
          <w:rFonts w:ascii="Lato" w:eastAsia="Times New Roman" w:hAnsi="Lato" w:cs="Times New Roman"/>
          <w:color w:val="273540"/>
          <w:kern w:val="0"/>
          <w14:ligatures w14:val="none"/>
        </w:rPr>
      </w:pPr>
      <w:r w:rsidRPr="00B844F0">
        <w:rPr>
          <w:rFonts w:ascii="Lato" w:eastAsia="Times New Roman" w:hAnsi="Lato" w:cs="Times New Roman"/>
          <w:color w:val="273540"/>
          <w:kern w:val="0"/>
          <w14:ligatures w14:val="none"/>
        </w:rPr>
        <w:t> </w:t>
      </w:r>
    </w:p>
    <w:p w14:paraId="66CF7B9B" w14:textId="77777777" w:rsidR="00641188" w:rsidRDefault="00641188"/>
    <w:sectPr w:rsidR="00641188">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2DF6B4" w14:textId="77777777" w:rsidR="0098606D" w:rsidRDefault="0098606D" w:rsidP="00B844F0">
      <w:pPr>
        <w:spacing w:after="0" w:line="240" w:lineRule="auto"/>
      </w:pPr>
      <w:r>
        <w:separator/>
      </w:r>
    </w:p>
  </w:endnote>
  <w:endnote w:type="continuationSeparator" w:id="0">
    <w:p w14:paraId="091D9B69" w14:textId="77777777" w:rsidR="0098606D" w:rsidRDefault="0098606D" w:rsidP="00B8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1D6806" w14:textId="77777777" w:rsidR="0098606D" w:rsidRDefault="0098606D" w:rsidP="00B844F0">
      <w:pPr>
        <w:spacing w:after="0" w:line="240" w:lineRule="auto"/>
      </w:pPr>
      <w:r>
        <w:separator/>
      </w:r>
    </w:p>
  </w:footnote>
  <w:footnote w:type="continuationSeparator" w:id="0">
    <w:p w14:paraId="74AF73DA" w14:textId="77777777" w:rsidR="0098606D" w:rsidRDefault="0098606D" w:rsidP="00B84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00CC0" w14:textId="717FBEAC" w:rsidR="00B844F0" w:rsidRDefault="00B844F0">
    <w:pPr>
      <w:pStyle w:val="Header"/>
    </w:pPr>
    <w:r>
      <w:rPr>
        <w:noProof/>
      </w:rPr>
      <mc:AlternateContent>
        <mc:Choice Requires="wps">
          <w:drawing>
            <wp:anchor distT="0" distB="0" distL="0" distR="0" simplePos="0" relativeHeight="251659264" behindDoc="0" locked="0" layoutInCell="1" allowOverlap="1" wp14:anchorId="4CC2B5E8" wp14:editId="303669A2">
              <wp:simplePos x="635" y="635"/>
              <wp:positionH relativeFrom="page">
                <wp:align>right</wp:align>
              </wp:positionH>
              <wp:positionV relativeFrom="page">
                <wp:align>top</wp:align>
              </wp:positionV>
              <wp:extent cx="1061085" cy="334010"/>
              <wp:effectExtent l="0" t="0" r="0" b="8890"/>
              <wp:wrapNone/>
              <wp:docPr id="1292520511" name="Text Box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1085" cy="334010"/>
                      </a:xfrm>
                      <a:prstGeom prst="rect">
                        <a:avLst/>
                      </a:prstGeom>
                      <a:noFill/>
                      <a:ln>
                        <a:noFill/>
                      </a:ln>
                    </wps:spPr>
                    <wps:txbx>
                      <w:txbxContent>
                        <w:p w14:paraId="7E9BE749" w14:textId="3E04CA6A"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CC2B5E8" id="_x0000_t202" coordsize="21600,21600" o:spt="202" path="m,l,21600r21600,l21600,xe">
              <v:stroke joinstyle="miter"/>
              <v:path gradientshapeok="t" o:connecttype="rect"/>
            </v:shapetype>
            <v:shape id="Text Box 2" o:spid="_x0000_s1026" type="#_x0000_t202" alt="Begränsad delning" style="position:absolute;margin-left:32.35pt;margin-top:0;width:83.55pt;height:26.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" filled="f" stroked="f">
              <v:fill o:detectmouseclick="t"/>
              <v:textbox style="mso-fit-shape-to-text:t" inset="0,15pt,20pt,0">
                <w:txbxContent>
                  <w:p w14:paraId="7E9BE749" w14:textId="3E04CA6A"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B2519" w14:textId="56FAB079" w:rsidR="00B844F0" w:rsidRDefault="00B844F0">
    <w:pPr>
      <w:pStyle w:val="Header"/>
    </w:pPr>
    <w:r>
      <w:rPr>
        <w:noProof/>
      </w:rPr>
      <mc:AlternateContent>
        <mc:Choice Requires="wps">
          <w:drawing>
            <wp:anchor distT="0" distB="0" distL="0" distR="0" simplePos="0" relativeHeight="251660288" behindDoc="0" locked="0" layoutInCell="1" allowOverlap="1" wp14:anchorId="6A50F430" wp14:editId="0BA3D92E">
              <wp:simplePos x="0" y="0"/>
              <wp:positionH relativeFrom="page">
                <wp:align>right</wp:align>
              </wp:positionH>
              <wp:positionV relativeFrom="page">
                <wp:align>top</wp:align>
              </wp:positionV>
              <wp:extent cx="1061085" cy="334010"/>
              <wp:effectExtent l="0" t="0" r="0" b="8890"/>
              <wp:wrapNone/>
              <wp:docPr id="1166683031" name="Text Box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1085" cy="334010"/>
                      </a:xfrm>
                      <a:prstGeom prst="rect">
                        <a:avLst/>
                      </a:prstGeom>
                      <a:noFill/>
                      <a:ln>
                        <a:noFill/>
                      </a:ln>
                    </wps:spPr>
                    <wps:txbx>
                      <w:txbxContent>
                        <w:p w14:paraId="7C804D4A" w14:textId="61221D92"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A50F430" id="_x0000_t202" coordsize="21600,21600" o:spt="202" path="m,l,21600r21600,l21600,xe">
              <v:stroke joinstyle="miter"/>
              <v:path gradientshapeok="t" o:connecttype="rect"/>
            </v:shapetype>
            <v:shape id="Text Box 3" o:spid="_x0000_s1027" type="#_x0000_t202" alt="Begränsad delning" style="position:absolute;margin-left:32.35pt;margin-top:0;width:83.55pt;height:26.3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" filled="f" stroked="f">
              <v:fill o:detectmouseclick="t"/>
              <v:textbox style="mso-fit-shape-to-text:t" inset="0,15pt,20pt,0">
                <w:txbxContent>
                  <w:p w14:paraId="7C804D4A" w14:textId="61221D92"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7A174" w14:textId="73591B80" w:rsidR="00B844F0" w:rsidRDefault="00B844F0">
    <w:pPr>
      <w:pStyle w:val="Header"/>
    </w:pPr>
    <w:r>
      <w:rPr>
        <w:noProof/>
      </w:rPr>
      <mc:AlternateContent>
        <mc:Choice Requires="wps">
          <w:drawing>
            <wp:anchor distT="0" distB="0" distL="0" distR="0" simplePos="0" relativeHeight="251658240" behindDoc="0" locked="0" layoutInCell="1" allowOverlap="1" wp14:anchorId="3C80E487" wp14:editId="1DB43014">
              <wp:simplePos x="635" y="635"/>
              <wp:positionH relativeFrom="page">
                <wp:align>right</wp:align>
              </wp:positionH>
              <wp:positionV relativeFrom="page">
                <wp:align>top</wp:align>
              </wp:positionV>
              <wp:extent cx="1061085" cy="334010"/>
              <wp:effectExtent l="0" t="0" r="0" b="8890"/>
              <wp:wrapNone/>
              <wp:docPr id="264068715" name="Text Box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1085" cy="334010"/>
                      </a:xfrm>
                      <a:prstGeom prst="rect">
                        <a:avLst/>
                      </a:prstGeom>
                      <a:noFill/>
                      <a:ln>
                        <a:noFill/>
                      </a:ln>
                    </wps:spPr>
                    <wps:txbx>
                      <w:txbxContent>
                        <w:p w14:paraId="705FF5E0" w14:textId="2C687EDF"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C80E487" id="_x0000_t202" coordsize="21600,21600" o:spt="202" path="m,l,21600r21600,l21600,xe">
              <v:stroke joinstyle="miter"/>
              <v:path gradientshapeok="t" o:connecttype="rect"/>
            </v:shapetype>
            <v:shape id="Text Box 1" o:spid="_x0000_s1028" type="#_x0000_t202" alt="Begränsad delning" style="position:absolute;margin-left:32.35pt;margin-top:0;width:83.55pt;height:26.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" filled="f" stroked="f">
              <v:fill o:detectmouseclick="t"/>
              <v:textbox style="mso-fit-shape-to-text:t" inset="0,15pt,20pt,0">
                <w:txbxContent>
                  <w:p w14:paraId="705FF5E0" w14:textId="2C687EDF" w:rsidR="00B844F0" w:rsidRPr="00B844F0" w:rsidRDefault="00B844F0" w:rsidP="00B844F0">
                    <w:pPr>
                      <w:spacing w:after="0"/>
                      <w:rPr>
                        <w:rFonts w:ascii="Aptos" w:eastAsia="Aptos" w:hAnsi="Aptos" w:cs="Aptos"/>
                        <w:noProof/>
                        <w:color w:val="000000"/>
                        <w:sz w:val="16"/>
                        <w:szCs w:val="16"/>
                      </w:rPr>
                    </w:pPr>
                    <w:r w:rsidRPr="00B844F0">
                      <w:rPr>
                        <w:rFonts w:ascii="Aptos" w:eastAsia="Aptos" w:hAnsi="Aptos" w:cs="Aptos"/>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2C19AC"/>
    <w:multiLevelType w:val="multilevel"/>
    <w:tmpl w:val="13C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956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F0"/>
    <w:rsid w:val="00641188"/>
    <w:rsid w:val="007D354B"/>
    <w:rsid w:val="008D20F9"/>
    <w:rsid w:val="0098606D"/>
    <w:rsid w:val="009F55FB"/>
    <w:rsid w:val="00B373A8"/>
    <w:rsid w:val="00B844F0"/>
    <w:rsid w:val="00F31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B86F1F"/>
  <w15:chartTrackingRefBased/>
  <w15:docId w15:val="{21015F17-22A8-3044-817A-F2A02DC9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4F0"/>
    <w:rPr>
      <w:rFonts w:eastAsiaTheme="majorEastAsia" w:cstheme="majorBidi"/>
      <w:color w:val="272727" w:themeColor="text1" w:themeTint="D8"/>
    </w:rPr>
  </w:style>
  <w:style w:type="paragraph" w:styleId="Title">
    <w:name w:val="Title"/>
    <w:basedOn w:val="Normal"/>
    <w:next w:val="Normal"/>
    <w:link w:val="TitleChar"/>
    <w:uiPriority w:val="10"/>
    <w:qFormat/>
    <w:rsid w:val="00B8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4F0"/>
    <w:pPr>
      <w:spacing w:before="160"/>
      <w:jc w:val="center"/>
    </w:pPr>
    <w:rPr>
      <w:i/>
      <w:iCs/>
      <w:color w:val="404040" w:themeColor="text1" w:themeTint="BF"/>
    </w:rPr>
  </w:style>
  <w:style w:type="character" w:customStyle="1" w:styleId="QuoteChar">
    <w:name w:val="Quote Char"/>
    <w:basedOn w:val="DefaultParagraphFont"/>
    <w:link w:val="Quote"/>
    <w:uiPriority w:val="29"/>
    <w:rsid w:val="00B844F0"/>
    <w:rPr>
      <w:i/>
      <w:iCs/>
      <w:color w:val="404040" w:themeColor="text1" w:themeTint="BF"/>
    </w:rPr>
  </w:style>
  <w:style w:type="paragraph" w:styleId="ListParagraph">
    <w:name w:val="List Paragraph"/>
    <w:basedOn w:val="Normal"/>
    <w:uiPriority w:val="34"/>
    <w:qFormat/>
    <w:rsid w:val="00B844F0"/>
    <w:pPr>
      <w:ind w:left="720"/>
      <w:contextualSpacing/>
    </w:pPr>
  </w:style>
  <w:style w:type="character" w:styleId="IntenseEmphasis">
    <w:name w:val="Intense Emphasis"/>
    <w:basedOn w:val="DefaultParagraphFont"/>
    <w:uiPriority w:val="21"/>
    <w:qFormat/>
    <w:rsid w:val="00B844F0"/>
    <w:rPr>
      <w:i/>
      <w:iCs/>
      <w:color w:val="0F4761" w:themeColor="accent1" w:themeShade="BF"/>
    </w:rPr>
  </w:style>
  <w:style w:type="paragraph" w:styleId="IntenseQuote">
    <w:name w:val="Intense Quote"/>
    <w:basedOn w:val="Normal"/>
    <w:next w:val="Normal"/>
    <w:link w:val="IntenseQuoteChar"/>
    <w:uiPriority w:val="30"/>
    <w:qFormat/>
    <w:rsid w:val="00B8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4F0"/>
    <w:rPr>
      <w:i/>
      <w:iCs/>
      <w:color w:val="0F4761" w:themeColor="accent1" w:themeShade="BF"/>
    </w:rPr>
  </w:style>
  <w:style w:type="character" w:styleId="IntenseReference">
    <w:name w:val="Intense Reference"/>
    <w:basedOn w:val="DefaultParagraphFont"/>
    <w:uiPriority w:val="32"/>
    <w:qFormat/>
    <w:rsid w:val="00B844F0"/>
    <w:rPr>
      <w:b/>
      <w:bCs/>
      <w:smallCaps/>
      <w:color w:val="0F4761" w:themeColor="accent1" w:themeShade="BF"/>
      <w:spacing w:val="5"/>
    </w:rPr>
  </w:style>
  <w:style w:type="paragraph" w:styleId="NormalWeb">
    <w:name w:val="Normal (Web)"/>
    <w:basedOn w:val="Normal"/>
    <w:uiPriority w:val="99"/>
    <w:semiHidden/>
    <w:unhideWhenUsed/>
    <w:rsid w:val="00B844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utton-container">
    <w:name w:val="button-container"/>
    <w:basedOn w:val="DefaultParagraphFont"/>
    <w:rsid w:val="00B844F0"/>
  </w:style>
  <w:style w:type="character" w:styleId="Strong">
    <w:name w:val="Strong"/>
    <w:basedOn w:val="DefaultParagraphFont"/>
    <w:uiPriority w:val="22"/>
    <w:qFormat/>
    <w:rsid w:val="00B844F0"/>
    <w:rPr>
      <w:b/>
      <w:bCs/>
    </w:rPr>
  </w:style>
  <w:style w:type="character" w:customStyle="1" w:styleId="instructurefileholder">
    <w:name w:val="instructure_file_holder"/>
    <w:basedOn w:val="DefaultParagraphFont"/>
    <w:rsid w:val="00B844F0"/>
  </w:style>
  <w:style w:type="character" w:styleId="Hyperlink">
    <w:name w:val="Hyperlink"/>
    <w:basedOn w:val="DefaultParagraphFont"/>
    <w:uiPriority w:val="99"/>
    <w:semiHidden/>
    <w:unhideWhenUsed/>
    <w:rsid w:val="00B844F0"/>
    <w:rPr>
      <w:color w:val="0000FF"/>
      <w:u w:val="single"/>
    </w:rPr>
  </w:style>
  <w:style w:type="character" w:customStyle="1" w:styleId="screenreader-only">
    <w:name w:val="screenreader-only"/>
    <w:basedOn w:val="DefaultParagraphFont"/>
    <w:rsid w:val="00B844F0"/>
  </w:style>
  <w:style w:type="character" w:customStyle="1" w:styleId="rsbtnbtnlabel">
    <w:name w:val="rsbtn_btnlabel"/>
    <w:basedOn w:val="DefaultParagraphFont"/>
    <w:rsid w:val="00B844F0"/>
  </w:style>
  <w:style w:type="character" w:customStyle="1" w:styleId="citation-159">
    <w:name w:val="citation-159"/>
    <w:basedOn w:val="DefaultParagraphFont"/>
    <w:rsid w:val="00B844F0"/>
  </w:style>
  <w:style w:type="character" w:customStyle="1" w:styleId="citation-158">
    <w:name w:val="citation-158"/>
    <w:basedOn w:val="DefaultParagraphFont"/>
    <w:rsid w:val="00B844F0"/>
  </w:style>
  <w:style w:type="character" w:customStyle="1" w:styleId="citation-157">
    <w:name w:val="citation-157"/>
    <w:basedOn w:val="DefaultParagraphFont"/>
    <w:rsid w:val="00B844F0"/>
  </w:style>
  <w:style w:type="paragraph" w:styleId="Header">
    <w:name w:val="header"/>
    <w:basedOn w:val="Normal"/>
    <w:link w:val="HeaderChar"/>
    <w:uiPriority w:val="99"/>
    <w:unhideWhenUsed/>
    <w:rsid w:val="00B84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psala.instructure.com/courses/109145/files/9462030?wrap=1" TargetMode="External"/><Relationship Id="rId13" Type="http://schemas.openxmlformats.org/officeDocument/2006/relationships/hyperlink" Target="https://kilthub.cmu.edu/articles/dataset/eVTOL_Battery_Dataset/14226830" TargetMode="External"/><Relationship Id="rId18" Type="http://schemas.openxmlformats.org/officeDocument/2006/relationships/hyperlink" Target="https://calce.umd.edu/battery-data"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calce.umd.edu/battery-data" TargetMode="External"/><Relationship Id="rId12" Type="http://schemas.openxmlformats.org/officeDocument/2006/relationships/hyperlink" Target="https://www.kaggle.com/datasets/ziya07/li-s-battery-thermal-failure-dataset" TargetMode="External"/><Relationship Id="rId17" Type="http://schemas.openxmlformats.org/officeDocument/2006/relationships/hyperlink" Target="https://data.nasa.gov/dataset/randomized-and-recommissioned-battery-dataset/resource/cdea0a46-2c8d-4192-bbe7-8fbebfcfdb31" TargetMode="External"/><Relationship Id="rId2" Type="http://schemas.openxmlformats.org/officeDocument/2006/relationships/styles" Target="styles.xml"/><Relationship Id="rId16" Type="http://schemas.openxmlformats.org/officeDocument/2006/relationships/hyperlink" Target="https://www.nrel.gov/transportation/battery-failur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patrickfleith/nasa-randomized-battery-usage-dataset" TargetMode="External"/><Relationship Id="rId5" Type="http://schemas.openxmlformats.org/officeDocument/2006/relationships/footnotes" Target="footnotes.xml"/><Relationship Id="rId15" Type="http://schemas.openxmlformats.org/officeDocument/2006/relationships/hyperlink" Target="https://zenodo.org/records/7244939" TargetMode="External"/><Relationship Id="rId23" Type="http://schemas.openxmlformats.org/officeDocument/2006/relationships/theme" Target="theme/theme1.xml"/><Relationship Id="rId10" Type="http://schemas.openxmlformats.org/officeDocument/2006/relationships/hyperlink" Target="https://docreader.readspeaker.com/docreader/?cid=4462&amp;lang=en_uk&amp;url=https%3A%2F%2Finst-fs-dub-prod.inscloudgate.net%2Ffiles%2Fe63aef8a-741b-4194-97fc-6bc2fa0295be%2FPanasonic_18650PF.zip%3Ftoken%3DeyJ0eXAiOiJKV1QiLCJhbGciOiJIUzUxMiJ9.eyJpYXQiOjE3OTE1OTc2NjYsInVzZXJfaWQiOm51bGwsInJlc291cmNlIjoiL2ZpbGVzL2U2M2FlZjhhLTc0MWItNDE5NC05N2ZjLTZiYzJmYTAyOTViZS9QYW5hc29uaWNfMTg2NTBQRi56aXAiLCJob3N0IjpudWxsLCJqdGkiOiI4MTA5N2Y0YS1lMWM4LTQyYzQtYjU2NC0xYzdhNjI4Yjg4OGMiLCJleHAiOjE3OTE2ODQwNjZ9.8ahmYQhVYbhPazWxLrAVX2coMB1IpZSEsUio-v67z0V5rHefozOExIiVxaPXNAMzWL92T5XAy1Ba_aw2LpY8z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ppsala.instructure.com/courses/109145/files/9462030/download?download_frd=1" TargetMode="External"/><Relationship Id="rId14" Type="http://schemas.openxmlformats.org/officeDocument/2006/relationships/hyperlink" Target="https://ieee-dataport.org/documents/time-series-data-battery-energy-storage-syste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13b610e-d3b5-490f-b165-988100e8232a}" enabled="1" method="Standard" siteId="{5a4ba6f9-f531-4f32-9467-398f19e69de4}" contentBits="1"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Sourasekhar Banerjee</dc:creator>
  <cp:keywords/>
  <dc:description/>
  <cp:lastModifiedBy>Sourasekhar Banerjee</cp:lastModifiedBy>
  <cp:revision>1</cp:revision>
  <cp:lastPrinted>2026-10-10T13:15:00Z</cp:lastPrinted>
  <dcterms:created xsi:type="dcterms:W3CDTF">2026-10-10T13:13:00Z</dcterms:created>
  <dcterms:modified xsi:type="dcterms:W3CDTF">2026-10-10T13:17:00Z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fbd5e6b,4d0a4c3f,458a2b97</vt:lpwstr>
  </property>
  <property fmtid="{D5CDD505-2E9C-101B-9397-08002B2CF9AE}" pid="3" name="ClassificationContentMarkingHeaderFontProps">
    <vt:lpwstr>#000000,8,Aptos</vt:lpwstr>
  </property>
  <property fmtid="{D5CDD505-2E9C-101B-9397-08002B2CF9AE}" pid="4" name="ClassificationContentMarkingHeaderText">
    <vt:lpwstr>Begränsad delning</vt:lpwstr>
  </property>
</Properties>
</file>