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A9AC" w14:textId="1622ECD2" w:rsidR="006B46F6" w:rsidRDefault="001A0E2B">
      <w:hyperlink r:id="rId4" w:history="1">
        <w:r w:rsidRPr="00B23A61">
          <w:rPr>
            <w:rStyle w:val="Hyperlink"/>
          </w:rPr>
          <w:t>https://www.architectureplusdesign.in/ad-exclusives/top50-essentia-environments-shapes-cohesive-spaces-end-design-approach/</w:t>
        </w:r>
      </w:hyperlink>
    </w:p>
    <w:p w14:paraId="20BFDDFC" w14:textId="77777777" w:rsidR="001A0E2B" w:rsidRDefault="001A0E2B"/>
    <w:sectPr w:rsidR="001A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B5"/>
    <w:rsid w:val="00071702"/>
    <w:rsid w:val="001A0E2B"/>
    <w:rsid w:val="00593A88"/>
    <w:rsid w:val="006B46F6"/>
    <w:rsid w:val="007B5B30"/>
    <w:rsid w:val="008701B5"/>
    <w:rsid w:val="008B07EE"/>
    <w:rsid w:val="00B0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D90E"/>
  <w15:chartTrackingRefBased/>
  <w15:docId w15:val="{519850F2-DF96-470E-988A-CA96F20A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rchitectureplusdesign.in/ad-exclusives/top50-essentia-environments-shapes-cohesive-spaces-end-design-approa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2026-05-28T08:02:00Z</dcterms:created>
  <dcterms:modified xsi:type="dcterms:W3CDTF">2026-05-28T08:02:00Z</dcterms:modified>
</cp:coreProperties>
</file>