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8"/>
        </w:rPr>
        <w:t>Flow Health Checker</w:t>
      </w:r>
    </w:p>
    <w:p>
      <w:pPr>
        <w:spacing w:after="320"/>
      </w:pPr>
      <w:r>
        <w:rPr>
          <w:rFonts w:ascii="Calibri" w:hAnsi="Calibri"/>
          <w:b/>
          <w:color w:val="0284C7"/>
          <w:sz w:val="26"/>
        </w:rPr>
        <w:t>Solution Architecture, Information Flow, Data Security &amp; Usage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22"/>
              </w:rPr>
              <w:t>📌 Package Profile &amp; Compliance Guarantee</w:t>
              <w:br/>
            </w:r>
            <w:r>
              <w:rPr>
                <w:rFonts w:ascii="Calibri" w:hAnsi="Calibri"/>
                <w:color w:val="334155"/>
                <w:sz w:val="21"/>
              </w:rPr>
              <w:t>Package: Flow Health Checker (Namespace: svfhc) | 2GP Managed Package | API 61.0</w:t>
              <w:br/>
              <w:t>Architecture Guarantee: 100% Native Salesforce Application with ZERO external data egress, zero third-party cloud dependencies, and strict TLS 1.2+ HTTPS loopback callouts.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6"/>
        </w:rPr>
        <w:t>1. Executive Summary &amp; Solution Overview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Flow Health Checker is a 100% native Salesforce Second-Generation Managed Package (2GP) designed to audit, analyze, and score an enterprise organization's active Flows against Salesforce architectural best practices, governor limit hazards, and user experience anti-patterns.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Automated In-Org Metadata Introspection: </w:t>
      </w:r>
      <w:r>
        <w:rPr>
          <w:rFonts w:ascii="Calibri" w:hAnsi="Calibri"/>
          <w:color w:val="334155"/>
          <w:sz w:val="22"/>
        </w:rPr>
        <w:t>Connects directly to the Salesforce Tooling API via internal REST callouts to discover all active FlowDefinition records and fetch deep JSON metadata structures without requiring external servers.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Pluggable Rule Evaluation Engine: </w:t>
      </w:r>
      <w:r>
        <w:rPr>
          <w:rFonts w:ascii="Calibri" w:hAnsi="Calibri"/>
          <w:color w:val="334155"/>
          <w:sz w:val="22"/>
        </w:rPr>
        <w:t>Evaluates active flows across 12 extensible inspection rules executed in Apex and dynamically configured via Custom Metadata Types (Flow_Rule__mdt).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Governor Limit Safe Asynchronous Architecture: </w:t>
      </w:r>
      <w:r>
        <w:rPr>
          <w:rFonts w:ascii="Calibri" w:hAnsi="Calibri"/>
          <w:color w:val="334155"/>
          <w:sz w:val="22"/>
        </w:rPr>
        <w:t>Implements chained Queueable Apex (FlowScanQueueable &amp; FlowScanBatchQueueable) with batch slicing (20 flows per batch) to bypass heap, CPU, and callout limits across enterprise orgs with hundreds of flows.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Rich Lightning Experience UI: </w:t>
      </w:r>
      <w:r>
        <w:rPr>
          <w:rFonts w:ascii="Calibri" w:hAnsi="Calibri"/>
          <w:color w:val="334155"/>
          <w:sz w:val="22"/>
        </w:rPr>
        <w:t>Provides a modern Lightning Web Component (flowHealthChecker) featuring live polling, health scorecards, grouped flow accordions, search/filter controls, and direct deep-links to Salesforce Flow Builder.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6"/>
        </w:rPr>
        <w:t>2. System &amp; Solution Architecture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The solution employs a modern, multi-tier native architecture designed around strict separation of concerns, least-privilege security, and asynchronous scalability.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1E293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1E293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1E293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Security &amp; Functional Role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Presentation Layer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Lightning Web Component (flowHealthChecker)</w:t>
              <w:br/>
              <w:t>Lightning App &amp; Custom Tab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Renders interactive UI, initiates scans via AuraEnabled actions, polls status, and displays grouped violations and health scores.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Controller &amp; Service Layer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FlowHealthCheckerController.cls</w:t>
              <w:br/>
              <w:t>FlowScannerService.cls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Enforces CRUD/FLS pre-flight checks, manages scan lifecycle, coordinates session ID retrieval, and computes weighted health scores.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Metadata Ingestion Layer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FlowMetadataService.cls</w:t>
              <w:br/>
              <w:t>SessionHelper.page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Retrieves API-enabled session tokens, executes HTTPS loopback Tooling API queries, and parses raw Flow JSON into typed FlowWrapper objects.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Rules Engine Layer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IFlowRule.cls</w:t>
              <w:br/>
              <w:t>12 Rule Evaluation Classes</w:t>
              <w:br/>
              <w:t>Flow_Rule__mdt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Executes modular best-practice evaluations in-memory, detecting anti-patterns such as DML in loops, hardcoded IDs/URLs, missing descriptions, etc.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Asynchronous Execution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FlowScanQueueable.cls</w:t>
              <w:br/>
              <w:t>FlowScanBatchQueueable.cls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Processes flows in batch slices of 20 flows per Queueable transaction to ensure fresh governor limits (CPU, heap, and callout limits).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Persistence &amp; Storage Layer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Flow_Scan__c</w:t>
              <w:br/>
              <w:t>Flow_Scan_Result__c</w:t>
              <w:br/>
              <w:t>FHCUninstallHandler.cls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Stores scan header summaries and child violation records natively in the subscriber org; purges all package data upon uninstall.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6"/>
        </w:rPr>
        <w:t>3. Detailed Information Flow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The end-to-end execution lifecycle follows a secure, deterministic sequence from user action to report generation: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1: User Initiation (UI): </w:t>
      </w:r>
      <w:r>
        <w:rPr>
          <w:rFonts w:ascii="Calibri" w:hAnsi="Calibri"/>
          <w:color w:val="334155"/>
          <w:sz w:val="22"/>
        </w:rPr>
        <w:t>The administrator navigates to the Flow Health Checker Lightning App and clicks 'Run Scan'. The LWC invokes the AuraEnabled method FlowScannerService.initiateAsyncScan().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2: Pre-Flight CRUD Authorization: </w:t>
      </w:r>
      <w:r>
        <w:rPr>
          <w:rFonts w:ascii="Calibri" w:hAnsi="Calibri"/>
          <w:color w:val="334155"/>
          <w:sz w:val="22"/>
        </w:rPr>
        <w:t>FlowScannerService validates that the current user has Create permissions on Flow_Scan__c (Schema.sObjectType.Flow_Scan__c.isCreateable()). If not authorized, an AuraHandledException is thrown.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3: Server-Side Session Acquisition: </w:t>
      </w:r>
      <w:r>
        <w:rPr>
          <w:rFonts w:ascii="Calibri" w:hAnsi="Calibri"/>
          <w:color w:val="334155"/>
          <w:sz w:val="22"/>
        </w:rPr>
        <w:t>FlowScannerService calls getApiSessionId(), which executes Page.SessionHelper.getContent().toString() to retrieve an API-enabled session token ({!$Api.Session_ID}) on the server side.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4: Job Enqueueing: </w:t>
      </w:r>
      <w:r>
        <w:rPr>
          <w:rFonts w:ascii="Calibri" w:hAnsi="Calibri"/>
          <w:color w:val="334155"/>
          <w:sz w:val="22"/>
        </w:rPr>
        <w:t>A Flow_Scan__c record is inserted with Status__c = 'Pending'. The initial FlowScanQueueable worker is enqueued with the scan ID and the in-memory session token.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5: Flow Definition Discovery: </w:t>
      </w:r>
      <w:r>
        <w:rPr>
          <w:rFonts w:ascii="Calibri" w:hAnsi="Calibri"/>
          <w:color w:val="334155"/>
          <w:sz w:val="22"/>
        </w:rPr>
        <w:t>FlowScanQueueable invokes FlowMetadataService.fetchFlowDefinitions() via Tooling API query (SELECT Id, DeveloperName, ActiveVersionId FROM FlowDefinition WHERE ActiveVersionId != null).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6: Batch Slicing &amp; Chaining: </w:t>
      </w:r>
      <w:r>
        <w:rPr>
          <w:rFonts w:ascii="Calibri" w:hAnsi="Calibri"/>
          <w:color w:val="334155"/>
          <w:sz w:val="22"/>
        </w:rPr>
        <w:t>Flows are partitioned into batches of 20. The first 20 flows are processed immediately. If more flows exist, a chained FlowScanBatchQueueable is enqueued with remaining items.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7: Deep Flow Metadata Retrieval &amp; Parsing: </w:t>
      </w:r>
      <w:r>
        <w:rPr>
          <w:rFonts w:ascii="Calibri" w:hAnsi="Calibri"/>
          <w:color w:val="334155"/>
          <w:sz w:val="22"/>
        </w:rPr>
        <w:t>For each flow, an HTTP GET callout retrieves the full Flow JSON metadata from /services/data/v61.0/tooling/sobjects/Flow/{ActiveVersionId}. The JSON is parsed into typed FlowWrapper object models.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8: Rules Engine Execution: </w:t>
      </w:r>
      <w:r>
        <w:rPr>
          <w:rFonts w:ascii="Calibri" w:hAnsi="Calibri"/>
          <w:color w:val="334155"/>
          <w:sz w:val="22"/>
        </w:rPr>
        <w:t>FlowScannerService.loadRules() loads active rules from Flow_Rule__mdt. Each rule evaluates the flow in-memory and accumulates RuleViolation objects.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9: Score Calculation &amp; Data Persistence: </w:t>
      </w:r>
      <w:r>
        <w:rPr>
          <w:rFonts w:ascii="Calibri" w:hAnsi="Calibri"/>
          <w:color w:val="334155"/>
          <w:sz w:val="22"/>
        </w:rPr>
        <w:t>The final queueable worker calculates the org Health Score (0-100) using a weighted formula (60% error weight, 20% warning weight), updates the Flow_Scan__c header, inserts Flow_Scan_Result__c records, and sets Status__c = 'Complete'.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10: Client Polling &amp; Rendering: </w:t>
      </w:r>
      <w:r>
        <w:rPr>
          <w:rFonts w:ascii="Calibri" w:hAnsi="Calibri"/>
          <w:color w:val="334155"/>
          <w:sz w:val="22"/>
        </w:rPr>
        <w:t>The LWC polling loop (polling every 3 seconds) detects Status__c = 'Complete', calls FlowHealthCheckerController.getScanResults(scanId), and renders the interactive dashboard.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6"/>
        </w:rPr>
        <w:t>4. Authentication &amp; Identity Management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Authentication is handled natively on the server side using the subscriber org's own platform security context: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Server-Side Visualforce Session Helper: </w:t>
      </w:r>
      <w:r>
        <w:rPr>
          <w:rFonts w:ascii="Calibri" w:hAnsi="Calibri"/>
          <w:color w:val="334155"/>
          <w:sz w:val="22"/>
        </w:rPr>
        <w:t>Lightning Experience UI session tokens (UserInfo.getSessionId()) are intentionally restricted by Salesforce from calling the REST Tooling API. Flow Health Checker uses SessionHelper.page ({!$Api.Session_ID}) via PageReference.getContent() to obtain an API-enabled session token entirely on the server side.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Volatile In-Memory Lifecycle: </w:t>
      </w:r>
      <w:r>
        <w:rPr>
          <w:rFonts w:ascii="Calibri" w:hAnsi="Calibri"/>
          <w:color w:val="334155"/>
          <w:sz w:val="22"/>
        </w:rPr>
        <w:t>The retrieved session token is passed strictly in-memory between Apex Queueable constructors. It is never persisted in database tables, custom settings, cookies, browser local storage, or log messages.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Zero Client-Side Exposure: </w:t>
      </w:r>
      <w:r>
        <w:rPr>
          <w:rFonts w:ascii="Calibri" w:hAnsi="Calibri"/>
          <w:color w:val="334155"/>
          <w:sz w:val="22"/>
        </w:rPr>
        <w:t>The session token is never returned to the Lightning Web Component JavaScript layer or exposed via AuraEnabled return values.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Enterprise Named Credential Support: </w:t>
      </w:r>
      <w:r>
        <w:rPr>
          <w:rFonts w:ascii="Calibri" w:hAnsi="Calibri"/>
          <w:color w:val="334155"/>
          <w:sz w:val="22"/>
        </w:rPr>
        <w:t>Enterprises requiring explicit callout management can configure a Named Credential (callout:FlowHealthToolingApi). FlowMetadataService automatically uses the Named Credential when configured.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Role-Based Access Control: </w:t>
      </w:r>
      <w:r>
        <w:rPr>
          <w:rFonts w:ascii="Calibri" w:hAnsi="Calibri"/>
          <w:color w:val="334155"/>
          <w:sz w:val="22"/>
        </w:rPr>
        <w:t>The package provides two distinct Permission Sets (FHC_Admin for full scan execution and rule management; FHC_Viewer for read-only audit review).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6"/>
        </w:rPr>
        <w:t>5. Encryption on Data Transfer &amp; Network Security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Data transfer security and endpoint protections adhere to strict enterprise standards: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100% In-Transit Encryption (TLS 1.2+ HTTPS): </w:t>
      </w:r>
      <w:r>
        <w:rPr>
          <w:rFonts w:ascii="Calibri" w:hAnsi="Calibri"/>
          <w:color w:val="334155"/>
          <w:sz w:val="22"/>
        </w:rPr>
        <w:t>All HTTP callouts are encrypted in-transit using TLS 1.2+ HTTPS. Callouts are constructed using URL.getOrgDomainUrl().toExternalForm(), ensuring encrypted communication with the org's own MyDomain endpoint.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Server-Side Request Forgery (SSRF) Whitelisting: </w:t>
      </w:r>
      <w:r>
        <w:rPr>
          <w:rFonts w:ascii="Calibri" w:hAnsi="Calibri"/>
          <w:color w:val="334155"/>
          <w:sz w:val="22"/>
        </w:rPr>
        <w:t>FlowMetadataService validates that the destination URL strictly contains .salesforce.com or .force.com before making any callout, completely blocking arbitrary external hostnames.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Zero External Data Egress: </w:t>
      </w:r>
      <w:r>
        <w:rPr>
          <w:rFonts w:ascii="Calibri" w:hAnsi="Calibri"/>
          <w:color w:val="334155"/>
          <w:sz w:val="22"/>
        </w:rPr>
        <w:t>The application makes zero callouts to external third-party servers, external cloud platforms, or remote analytics trackers. All data remains 100% inside the customer's Salesforce instance.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At-Rest Data Encryption: </w:t>
      </w:r>
      <w:r>
        <w:rPr>
          <w:rFonts w:ascii="Calibri" w:hAnsi="Calibri"/>
          <w:color w:val="334155"/>
          <w:sz w:val="22"/>
        </w:rPr>
        <w:t>Scan results and header records stored in Flow_Scan__c and Flow_Scan_Result__c inherit Salesforce native storage encryption and are fully compatible with Salesforce Shield Platform Encryption.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6"/>
        </w:rPr>
        <w:t>6. Data Touchpoints &amp; Schema Model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The solution interacts with a well-defined set of metadata and data touchpoints: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1E293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Touchpoint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1E293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1E293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Access Mode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1E293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Data Handled &amp; Purpose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FlowDefinition &amp; Flow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Platform Tooling API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Read-Only (HTTPS)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Inspects active Flow definitions, elements, connector targets, loops, screen fields, and fault paths.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Flow_Scan__c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Custom Object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Read / Create / Edit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Stores scan metadata: scan date, status, health score, total flows scanned, total violations, error/warning counts, and error messages.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Flow_Scan_Result__c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Custom Object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Read / Create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Stores individual rule violations: flow API name, rule name, severity, element name, description, and flow definition ID.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Flow_Rule__mdt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Custom Metadata 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Read-Only (SOQL)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9"/>
              </w:rPr>
              <w:t>Defines the catalog of inspection rules: rule type, severity, active flag, and rule descriptions.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6"/>
        </w:rPr>
        <w:t>7. Basic Usage &amp; Administrator Instructions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The following step-by-step instructions guide administrators and auditors through installing, configuring, and operating Flow Health Checker: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28"/>
        </w:rPr>
        <w:t>Step 1: Installation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Install the managed package into your Salesforce environment using the AppExchange listing link or via Salesforce CLI: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64748B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22"/>
              </w:rPr>
              <w:t>📌 CLI Installation Command</w:t>
              <w:br/>
            </w:r>
            <w:r>
              <w:rPr>
                <w:rFonts w:ascii="Calibri" w:hAnsi="Calibri"/>
                <w:color w:val="334155"/>
                <w:sz w:val="21"/>
              </w:rPr>
              <w:t>sf package install --package "04tdL000000o6obQAA" --wait 10 --target-org &lt;target-org-alias&gt;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28"/>
        </w:rPr>
        <w:t>Step 2: Assigning Permission Sets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2"/>
        </w:rPr>
        <w:t>The post-install script automatically assigns the FHC_Admin permission set to the installing user. To grant access to other administrators or auditors: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For Administrators (Run Scans &amp; View History): </w:t>
      </w:r>
      <w:r>
        <w:rPr>
          <w:rFonts w:ascii="Calibri" w:hAnsi="Calibri"/>
          <w:color w:val="334155"/>
          <w:sz w:val="22"/>
        </w:rPr>
        <w:t>Assign the 'Flow Health Checker Admin' (FHC_Admin) permission set.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For Auditors &amp; QA (Read-Only Access): </w:t>
      </w:r>
      <w:r>
        <w:rPr>
          <w:rFonts w:ascii="Calibri" w:hAnsi="Calibri"/>
          <w:color w:val="334155"/>
          <w:sz w:val="22"/>
        </w:rPr>
        <w:t>Assign the 'Flow Health Checker Viewer' (FHC_Viewer) permission set.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28"/>
        </w:rPr>
        <w:t>Step 3: Launching the Application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1. </w:t>
      </w:r>
      <w:r>
        <w:rPr>
          <w:rFonts w:ascii="Calibri" w:hAnsi="Calibri"/>
          <w:color w:val="334155"/>
          <w:sz w:val="22"/>
        </w:rPr>
        <w:t>Open the Salesforce App Launcher (waffle icon in top-left).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2. </w:t>
      </w:r>
      <w:r>
        <w:rPr>
          <w:rFonts w:ascii="Calibri" w:hAnsi="Calibri"/>
          <w:color w:val="334155"/>
          <w:sz w:val="22"/>
        </w:rPr>
        <w:t>Search for and select 'Flow Health Checker'.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3. </w:t>
      </w:r>
      <w:r>
        <w:rPr>
          <w:rFonts w:ascii="Calibri" w:hAnsi="Calibri"/>
          <w:color w:val="334155"/>
          <w:sz w:val="22"/>
        </w:rPr>
        <w:t>The Flow Health Checker dashboard will load with summary scorecards and scan controls.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28"/>
        </w:rPr>
        <w:t>Step 4: Running a Flow Health Scan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1. </w:t>
      </w:r>
      <w:r>
        <w:rPr>
          <w:rFonts w:ascii="Calibri" w:hAnsi="Calibri"/>
          <w:color w:val="334155"/>
          <w:sz w:val="22"/>
        </w:rPr>
        <w:t>Click the '▶ Run Scan' button in the upper right header.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2. </w:t>
      </w:r>
      <w:r>
        <w:rPr>
          <w:rFonts w:ascii="Calibri" w:hAnsi="Calibri"/>
          <w:color w:val="334155"/>
          <w:sz w:val="22"/>
        </w:rPr>
        <w:t>The button will transition to 'Scanning…' while the asynchronous Queueable jobs process your org's active flows.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3. </w:t>
      </w:r>
      <w:r>
        <w:rPr>
          <w:rFonts w:ascii="Calibri" w:hAnsi="Calibri"/>
          <w:color w:val="334155"/>
          <w:sz w:val="22"/>
        </w:rPr>
        <w:t>Upon completion (typically 5 to 20 seconds), the dashboard automatically updates with the new Health Score and violation breakdown.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28"/>
        </w:rPr>
        <w:t>Step 5: Reviewing Violations &amp; Deep-Linking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Summary Cards: </w:t>
      </w:r>
      <w:r>
        <w:rPr>
          <w:rFonts w:ascii="Calibri" w:hAnsi="Calibri"/>
          <w:color w:val="334155"/>
          <w:sz w:val="22"/>
        </w:rPr>
        <w:t>Review overall Health Score (0-100), Flows Scanned, Errors, Warnings, and Affected Flows.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Severity Filter: </w:t>
      </w:r>
      <w:r>
        <w:rPr>
          <w:rFonts w:ascii="Calibri" w:hAnsi="Calibri"/>
          <w:color w:val="334155"/>
          <w:sz w:val="22"/>
        </w:rPr>
        <w:t>Click 'All', 'Errors (🔴)', 'Warnings (🟡)', or 'Info (🔵)' to isolate specific violation categories.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Grouped Accordions: </w:t>
      </w:r>
      <w:r>
        <w:rPr>
          <w:rFonts w:ascii="Calibri" w:hAnsi="Calibri"/>
          <w:color w:val="334155"/>
          <w:sz w:val="22"/>
        </w:rPr>
        <w:t>Click any Flow API Name accordion to expand and view detailed element-level violation descriptions.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Open in Flow Builder: </w:t>
      </w:r>
      <w:r>
        <w:rPr>
          <w:rFonts w:ascii="Calibri" w:hAnsi="Calibri"/>
          <w:color w:val="334155"/>
          <w:sz w:val="22"/>
        </w:rPr>
        <w:t>Click the '↗ Open Flow' button next to any flow to open the Salesforce Flow Builder directly in a new browser tab for immediate remediation.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28"/>
        </w:rPr>
        <w:t>Step 6: Viewing Rules &amp; Scan History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View Rules: </w:t>
      </w:r>
      <w:r>
        <w:rPr>
          <w:rFonts w:ascii="Calibri" w:hAnsi="Calibri"/>
          <w:color w:val="334155"/>
          <w:sz w:val="22"/>
        </w:rPr>
        <w:t>Click '📋 View Rules' in the header to view descriptions, severities, and best-practice rationales for all 12 active rules.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Scan History &amp; Trends: </w:t>
      </w:r>
      <w:r>
        <w:rPr>
          <w:rFonts w:ascii="Calibri" w:hAnsi="Calibri"/>
          <w:color w:val="334155"/>
          <w:sz w:val="22"/>
        </w:rPr>
        <w:t>Click '📈 History' to view the historical trend chart and past scan records.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