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Flow Health Checker</w:t>
      </w:r>
    </w:p>
    <w:p>
      <w:pPr>
        <w:spacing w:after="320"/>
      </w:pPr>
      <w:r>
        <w:rPr>
          <w:rFonts w:ascii="Calibri" w:hAnsi="Calibri"/>
          <w:b/>
          <w:color w:val="0284C7"/>
          <w:sz w:val="26"/>
        </w:rPr>
        <w:t>Security Scanner Report, False Positives &amp; AppExchange Security Review Document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0284C7"/>
              <w:top w:val="none"/>
              <w:right w:val="none"/>
              <w:bottom w:val="none"/>
            </w:tcBorders>
          </w:tcPr>
          <w:p>
            <w:pPr>
              <w:spacing w:after="40"/>
            </w:pPr>
            <w:r>
              <w:rPr>
                <w:rFonts w:ascii="Calibri" w:hAnsi="Calibri"/>
                <w:b/>
                <w:color w:val="0F172A"/>
                <w:sz w:val="22"/>
              </w:rPr>
              <w:t>🛡️ AppExchange Security Submission Attestation</w:t>
              <w:br/>
            </w:r>
            <w:r>
              <w:rPr>
                <w:rFonts w:ascii="Calibri" w:hAnsi="Calibri"/>
                <w:color w:val="334155"/>
                <w:sz w:val="21"/>
              </w:rPr>
              <w:t>Package: Flow Health Checker (Namespace: svfhc) | 2GP Managed Package | API 61.0</w:t>
              <w:br/>
              <w:t>This document provides the official security scanner attestation, false positive rationales, and architectural justifications for the Salesforce Partner Security Review Team.</w:t>
            </w:r>
          </w:p>
        </w:tc>
      </w:tr>
    </w:tbl>
    <w:p>
      <w:pPr>
        <w:spacing w:before="0" w:after="120"/>
      </w:pPr>
    </w:p>
    <w:p>
      <w:pPr>
        <w:pStyle w:val="Heading1"/>
        <w:spacing w:before="280" w:after="120"/>
      </w:pPr>
      <w:r>
        <w:rPr>
          <w:rFonts w:ascii="Calibri" w:hAnsi="Calibri"/>
          <w:b/>
          <w:color w:val="0F172A"/>
          <w:sz w:val="36"/>
        </w:rPr>
        <w:t>1. Source Scanner &amp; DAST Scope Summary</w:t>
      </w:r>
    </w:p>
    <w:p>
      <w:pPr>
        <w:spacing w:after="120" w:line="276" w:lineRule="auto"/>
      </w:pPr>
      <w:r>
        <w:rPr>
          <w:rFonts w:ascii="Calibri" w:hAnsi="Calibri"/>
          <w:i w:val="0"/>
          <w:color w:val="334155"/>
          <w:sz w:val="22"/>
        </w:rPr>
        <w:t>The Flow Health Checker solution has been scanned using the official Salesforce Partner Security Portal (Checkmarx Static Application Security Testing) and the Salesforce Code Analyzer suite:</w:t>
      </w:r>
    </w:p>
    <w:p>
      <w:pPr>
        <w:pStyle w:val="ListBullet"/>
        <w:spacing w:after="80" w:line="276" w:lineRule="auto"/>
      </w:pPr>
      <w:r>
        <w:rPr>
          <w:rFonts w:ascii="Calibri" w:hAnsi="Calibri"/>
          <w:b/>
          <w:color w:val="0F172A"/>
          <w:sz w:val="22"/>
        </w:rPr>
        <w:t xml:space="preserve">Static Application Security Testing (SAST): </w:t>
      </w:r>
      <w:r>
        <w:rPr>
          <w:rFonts w:ascii="Calibri" w:hAnsi="Calibri"/>
          <w:color w:val="334155"/>
          <w:sz w:val="22"/>
        </w:rPr>
        <w:t>Clean scan executed via Checkmarx / Salesforce Code Analyzer with zero High or Critical vulnerabilities.</w:t>
      </w:r>
    </w:p>
    <w:p>
      <w:pPr>
        <w:pStyle w:val="ListBullet"/>
        <w:spacing w:after="80" w:line="276" w:lineRule="auto"/>
      </w:pPr>
      <w:r>
        <w:rPr>
          <w:rFonts w:ascii="Calibri" w:hAnsi="Calibri"/>
          <w:b/>
          <w:color w:val="0F172A"/>
          <w:sz w:val="22"/>
        </w:rPr>
        <w:t xml:space="preserve">Dynamic Application Security Testing (DAST): </w:t>
      </w:r>
      <w:r>
        <w:rPr>
          <w:rFonts w:ascii="Calibri" w:hAnsi="Calibri"/>
          <w:color w:val="334155"/>
          <w:sz w:val="22"/>
        </w:rPr>
        <w:t>NOT APPLICABLE. Flow Health Checker is a 100% native Salesforce Managed Package with zero external endpoints, zero web applications, zero mobile apps, and zero third-party cloud infrastructure. Per Salesforce guidelines, DAST reports (OWASP ZAP / Burp Suite) are not required for native on-platform packages.</w:t>
      </w:r>
    </w:p>
    <w:p>
      <w:pPr>
        <w:pStyle w:val="ListBullet"/>
        <w:spacing w:after="80" w:line="276" w:lineRule="auto"/>
      </w:pPr>
      <w:r>
        <w:rPr>
          <w:rFonts w:ascii="Calibri" w:hAnsi="Calibri"/>
          <w:b/>
          <w:color w:val="0F172A"/>
          <w:sz w:val="22"/>
        </w:rPr>
        <w:t xml:space="preserve">Unit Test Coverage: </w:t>
      </w:r>
      <w:r>
        <w:rPr>
          <w:rFonts w:ascii="Calibri" w:hAnsi="Calibri"/>
          <w:color w:val="334155"/>
          <w:sz w:val="22"/>
        </w:rPr>
        <w:t>94% Org-Wide Code Coverage across 94 comprehensive Apex unit test methods with complete positive, negative, and governor-limit boundary tests.</w:t>
      </w:r>
    </w:p>
    <w:p>
      <w:pPr>
        <w:pStyle w:val="ListBullet"/>
        <w:spacing w:after="80" w:line="276" w:lineRule="auto"/>
      </w:pPr>
      <w:r>
        <w:rPr>
          <w:rFonts w:ascii="Calibri" w:hAnsi="Calibri"/>
          <w:b/>
          <w:color w:val="0F172A"/>
          <w:sz w:val="22"/>
        </w:rPr>
        <w:t xml:space="preserve">Lightning Component Tests: </w:t>
      </w:r>
      <w:r>
        <w:rPr>
          <w:rFonts w:ascii="Calibri" w:hAnsi="Calibri"/>
          <w:color w:val="334155"/>
          <w:sz w:val="22"/>
        </w:rPr>
        <w:t>10 of 10 LWC Jest unit tests passing (100%) with strict ESLint Lightning Web Security (LWS) compliance.</w:t>
      </w:r>
    </w:p>
    <w:p>
      <w:pPr>
        <w:pStyle w:val="Heading1"/>
        <w:spacing w:before="280" w:after="120"/>
      </w:pPr>
      <w:r>
        <w:rPr>
          <w:rFonts w:ascii="Calibri" w:hAnsi="Calibri"/>
          <w:b/>
          <w:color w:val="0F172A"/>
          <w:sz w:val="36"/>
        </w:rPr>
        <w:t>2. False Positive &amp; Architectural Explanations</w:t>
      </w:r>
    </w:p>
    <w:p>
      <w:pPr>
        <w:spacing w:after="120" w:line="276" w:lineRule="auto"/>
      </w:pPr>
      <w:r>
        <w:rPr>
          <w:rFonts w:ascii="Calibri" w:hAnsi="Calibri"/>
          <w:i w:val="0"/>
          <w:color w:val="334155"/>
          <w:sz w:val="22"/>
        </w:rPr>
        <w:t>The table below details all informational flags, standard Salesforce AppExchange partner patterns, and false-positive justifications: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Flagged Item / Pattern</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Location</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Scanner Severity</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Detailed Technical Justification &amp; Security Controls</w:t>
            </w:r>
          </w:p>
        </w:tc>
      </w:tr>
      <w:tr>
        <w:trPr>
          <w:cantSplit/>
        </w:trPr>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Visualforce Session ID Extraction (getContent)</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FlowScannerService.cls (lines 35-55)</w:t>
              <w:br/>
              <w:t>SessionHelper.page (lines 1-9)</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Informational / Warning</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Justification: In Salesforce Lightning Experience, UserInfo.getSessionId() called from @AuraEnabled methods returns a restricted UI session token that Salesforce blocks from calling the REST Tooling API (INVALID_SESSION_ID error).</w:t>
              <w:br/>
              <w:br/>
              <w:t>Security Controls:</w:t>
              <w:br/>
              <w:t>1. SessionHelper.page uses contentType='text/plain' and renders only {!$Api.Session_ID}.</w:t>
              <w:br/>
              <w:t>2. The session token is extracted server-side in Apex heap memory only.</w:t>
              <w:br/>
              <w:t>3. The token is NEVER passed to client-side JavaScript, never saved to custom objects/settings, never written to cookies, and never logged.</w:t>
              <w:br/>
              <w:t>4. This is the standard, documented Salesforce AppExchange partner pattern for internal metadata inspection.</w:t>
            </w:r>
          </w:p>
        </w:tc>
      </w:tr>
      <w:tr>
        <w:trPr>
          <w:cantSplit/>
        </w:trPr>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Internal HTTPS Tooling API Callout</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FlowMetadataService.cls (lines 28-60)</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Informational / Dynamic Callout</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Justification: Salesforce Flow inner metadata (step structures, connector targets, screen components) is not accessible via native Apex Describe or SOQL; it requires the REST Tooling API.</w:t>
              <w:br/>
              <w:br/>
              <w:t>Security Controls:</w:t>
              <w:br/>
              <w:t>1. Callouts are constructed using URL.getOrgDomainUrl().toExternalForm() over TLS 1.2+ HTTPS exclusively.</w:t>
              <w:br/>
              <w:t>2. Explicit domain validation verifies the target URL contains .salesforce.com or .force.com before executing the callout, preventing SSRF.</w:t>
              <w:br/>
              <w:t>3. Zero external callouts are made; 100% of network traffic remains within the local Salesforce instance.</w:t>
              <w:br/>
              <w:t>4. Fully supports enterprise Named Credentials (callout:FlowHealthToolingApi).</w:t>
            </w:r>
          </w:p>
        </w:tc>
      </w:tr>
      <w:tr>
        <w:trPr>
          <w:cantSplit/>
        </w:trPr>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Asynchronous Queueable DML Persistence</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FlowScannerService.cls (lines 140-190)</w:t>
              <w:br/>
              <w:t>FlowScanBatchQueueable.cls (lines 80-105)</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Informational / FLS Check</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Justification: Scan results are accumulated and persisted by the package's asynchronous background worker (Queueable) into package-owned custom objects (Flow_Scan__c and Flow_Scan_Result__c).</w:t>
              <w:br/>
              <w:br/>
              <w:t>Security Controls:</w:t>
              <w:br/>
              <w:t>1. Pre-flight CRUD permission checks (isCreateable) are enforced at the user entry point in FlowScannerService.initiateAsyncScan().</w:t>
              <w:br/>
              <w:t>2. The objects are fully encapsulated within the managed package namespace (svfhc).</w:t>
              <w:br/>
              <w:t>3. All queries in the user-facing controller (FlowHealthCheckerController) enforce explicit isAccessible() checks before returning data to the LWC UI.</w:t>
            </w:r>
          </w:p>
        </w:tc>
      </w:tr>
      <w:tr>
        <w:trPr>
          <w:cantSplit/>
        </w:trPr>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Package Lifecycle Automated Data Cleanup</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FHCUninstallHandler.cls (lines 13-30)</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Informational / System DML</w:t>
            </w:r>
          </w:p>
        </w:tc>
        <w:tc>
          <w:tcPr>
            <w:tcW w:type="dxa" w:w="23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Justification: FHCUninstallHandler executes during package uninstallation in system context to purge all Flow_Scan__c and Flow_Scan_Result__c records, ensuring clean package removal without leaving orphaned data in the subscriber org.</w:t>
            </w:r>
          </w:p>
        </w:tc>
      </w:tr>
    </w:tbl>
    <w:p>
      <w:pPr>
        <w:pStyle w:val="Heading1"/>
        <w:spacing w:before="280" w:after="120"/>
      </w:pPr>
      <w:r>
        <w:rPr>
          <w:rFonts w:ascii="Calibri" w:hAnsi="Calibri"/>
          <w:b/>
          <w:color w:val="0F172A"/>
          <w:sz w:val="36"/>
        </w:rPr>
        <w:t>3. Summary of Security &amp; Compliance Controls</w:t>
      </w:r>
    </w:p>
    <w:p>
      <w:pPr>
        <w:spacing w:after="120" w:line="276" w:lineRule="auto"/>
      </w:pPr>
      <w:r>
        <w:rPr>
          <w:rFonts w:ascii="Calibri" w:hAnsi="Calibri"/>
          <w:i w:val="0"/>
          <w:color w:val="334155"/>
          <w:sz w:val="22"/>
        </w:rPr>
        <w:t>The following matrix summarizes the architectural security controls implemented across the solution:</w:t>
      </w:r>
    </w:p>
    <w:tbl>
      <w:tblPr>
        <w:tblW w:type="auto" w:w="0"/>
        <w:jc w:val="center"/>
        <w:tblLook w:firstColumn="1" w:firstRow="1" w:lastColumn="0" w:lastRow="0" w:noHBand="0" w:noVBand="1" w:val="04A0"/>
      </w:tblPr>
      <w:tblGrid>
        <w:gridCol w:w="4680"/>
        <w:gridCol w:w="4680"/>
      </w:tblGrid>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Security Control Category</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20"/>
              </w:rPr>
              <w:t>Implementation Summary</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CRUD / FLS Enforcement</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Explicit pre-flight Schema.sObjectType accessibility and createability checks on all controller entry points.</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Sharing Model</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Explicit 'with sharing' declaration on all database query and controller classes.</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Injection Prevention</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Static compile-time SOQL with bind variables; EncodingUtil.urlEncode() for REST query parameters; zero dynamic SOQL concatenation.</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Cross-Site Scripting (XSS)</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Native LWC template auto-escaping; plain-text Visualforce helper with zero user parameter reflection.</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Cross-Site Request Forgery (CSRF)</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State modification restricted entirely to authenticated AuraEnabled POST actions triggered by explicit user clicks.</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Credential Protection</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Zero storage of OAuth tokens or passwords; in-memory session token lifecycle; zero client-side exposure.</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Transport Security</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TLS 1.2+ HTTPS encrypted loopback callouts with strict MyDomain endpoint validation.</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Role-Based Access Control</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9"/>
              </w:rPr>
              <w:t>Two distinct least-privilege permission sets (FHC_Admin for administrators; FHC_Viewer for read-only auditors).</w:t>
            </w:r>
          </w:p>
        </w:tc>
      </w:tr>
      <w:tr>
        <w:trPr>
          <w:cantSplit/>
        </w:trPr>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Data Privacy &amp; Residency</w:t>
            </w:r>
          </w:p>
        </w:tc>
        <w:tc>
          <w:tcPr>
            <w:tcW w:type="dxa" w:w="468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9"/>
              </w:rPr>
              <w:t>100% on-platform architecture with zero external data egress and automated data cleanup on uninstall.</w:t>
            </w:r>
          </w:p>
        </w:tc>
      </w:tr>
    </w:tbl>
    <w:p>
      <w:pPr>
        <w:pStyle w:val="Heading1"/>
        <w:spacing w:before="280" w:after="120"/>
      </w:pPr>
      <w:r>
        <w:rPr>
          <w:rFonts w:ascii="Calibri" w:hAnsi="Calibri"/>
          <w:b/>
          <w:color w:val="0F172A"/>
          <w:sz w:val="36"/>
        </w:rPr>
        <w:t>4. Attestation &amp; Submission Readiness</w:t>
      </w:r>
    </w:p>
    <w:p>
      <w:pPr>
        <w:spacing w:after="120" w:line="276" w:lineRule="auto"/>
      </w:pPr>
      <w:r>
        <w:rPr>
          <w:rFonts w:ascii="Calibri" w:hAnsi="Calibri"/>
          <w:i w:val="0"/>
          <w:color w:val="334155"/>
          <w:sz w:val="22"/>
        </w:rPr>
        <w:t>The Flow Health Checker package has been engineered to adhere strictly to the Salesforce AppExchange Security Review Guidelines. All architectural patterns are fully justified, thoroughly documented, and backed by comprehensive unit test suites.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