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7F35F" w14:textId="77777777" w:rsidR="00B45485" w:rsidRDefault="00000000">
      <w:pPr>
        <w:pStyle w:val="Title"/>
      </w:pPr>
      <w:r>
        <w:t>GlycoLens Milestone 1 Progress Report</w:t>
      </w:r>
    </w:p>
    <w:p w14:paraId="52B06A76" w14:textId="77777777" w:rsidR="00B45485" w:rsidRDefault="00000000">
      <w:pPr>
        <w:spacing w:after="240"/>
      </w:pPr>
      <w:r>
        <w:rPr>
          <w:color w:val="5B6573"/>
          <w:sz w:val="26"/>
        </w:rPr>
        <w:t>Technical feasibility, quantified results, and Milestone 2 priorities</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083"/>
        <w:gridCol w:w="5083"/>
      </w:tblGrid>
      <w:tr w:rsidR="00B45485" w14:paraId="037305A1" w14:textId="77777777">
        <w:trPr>
          <w:tblHeader/>
        </w:trPr>
        <w:tc>
          <w:tcPr>
            <w:tcW w:w="5083" w:type="dxa"/>
            <w:shd w:val="clear" w:color="auto" w:fill="FFF2E8"/>
            <w:tcMar>
              <w:top w:w="90" w:type="dxa"/>
              <w:left w:w="110" w:type="dxa"/>
              <w:bottom w:w="90" w:type="dxa"/>
              <w:right w:w="110" w:type="dxa"/>
            </w:tcMar>
            <w:vAlign w:val="center"/>
          </w:tcPr>
          <w:p w14:paraId="54F120E2" w14:textId="77777777" w:rsidR="00B45485" w:rsidRDefault="00000000">
            <w:pPr>
              <w:spacing w:after="0" w:line="252" w:lineRule="auto"/>
            </w:pPr>
            <w:r>
              <w:rPr>
                <w:b/>
                <w:sz w:val="19"/>
              </w:rPr>
              <w:t>Prepared by</w:t>
            </w:r>
          </w:p>
        </w:tc>
        <w:tc>
          <w:tcPr>
            <w:tcW w:w="5083" w:type="dxa"/>
            <w:tcMar>
              <w:top w:w="90" w:type="dxa"/>
              <w:left w:w="110" w:type="dxa"/>
              <w:bottom w:w="90" w:type="dxa"/>
              <w:right w:w="110" w:type="dxa"/>
            </w:tcMar>
            <w:vAlign w:val="center"/>
          </w:tcPr>
          <w:p w14:paraId="41876D25" w14:textId="77777777" w:rsidR="00B45485" w:rsidRDefault="00000000">
            <w:pPr>
              <w:spacing w:after="0" w:line="252" w:lineRule="auto"/>
            </w:pPr>
            <w:r>
              <w:rPr>
                <w:sz w:val="19"/>
              </w:rPr>
              <w:t>Sourav Patil</w:t>
            </w:r>
          </w:p>
        </w:tc>
      </w:tr>
      <w:tr w:rsidR="00B45485" w14:paraId="76A326F3" w14:textId="77777777">
        <w:tc>
          <w:tcPr>
            <w:tcW w:w="5083" w:type="dxa"/>
            <w:shd w:val="clear" w:color="auto" w:fill="FFF2E8"/>
            <w:tcMar>
              <w:top w:w="90" w:type="dxa"/>
              <w:left w:w="110" w:type="dxa"/>
              <w:bottom w:w="90" w:type="dxa"/>
              <w:right w:w="110" w:type="dxa"/>
            </w:tcMar>
            <w:vAlign w:val="center"/>
          </w:tcPr>
          <w:p w14:paraId="6EAB9527" w14:textId="77777777" w:rsidR="00B45485" w:rsidRDefault="00000000">
            <w:pPr>
              <w:spacing w:after="0" w:line="252" w:lineRule="auto"/>
            </w:pPr>
            <w:r>
              <w:rPr>
                <w:b/>
                <w:sz w:val="19"/>
              </w:rPr>
              <w:t>Prepared for</w:t>
            </w:r>
          </w:p>
        </w:tc>
        <w:tc>
          <w:tcPr>
            <w:tcW w:w="5083" w:type="dxa"/>
            <w:tcMar>
              <w:top w:w="90" w:type="dxa"/>
              <w:left w:w="110" w:type="dxa"/>
              <w:bottom w:w="90" w:type="dxa"/>
              <w:right w:w="110" w:type="dxa"/>
            </w:tcMar>
            <w:vAlign w:val="center"/>
          </w:tcPr>
          <w:p w14:paraId="4785E4B1" w14:textId="77777777" w:rsidR="00B45485" w:rsidRDefault="00000000">
            <w:pPr>
              <w:spacing w:after="0" w:line="252" w:lineRule="auto"/>
            </w:pPr>
            <w:r>
              <w:rPr>
                <w:sz w:val="19"/>
              </w:rPr>
              <w:t>Professor Haibo Yang</w:t>
            </w:r>
          </w:p>
        </w:tc>
      </w:tr>
      <w:tr w:rsidR="00B45485" w14:paraId="0D53FC70" w14:textId="77777777">
        <w:tc>
          <w:tcPr>
            <w:tcW w:w="5083" w:type="dxa"/>
            <w:shd w:val="clear" w:color="auto" w:fill="FFF2E8"/>
            <w:tcMar>
              <w:top w:w="90" w:type="dxa"/>
              <w:left w:w="110" w:type="dxa"/>
              <w:bottom w:w="90" w:type="dxa"/>
              <w:right w:w="110" w:type="dxa"/>
            </w:tcMar>
            <w:vAlign w:val="center"/>
          </w:tcPr>
          <w:p w14:paraId="6C1A3182" w14:textId="77777777" w:rsidR="00B45485" w:rsidRDefault="00000000">
            <w:pPr>
              <w:spacing w:after="0" w:line="252" w:lineRule="auto"/>
            </w:pPr>
            <w:r>
              <w:rPr>
                <w:b/>
                <w:sz w:val="19"/>
              </w:rPr>
              <w:t>Date</w:t>
            </w:r>
          </w:p>
        </w:tc>
        <w:tc>
          <w:tcPr>
            <w:tcW w:w="5083" w:type="dxa"/>
            <w:tcMar>
              <w:top w:w="90" w:type="dxa"/>
              <w:left w:w="110" w:type="dxa"/>
              <w:bottom w:w="90" w:type="dxa"/>
              <w:right w:w="110" w:type="dxa"/>
            </w:tcMar>
            <w:vAlign w:val="center"/>
          </w:tcPr>
          <w:p w14:paraId="43EA4488" w14:textId="77777777" w:rsidR="00B45485" w:rsidRDefault="00000000">
            <w:pPr>
              <w:spacing w:after="0" w:line="252" w:lineRule="auto"/>
            </w:pPr>
            <w:r>
              <w:rPr>
                <w:sz w:val="19"/>
              </w:rPr>
              <w:t>October 1, 2026</w:t>
            </w:r>
          </w:p>
        </w:tc>
      </w:tr>
    </w:tbl>
    <w:p w14:paraId="6A07FECC" w14:textId="77777777" w:rsidR="00B45485" w:rsidRDefault="00000000">
      <w:pPr>
        <w:pStyle w:val="Heading1"/>
      </w:pPr>
      <w:r>
        <w:t>Executive Summary</w:t>
      </w:r>
    </w:p>
    <w:p w14:paraId="4FC6B518" w14:textId="77777777" w:rsidR="00B45485" w:rsidRDefault="00000000">
      <w:r>
        <w:t>Milestone 1 is complete as a technical-feasibility milestone. The primary dataset can be converted into leakage-safe meal windows, Chronos-2 can produce a two-hour forecast through the common adapter, the forecast contract can travel through a FastAPI and Next.js application boundary, the local database enforces ownership controls, and the pinned py-mgipsim virtual-patient scenario runs reproducibly.</w:t>
      </w:r>
    </w:p>
    <w:p w14:paraId="151E4385" w14:textId="77777777" w:rsidR="00B45485" w:rsidRDefault="00000000">
      <w:r>
        <w:t>This result establishes readiness for Milestone 2. It does not yet establish forecast accuracy, clinical validity, or treatment usefulness. TimesFM was optional for Milestone 1 and has not been integrated. The next phase must benchmark model quality across participant-aware splits and connect the meal and nutrition workflow to the working forecast interface.</w:t>
      </w:r>
    </w:p>
    <w:p w14:paraId="45110B13" w14:textId="77777777" w:rsidR="00B45485" w:rsidRDefault="00000000">
      <w:pPr>
        <w:pStyle w:val="Heading2"/>
      </w:pPr>
      <w:r>
        <w:t>Project Goal</w:t>
      </w:r>
    </w:p>
    <w:p w14:paraId="39E2B5DD" w14:textId="77777777" w:rsidR="00B45485" w:rsidRDefault="00000000">
      <w:r>
        <w:t>GlycoLens is a mobile-first research application for understanding how a planned or logged meal relates to a two-hour glucose forecast for a person with Type 1 Diabetes. The project evaluates existing pretrained time-series models instead of training a large model from scratch. The application will combine verified meal nutrition, recent CGM and insulin context, model uncertainty, and the user's own meal history.</w:t>
      </w:r>
    </w:p>
    <w:p w14:paraId="4967B095" w14:textId="77777777" w:rsidR="00B45485" w:rsidRDefault="00000000">
      <w:pPr>
        <w:pStyle w:val="Heading2"/>
      </w:pPr>
      <w:r>
        <w:t>Milestone 1 Conclusion</w:t>
      </w:r>
    </w:p>
    <w:p w14:paraId="29EE210B" w14:textId="77777777" w:rsidR="00B45485" w:rsidRDefault="00000000">
      <w:pPr>
        <w:pStyle w:val="ListBullet"/>
        <w:spacing w:after="60"/>
        <w:ind w:left="346" w:hanging="173"/>
      </w:pPr>
      <w:r>
        <w:rPr>
          <w:sz w:val="20"/>
        </w:rPr>
        <w:t>The course-defined feasibility and planning requirements are satisfied.</w:t>
      </w:r>
    </w:p>
    <w:p w14:paraId="2F765F77" w14:textId="77777777" w:rsidR="00B45485" w:rsidRDefault="00000000">
      <w:pPr>
        <w:pStyle w:val="ListBullet"/>
        <w:spacing w:after="60"/>
        <w:ind w:left="346" w:hanging="173"/>
      </w:pPr>
      <w:r>
        <w:rPr>
          <w:sz w:val="20"/>
        </w:rPr>
        <w:t>One pretrained model, Chronos-2, runs on a real eligible T1D-UOM context and returns a valid 24-point forecast.</w:t>
      </w:r>
    </w:p>
    <w:p w14:paraId="6B39221C" w14:textId="77777777" w:rsidR="00B45485" w:rsidRDefault="00000000">
      <w:pPr>
        <w:pStyle w:val="ListBullet"/>
        <w:spacing w:after="60"/>
        <w:ind w:left="346" w:hanging="173"/>
      </w:pPr>
      <w:r>
        <w:rPr>
          <w:sz w:val="20"/>
        </w:rPr>
        <w:t>The synthetic application boundary, local database contract, and offline py-mgipsim scenario are executable and tested.</w:t>
      </w:r>
    </w:p>
    <w:p w14:paraId="09DE69C3" w14:textId="77777777" w:rsidR="00B45485" w:rsidRDefault="00000000">
      <w:pPr>
        <w:pStyle w:val="ListBullet"/>
        <w:spacing w:after="60"/>
        <w:ind w:left="346" w:hanging="173"/>
      </w:pPr>
      <w:r>
        <w:rPr>
          <w:sz w:val="20"/>
        </w:rPr>
        <w:t>TimesFM, full model benchmarking, and the real meal-to-model application flow remain Milestone 2 work and do not block Milestone 1 closure.</w:t>
      </w:r>
    </w:p>
    <w:p w14:paraId="348C0C5F" w14:textId="77777777" w:rsidR="00B45485" w:rsidRDefault="00000000">
      <w:pPr>
        <w:pStyle w:val="ListBullet"/>
        <w:spacing w:after="60"/>
        <w:ind w:left="346" w:hanging="173"/>
      </w:pPr>
      <w:r>
        <w:rPr>
          <w:sz w:val="20"/>
        </w:rPr>
        <w:t>Research data, application data, credentials, and generated artifacts remain separated.</w:t>
      </w:r>
    </w:p>
    <w:p w14:paraId="7BC36AA1" w14:textId="77777777" w:rsidR="00B45485" w:rsidRDefault="00000000">
      <w:pPr>
        <w:pStyle w:val="ListBullet"/>
        <w:spacing w:after="60"/>
        <w:ind w:left="346" w:hanging="173"/>
      </w:pPr>
      <w:r>
        <w:rPr>
          <w:sz w:val="20"/>
        </w:rPr>
        <w:t>The system remains a research prototype and does not recommend insulin doses or provide treatment guidance.</w:t>
      </w:r>
    </w:p>
    <w:p w14:paraId="12DEA5B1" w14:textId="77777777" w:rsidR="00B45485" w:rsidRDefault="00000000">
      <w:r>
        <w:br w:type="page"/>
      </w:r>
    </w:p>
    <w:p w14:paraId="02872CE1" w14:textId="77777777" w:rsidR="00B45485" w:rsidRDefault="00000000">
      <w:pPr>
        <w:pStyle w:val="Heading1"/>
      </w:pPr>
      <w:r>
        <w:lastRenderedPageBreak/>
        <w:t>Verified Milestone 1 Status</w:t>
      </w:r>
    </w:p>
    <w:p w14:paraId="16D16259" w14:textId="77777777" w:rsidR="00B45485" w:rsidRDefault="00000000">
      <w:r>
        <w:t>The status below reconciles the original Milestone 1 checklist with the implemented repository and final closure audit. Complete for Milestone 1 means the required planning or feasibility evidence exists; it does not mean the full capstone feature or benchmark is finished.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89"/>
        <w:gridCol w:w="3389"/>
        <w:gridCol w:w="5544"/>
      </w:tblGrid>
      <w:tr w:rsidR="00B45485" w14:paraId="3BCDE0FF" w14:textId="77777777">
        <w:trPr>
          <w:tblHeader/>
          <w:jc w:val="center"/>
        </w:trPr>
        <w:tc>
          <w:tcPr>
            <w:tcW w:w="3389" w:type="dxa"/>
            <w:shd w:val="clear" w:color="auto" w:fill="24344D"/>
            <w:tcMar>
              <w:top w:w="90" w:type="dxa"/>
              <w:left w:w="110" w:type="dxa"/>
              <w:bottom w:w="90" w:type="dxa"/>
              <w:right w:w="110" w:type="dxa"/>
            </w:tcMar>
            <w:vAlign w:val="center"/>
          </w:tcPr>
          <w:p w14:paraId="79B6A30F" w14:textId="77777777" w:rsidR="00B45485" w:rsidRDefault="00000000">
            <w:pPr>
              <w:spacing w:after="0" w:line="252" w:lineRule="auto"/>
              <w:jc w:val="center"/>
            </w:pPr>
            <w:r>
              <w:rPr>
                <w:b/>
                <w:color w:val="FFFFFF"/>
                <w:sz w:val="18"/>
              </w:rPr>
              <w:t>Milestone 1 item</w:t>
            </w:r>
          </w:p>
        </w:tc>
        <w:tc>
          <w:tcPr>
            <w:tcW w:w="3389" w:type="dxa"/>
            <w:shd w:val="clear" w:color="auto" w:fill="24344D"/>
            <w:tcMar>
              <w:top w:w="90" w:type="dxa"/>
              <w:left w:w="110" w:type="dxa"/>
              <w:bottom w:w="90" w:type="dxa"/>
              <w:right w:w="110" w:type="dxa"/>
            </w:tcMar>
            <w:vAlign w:val="center"/>
          </w:tcPr>
          <w:p w14:paraId="6E9A662A" w14:textId="77777777" w:rsidR="00B45485" w:rsidRDefault="00000000" w:rsidP="00AE09D0">
            <w:pPr>
              <w:spacing w:after="0" w:line="252" w:lineRule="auto"/>
              <w:jc w:val="center"/>
            </w:pPr>
            <w:r>
              <w:rPr>
                <w:b/>
                <w:color w:val="FFFFFF"/>
                <w:sz w:val="18"/>
              </w:rPr>
              <w:t>Current status</w:t>
            </w:r>
          </w:p>
        </w:tc>
        <w:tc>
          <w:tcPr>
            <w:tcW w:w="3389" w:type="dxa"/>
            <w:shd w:val="clear" w:color="auto" w:fill="24344D"/>
            <w:tcMar>
              <w:top w:w="90" w:type="dxa"/>
              <w:left w:w="110" w:type="dxa"/>
              <w:bottom w:w="90" w:type="dxa"/>
              <w:right w:w="110" w:type="dxa"/>
            </w:tcMar>
            <w:vAlign w:val="center"/>
          </w:tcPr>
          <w:p w14:paraId="344E52DE" w14:textId="77777777" w:rsidR="00B45485" w:rsidRDefault="00000000">
            <w:pPr>
              <w:spacing w:after="0" w:line="252" w:lineRule="auto"/>
              <w:jc w:val="center"/>
            </w:pPr>
            <w:r>
              <w:rPr>
                <w:b/>
                <w:color w:val="FFFFFF"/>
                <w:sz w:val="18"/>
              </w:rPr>
              <w:t>Evidence and boundary</w:t>
            </w:r>
          </w:p>
        </w:tc>
      </w:tr>
      <w:tr w:rsidR="00B45485" w14:paraId="3B4546DA" w14:textId="77777777">
        <w:trPr>
          <w:jc w:val="center"/>
        </w:trPr>
        <w:tc>
          <w:tcPr>
            <w:tcW w:w="2664" w:type="dxa"/>
            <w:tcMar>
              <w:top w:w="90" w:type="dxa"/>
              <w:left w:w="110" w:type="dxa"/>
              <w:bottom w:w="90" w:type="dxa"/>
              <w:right w:w="110" w:type="dxa"/>
            </w:tcMar>
            <w:vAlign w:val="center"/>
          </w:tcPr>
          <w:p w14:paraId="643D6203" w14:textId="77777777" w:rsidR="00B45485" w:rsidRDefault="00000000">
            <w:pPr>
              <w:spacing w:after="0" w:line="252" w:lineRule="auto"/>
              <w:jc w:val="center"/>
            </w:pPr>
            <w:r>
              <w:rPr>
                <w:sz w:val="16"/>
              </w:rPr>
              <w:t>Literature survey and model matrix</w:t>
            </w:r>
          </w:p>
        </w:tc>
        <w:tc>
          <w:tcPr>
            <w:tcW w:w="1944" w:type="dxa"/>
            <w:tcMar>
              <w:top w:w="90" w:type="dxa"/>
              <w:left w:w="110" w:type="dxa"/>
              <w:bottom w:w="90" w:type="dxa"/>
              <w:right w:w="110" w:type="dxa"/>
            </w:tcMar>
            <w:vAlign w:val="center"/>
          </w:tcPr>
          <w:p w14:paraId="21E602F4" w14:textId="77777777" w:rsidR="00B45485" w:rsidRDefault="00000000" w:rsidP="00AE09D0">
            <w:pPr>
              <w:spacing w:after="0" w:line="252" w:lineRule="auto"/>
              <w:jc w:val="center"/>
            </w:pPr>
            <w:r>
              <w:rPr>
                <w:sz w:val="16"/>
              </w:rPr>
              <w:t>Complete</w:t>
            </w:r>
          </w:p>
        </w:tc>
        <w:tc>
          <w:tcPr>
            <w:tcW w:w="5544" w:type="dxa"/>
            <w:tcMar>
              <w:top w:w="90" w:type="dxa"/>
              <w:left w:w="110" w:type="dxa"/>
              <w:bottom w:w="90" w:type="dxa"/>
              <w:right w:w="110" w:type="dxa"/>
            </w:tcMar>
            <w:vAlign w:val="center"/>
          </w:tcPr>
          <w:p w14:paraId="100C19C5" w14:textId="77777777" w:rsidR="00B45485" w:rsidRDefault="00000000">
            <w:pPr>
              <w:spacing w:after="0" w:line="252" w:lineRule="auto"/>
            </w:pPr>
            <w:r>
              <w:rPr>
                <w:sz w:val="16"/>
              </w:rPr>
              <w:t>Candidate roles, evidence, risks, and selection criteria are documented.</w:t>
            </w:r>
          </w:p>
        </w:tc>
      </w:tr>
      <w:tr w:rsidR="00B45485" w14:paraId="38E18F20" w14:textId="77777777">
        <w:trPr>
          <w:jc w:val="center"/>
        </w:trPr>
        <w:tc>
          <w:tcPr>
            <w:tcW w:w="2664" w:type="dxa"/>
            <w:shd w:val="clear" w:color="auto" w:fill="EEF2F6"/>
            <w:tcMar>
              <w:top w:w="90" w:type="dxa"/>
              <w:left w:w="110" w:type="dxa"/>
              <w:bottom w:w="90" w:type="dxa"/>
              <w:right w:w="110" w:type="dxa"/>
            </w:tcMar>
            <w:vAlign w:val="center"/>
          </w:tcPr>
          <w:p w14:paraId="6BBBDA15" w14:textId="77777777" w:rsidR="00B45485" w:rsidRDefault="00000000">
            <w:pPr>
              <w:spacing w:after="0" w:line="252" w:lineRule="auto"/>
              <w:jc w:val="center"/>
            </w:pPr>
            <w:r>
              <w:rPr>
                <w:sz w:val="16"/>
              </w:rPr>
              <w:t>T1D-UOM provenance and audit</w:t>
            </w:r>
          </w:p>
        </w:tc>
        <w:tc>
          <w:tcPr>
            <w:tcW w:w="1944" w:type="dxa"/>
            <w:shd w:val="clear" w:color="auto" w:fill="EEF2F6"/>
            <w:tcMar>
              <w:top w:w="90" w:type="dxa"/>
              <w:left w:w="110" w:type="dxa"/>
              <w:bottom w:w="90" w:type="dxa"/>
              <w:right w:w="110" w:type="dxa"/>
            </w:tcMar>
            <w:vAlign w:val="center"/>
          </w:tcPr>
          <w:p w14:paraId="20AA3D02" w14:textId="77777777" w:rsidR="00B45485" w:rsidRDefault="00000000" w:rsidP="00AE09D0">
            <w:pPr>
              <w:spacing w:after="0" w:line="252" w:lineRule="auto"/>
              <w:jc w:val="center"/>
            </w:pPr>
            <w:r>
              <w:rPr>
                <w:sz w:val="16"/>
              </w:rPr>
              <w:t>Complete</w:t>
            </w:r>
          </w:p>
        </w:tc>
        <w:tc>
          <w:tcPr>
            <w:tcW w:w="5544" w:type="dxa"/>
            <w:shd w:val="clear" w:color="auto" w:fill="EEF2F6"/>
            <w:tcMar>
              <w:top w:w="90" w:type="dxa"/>
              <w:left w:w="110" w:type="dxa"/>
              <w:bottom w:w="90" w:type="dxa"/>
              <w:right w:w="110" w:type="dxa"/>
            </w:tcMar>
            <w:vAlign w:val="center"/>
          </w:tcPr>
          <w:p w14:paraId="3DF3466D" w14:textId="77777777" w:rsidR="00B45485" w:rsidRDefault="00000000">
            <w:pPr>
              <w:spacing w:after="0" w:line="252" w:lineRule="auto"/>
            </w:pPr>
            <w:r>
              <w:rPr>
                <w:sz w:val="16"/>
              </w:rPr>
              <w:t>V1.0.4 is pinned and 386,564 core rows were audited.</w:t>
            </w:r>
          </w:p>
        </w:tc>
      </w:tr>
      <w:tr w:rsidR="00B45485" w14:paraId="4ADD37BB" w14:textId="77777777">
        <w:trPr>
          <w:jc w:val="center"/>
        </w:trPr>
        <w:tc>
          <w:tcPr>
            <w:tcW w:w="2664" w:type="dxa"/>
            <w:tcMar>
              <w:top w:w="90" w:type="dxa"/>
              <w:left w:w="110" w:type="dxa"/>
              <w:bottom w:w="90" w:type="dxa"/>
              <w:right w:w="110" w:type="dxa"/>
            </w:tcMar>
            <w:vAlign w:val="center"/>
          </w:tcPr>
          <w:p w14:paraId="403C9C10" w14:textId="77777777" w:rsidR="00B45485" w:rsidRDefault="00000000">
            <w:pPr>
              <w:spacing w:after="0" w:line="252" w:lineRule="auto"/>
              <w:jc w:val="center"/>
            </w:pPr>
            <w:r>
              <w:rPr>
                <w:sz w:val="16"/>
              </w:rPr>
              <w:t>Meal-centered preprocessing</w:t>
            </w:r>
          </w:p>
        </w:tc>
        <w:tc>
          <w:tcPr>
            <w:tcW w:w="1944" w:type="dxa"/>
            <w:tcMar>
              <w:top w:w="90" w:type="dxa"/>
              <w:left w:w="110" w:type="dxa"/>
              <w:bottom w:w="90" w:type="dxa"/>
              <w:right w:w="110" w:type="dxa"/>
            </w:tcMar>
            <w:vAlign w:val="center"/>
          </w:tcPr>
          <w:p w14:paraId="703BD8B1" w14:textId="77777777" w:rsidR="00B45485" w:rsidRDefault="00000000" w:rsidP="00AE09D0">
            <w:pPr>
              <w:spacing w:after="0" w:line="252" w:lineRule="auto"/>
              <w:jc w:val="center"/>
            </w:pPr>
            <w:r>
              <w:rPr>
                <w:sz w:val="16"/>
              </w:rPr>
              <w:t>Complete for M1</w:t>
            </w:r>
          </w:p>
        </w:tc>
        <w:tc>
          <w:tcPr>
            <w:tcW w:w="5544" w:type="dxa"/>
            <w:tcMar>
              <w:top w:w="90" w:type="dxa"/>
              <w:left w:w="110" w:type="dxa"/>
              <w:bottom w:w="90" w:type="dxa"/>
              <w:right w:w="110" w:type="dxa"/>
            </w:tcMar>
            <w:vAlign w:val="center"/>
          </w:tcPr>
          <w:p w14:paraId="42F4F80F" w14:textId="77777777" w:rsidR="00B45485" w:rsidRDefault="00000000">
            <w:pPr>
              <w:spacing w:after="0" w:line="252" w:lineRule="auto"/>
            </w:pPr>
            <w:r>
              <w:rPr>
                <w:sz w:val="16"/>
              </w:rPr>
              <w:t>The pipeline produced 927 strict, leakage-safe windows.</w:t>
            </w:r>
          </w:p>
        </w:tc>
      </w:tr>
      <w:tr w:rsidR="00B45485" w14:paraId="3606ABD9" w14:textId="77777777">
        <w:trPr>
          <w:jc w:val="center"/>
        </w:trPr>
        <w:tc>
          <w:tcPr>
            <w:tcW w:w="2664" w:type="dxa"/>
            <w:shd w:val="clear" w:color="auto" w:fill="EEF2F6"/>
            <w:tcMar>
              <w:top w:w="90" w:type="dxa"/>
              <w:left w:w="110" w:type="dxa"/>
              <w:bottom w:w="90" w:type="dxa"/>
              <w:right w:w="110" w:type="dxa"/>
            </w:tcMar>
            <w:vAlign w:val="center"/>
          </w:tcPr>
          <w:p w14:paraId="23AFEA6F" w14:textId="77777777" w:rsidR="00B45485" w:rsidRDefault="00000000">
            <w:pPr>
              <w:spacing w:after="0" w:line="252" w:lineRule="auto"/>
              <w:jc w:val="center"/>
            </w:pPr>
            <w:r>
              <w:rPr>
                <w:sz w:val="16"/>
              </w:rPr>
              <w:t>Evaluation and leakage protocol</w:t>
            </w:r>
          </w:p>
        </w:tc>
        <w:tc>
          <w:tcPr>
            <w:tcW w:w="1944" w:type="dxa"/>
            <w:shd w:val="clear" w:color="auto" w:fill="EEF2F6"/>
            <w:tcMar>
              <w:top w:w="90" w:type="dxa"/>
              <w:left w:w="110" w:type="dxa"/>
              <w:bottom w:w="90" w:type="dxa"/>
              <w:right w:w="110" w:type="dxa"/>
            </w:tcMar>
            <w:vAlign w:val="center"/>
          </w:tcPr>
          <w:p w14:paraId="2EC17493" w14:textId="77777777" w:rsidR="00B45485" w:rsidRDefault="00000000" w:rsidP="00AE09D0">
            <w:pPr>
              <w:spacing w:after="0" w:line="252" w:lineRule="auto"/>
              <w:jc w:val="center"/>
            </w:pPr>
            <w:r>
              <w:rPr>
                <w:sz w:val="16"/>
              </w:rPr>
              <w:t>Complete for M1</w:t>
            </w:r>
          </w:p>
        </w:tc>
        <w:tc>
          <w:tcPr>
            <w:tcW w:w="5544" w:type="dxa"/>
            <w:shd w:val="clear" w:color="auto" w:fill="EEF2F6"/>
            <w:tcMar>
              <w:top w:w="90" w:type="dxa"/>
              <w:left w:w="110" w:type="dxa"/>
              <w:bottom w:w="90" w:type="dxa"/>
              <w:right w:w="110" w:type="dxa"/>
            </w:tcMar>
            <w:vAlign w:val="center"/>
          </w:tcPr>
          <w:p w14:paraId="4EA1F37C" w14:textId="77777777" w:rsidR="00B45485" w:rsidRDefault="00000000">
            <w:pPr>
              <w:spacing w:after="0" w:line="252" w:lineRule="auto"/>
            </w:pPr>
            <w:r>
              <w:rPr>
                <w:sz w:val="16"/>
              </w:rPr>
              <w:t>Future CGM is separated from model input. Final split freeze and sensitivity analysis move to M2.</w:t>
            </w:r>
          </w:p>
        </w:tc>
      </w:tr>
      <w:tr w:rsidR="00B45485" w14:paraId="6CAC6693" w14:textId="77777777">
        <w:trPr>
          <w:jc w:val="center"/>
        </w:trPr>
        <w:tc>
          <w:tcPr>
            <w:tcW w:w="2664" w:type="dxa"/>
            <w:tcMar>
              <w:top w:w="90" w:type="dxa"/>
              <w:left w:w="110" w:type="dxa"/>
              <w:bottom w:w="90" w:type="dxa"/>
              <w:right w:w="110" w:type="dxa"/>
            </w:tcMar>
            <w:vAlign w:val="center"/>
          </w:tcPr>
          <w:p w14:paraId="38FB6878" w14:textId="77777777" w:rsidR="00B45485" w:rsidRDefault="00000000">
            <w:pPr>
              <w:spacing w:after="0" w:line="252" w:lineRule="auto"/>
              <w:jc w:val="center"/>
            </w:pPr>
            <w:r>
              <w:rPr>
                <w:sz w:val="16"/>
              </w:rPr>
              <w:t>Common forecast adapter</w:t>
            </w:r>
          </w:p>
        </w:tc>
        <w:tc>
          <w:tcPr>
            <w:tcW w:w="1944" w:type="dxa"/>
            <w:tcMar>
              <w:top w:w="90" w:type="dxa"/>
              <w:left w:w="110" w:type="dxa"/>
              <w:bottom w:w="90" w:type="dxa"/>
              <w:right w:w="110" w:type="dxa"/>
            </w:tcMar>
            <w:vAlign w:val="center"/>
          </w:tcPr>
          <w:p w14:paraId="1FE385C2" w14:textId="77777777" w:rsidR="00B45485" w:rsidRDefault="00000000" w:rsidP="00AE09D0">
            <w:pPr>
              <w:spacing w:after="0" w:line="252" w:lineRule="auto"/>
              <w:jc w:val="center"/>
            </w:pPr>
            <w:r>
              <w:rPr>
                <w:sz w:val="16"/>
              </w:rPr>
              <w:t>Complete</w:t>
            </w:r>
          </w:p>
        </w:tc>
        <w:tc>
          <w:tcPr>
            <w:tcW w:w="5544" w:type="dxa"/>
            <w:tcMar>
              <w:top w:w="90" w:type="dxa"/>
              <w:left w:w="110" w:type="dxa"/>
              <w:bottom w:w="90" w:type="dxa"/>
              <w:right w:w="110" w:type="dxa"/>
            </w:tcMar>
            <w:vAlign w:val="center"/>
          </w:tcPr>
          <w:p w14:paraId="768F25DC" w14:textId="77777777" w:rsidR="00B45485" w:rsidRDefault="00000000">
            <w:pPr>
              <w:spacing w:after="0" w:line="252" w:lineRule="auto"/>
            </w:pPr>
            <w:r>
              <w:rPr>
                <w:sz w:val="16"/>
              </w:rPr>
              <w:t>One immutable request/result contract supports baselines and pretrained adapters.</w:t>
            </w:r>
          </w:p>
        </w:tc>
      </w:tr>
      <w:tr w:rsidR="00B45485" w14:paraId="7B98215E" w14:textId="77777777">
        <w:trPr>
          <w:jc w:val="center"/>
        </w:trPr>
        <w:tc>
          <w:tcPr>
            <w:tcW w:w="2664" w:type="dxa"/>
            <w:shd w:val="clear" w:color="auto" w:fill="EEF2F6"/>
            <w:tcMar>
              <w:top w:w="90" w:type="dxa"/>
              <w:left w:w="110" w:type="dxa"/>
              <w:bottom w:w="90" w:type="dxa"/>
              <w:right w:w="110" w:type="dxa"/>
            </w:tcMar>
            <w:vAlign w:val="center"/>
          </w:tcPr>
          <w:p w14:paraId="2CE806C5" w14:textId="77777777" w:rsidR="00B45485" w:rsidRDefault="00000000">
            <w:pPr>
              <w:spacing w:after="0" w:line="252" w:lineRule="auto"/>
              <w:jc w:val="center"/>
            </w:pPr>
            <w:r>
              <w:rPr>
                <w:sz w:val="16"/>
              </w:rPr>
              <w:t>Persistence baseline</w:t>
            </w:r>
          </w:p>
        </w:tc>
        <w:tc>
          <w:tcPr>
            <w:tcW w:w="1944" w:type="dxa"/>
            <w:shd w:val="clear" w:color="auto" w:fill="EEF2F6"/>
            <w:tcMar>
              <w:top w:w="90" w:type="dxa"/>
              <w:left w:w="110" w:type="dxa"/>
              <w:bottom w:w="90" w:type="dxa"/>
              <w:right w:w="110" w:type="dxa"/>
            </w:tcMar>
            <w:vAlign w:val="center"/>
          </w:tcPr>
          <w:p w14:paraId="5C5886A9" w14:textId="77777777" w:rsidR="00B45485" w:rsidRDefault="00000000" w:rsidP="00AE09D0">
            <w:pPr>
              <w:spacing w:after="0" w:line="252" w:lineRule="auto"/>
              <w:jc w:val="center"/>
            </w:pPr>
            <w:r>
              <w:rPr>
                <w:sz w:val="16"/>
              </w:rPr>
              <w:t>Complete for M1</w:t>
            </w:r>
          </w:p>
        </w:tc>
        <w:tc>
          <w:tcPr>
            <w:tcW w:w="5544" w:type="dxa"/>
            <w:shd w:val="clear" w:color="auto" w:fill="EEF2F6"/>
            <w:tcMar>
              <w:top w:w="90" w:type="dxa"/>
              <w:left w:w="110" w:type="dxa"/>
              <w:bottom w:w="90" w:type="dxa"/>
              <w:right w:w="110" w:type="dxa"/>
            </w:tcMar>
            <w:vAlign w:val="center"/>
          </w:tcPr>
          <w:p w14:paraId="4B32EC18" w14:textId="77777777" w:rsidR="00B45485" w:rsidRDefault="00000000">
            <w:pPr>
              <w:spacing w:after="0" w:line="252" w:lineRule="auto"/>
            </w:pPr>
            <w:r>
              <w:rPr>
                <w:sz w:val="16"/>
              </w:rPr>
              <w:t>The adapter and real-window smoke path work. The participant-aware benchmark remains M2.</w:t>
            </w:r>
          </w:p>
        </w:tc>
      </w:tr>
      <w:tr w:rsidR="00B45485" w14:paraId="11A69D6F" w14:textId="77777777">
        <w:trPr>
          <w:jc w:val="center"/>
        </w:trPr>
        <w:tc>
          <w:tcPr>
            <w:tcW w:w="2664" w:type="dxa"/>
            <w:tcMar>
              <w:top w:w="90" w:type="dxa"/>
              <w:left w:w="110" w:type="dxa"/>
              <w:bottom w:w="90" w:type="dxa"/>
              <w:right w:w="110" w:type="dxa"/>
            </w:tcMar>
            <w:vAlign w:val="center"/>
          </w:tcPr>
          <w:p w14:paraId="16450C63" w14:textId="77777777" w:rsidR="00B45485" w:rsidRDefault="00000000">
            <w:pPr>
              <w:spacing w:after="0" w:line="252" w:lineRule="auto"/>
              <w:jc w:val="center"/>
            </w:pPr>
            <w:r>
              <w:rPr>
                <w:sz w:val="16"/>
              </w:rPr>
              <w:t>Chronos-2 smoke test</w:t>
            </w:r>
          </w:p>
        </w:tc>
        <w:tc>
          <w:tcPr>
            <w:tcW w:w="1944" w:type="dxa"/>
            <w:tcMar>
              <w:top w:w="90" w:type="dxa"/>
              <w:left w:w="110" w:type="dxa"/>
              <w:bottom w:w="90" w:type="dxa"/>
              <w:right w:w="110" w:type="dxa"/>
            </w:tcMar>
            <w:vAlign w:val="center"/>
          </w:tcPr>
          <w:p w14:paraId="71F8E18B" w14:textId="77777777" w:rsidR="00B45485" w:rsidRDefault="00000000" w:rsidP="00AE09D0">
            <w:pPr>
              <w:spacing w:after="0" w:line="252" w:lineRule="auto"/>
              <w:jc w:val="center"/>
            </w:pPr>
            <w:r>
              <w:rPr>
                <w:sz w:val="16"/>
              </w:rPr>
              <w:t>Complete</w:t>
            </w:r>
          </w:p>
        </w:tc>
        <w:tc>
          <w:tcPr>
            <w:tcW w:w="5544" w:type="dxa"/>
            <w:tcMar>
              <w:top w:w="90" w:type="dxa"/>
              <w:left w:w="110" w:type="dxa"/>
              <w:bottom w:w="90" w:type="dxa"/>
              <w:right w:w="110" w:type="dxa"/>
            </w:tcMar>
            <w:vAlign w:val="center"/>
          </w:tcPr>
          <w:p w14:paraId="73F17872" w14:textId="77777777" w:rsidR="00B45485" w:rsidRDefault="00000000">
            <w:pPr>
              <w:spacing w:after="0" w:line="252" w:lineRule="auto"/>
            </w:pPr>
            <w:r>
              <w:rPr>
                <w:sz w:val="16"/>
              </w:rPr>
              <w:t>The pinned CPU model returned 24 finite, non-crossing q10/q50/q90 points.</w:t>
            </w:r>
          </w:p>
        </w:tc>
      </w:tr>
      <w:tr w:rsidR="00B45485" w14:paraId="57993730" w14:textId="77777777">
        <w:trPr>
          <w:jc w:val="center"/>
        </w:trPr>
        <w:tc>
          <w:tcPr>
            <w:tcW w:w="2664" w:type="dxa"/>
            <w:shd w:val="clear" w:color="auto" w:fill="EEF2F6"/>
            <w:tcMar>
              <w:top w:w="90" w:type="dxa"/>
              <w:left w:w="110" w:type="dxa"/>
              <w:bottom w:w="90" w:type="dxa"/>
              <w:right w:w="110" w:type="dxa"/>
            </w:tcMar>
            <w:vAlign w:val="center"/>
          </w:tcPr>
          <w:p w14:paraId="3FF27414" w14:textId="77777777" w:rsidR="00B45485" w:rsidRDefault="00000000">
            <w:pPr>
              <w:spacing w:after="0" w:line="252" w:lineRule="auto"/>
              <w:jc w:val="center"/>
            </w:pPr>
            <w:r>
              <w:rPr>
                <w:sz w:val="16"/>
              </w:rPr>
              <w:t>TimesFM smoke test</w:t>
            </w:r>
          </w:p>
        </w:tc>
        <w:tc>
          <w:tcPr>
            <w:tcW w:w="1944" w:type="dxa"/>
            <w:shd w:val="clear" w:color="auto" w:fill="EEF2F6"/>
            <w:tcMar>
              <w:top w:w="90" w:type="dxa"/>
              <w:left w:w="110" w:type="dxa"/>
              <w:bottom w:w="90" w:type="dxa"/>
              <w:right w:w="110" w:type="dxa"/>
            </w:tcMar>
            <w:vAlign w:val="center"/>
          </w:tcPr>
          <w:p w14:paraId="535C0B6A" w14:textId="77777777" w:rsidR="00B45485" w:rsidRDefault="00000000" w:rsidP="00AE09D0">
            <w:pPr>
              <w:spacing w:after="0" w:line="252" w:lineRule="auto"/>
              <w:jc w:val="center"/>
            </w:pPr>
            <w:r>
              <w:rPr>
                <w:sz w:val="16"/>
              </w:rPr>
              <w:t>Not completed; non-blocking</w:t>
            </w:r>
          </w:p>
        </w:tc>
        <w:tc>
          <w:tcPr>
            <w:tcW w:w="5544" w:type="dxa"/>
            <w:shd w:val="clear" w:color="auto" w:fill="EEF2F6"/>
            <w:tcMar>
              <w:top w:w="90" w:type="dxa"/>
              <w:left w:w="110" w:type="dxa"/>
              <w:bottom w:w="90" w:type="dxa"/>
              <w:right w:w="110" w:type="dxa"/>
            </w:tcMar>
            <w:vAlign w:val="center"/>
          </w:tcPr>
          <w:p w14:paraId="0D2ECDC8" w14:textId="77777777" w:rsidR="00B45485" w:rsidRDefault="00000000">
            <w:pPr>
              <w:spacing w:after="0" w:line="252" w:lineRule="auto"/>
            </w:pPr>
            <w:r>
              <w:rPr>
                <w:sz w:val="16"/>
              </w:rPr>
              <w:t>The M1 plan said if possible. Chronos-2 satisfies the pretrained-model feasibility criterion.</w:t>
            </w:r>
          </w:p>
        </w:tc>
      </w:tr>
      <w:tr w:rsidR="00B45485" w14:paraId="64F70D62" w14:textId="77777777">
        <w:trPr>
          <w:jc w:val="center"/>
        </w:trPr>
        <w:tc>
          <w:tcPr>
            <w:tcW w:w="2664" w:type="dxa"/>
            <w:tcMar>
              <w:top w:w="90" w:type="dxa"/>
              <w:left w:w="110" w:type="dxa"/>
              <w:bottom w:w="90" w:type="dxa"/>
              <w:right w:w="110" w:type="dxa"/>
            </w:tcMar>
            <w:vAlign w:val="center"/>
          </w:tcPr>
          <w:p w14:paraId="2BE71BDB" w14:textId="77777777" w:rsidR="00B45485" w:rsidRDefault="00000000">
            <w:pPr>
              <w:spacing w:after="0" w:line="252" w:lineRule="auto"/>
              <w:jc w:val="center"/>
            </w:pPr>
            <w:r>
              <w:rPr>
                <w:sz w:val="16"/>
              </w:rPr>
              <w:t>Runtime, memory, and quantiles</w:t>
            </w:r>
          </w:p>
        </w:tc>
        <w:tc>
          <w:tcPr>
            <w:tcW w:w="1944" w:type="dxa"/>
            <w:tcMar>
              <w:top w:w="90" w:type="dxa"/>
              <w:left w:w="110" w:type="dxa"/>
              <w:bottom w:w="90" w:type="dxa"/>
              <w:right w:w="110" w:type="dxa"/>
            </w:tcMar>
            <w:vAlign w:val="center"/>
          </w:tcPr>
          <w:p w14:paraId="5C247E38" w14:textId="77777777" w:rsidR="00B45485" w:rsidRDefault="00000000" w:rsidP="00AE09D0">
            <w:pPr>
              <w:spacing w:after="0" w:line="252" w:lineRule="auto"/>
              <w:jc w:val="center"/>
            </w:pPr>
            <w:r>
              <w:rPr>
                <w:sz w:val="16"/>
              </w:rPr>
              <w:t>Complete</w:t>
            </w:r>
          </w:p>
        </w:tc>
        <w:tc>
          <w:tcPr>
            <w:tcW w:w="5544" w:type="dxa"/>
            <w:tcMar>
              <w:top w:w="90" w:type="dxa"/>
              <w:left w:w="110" w:type="dxa"/>
              <w:bottom w:w="90" w:type="dxa"/>
              <w:right w:w="110" w:type="dxa"/>
            </w:tcMar>
            <w:vAlign w:val="center"/>
          </w:tcPr>
          <w:p w14:paraId="7F0B0621" w14:textId="77777777" w:rsidR="00B45485" w:rsidRDefault="00000000">
            <w:pPr>
              <w:spacing w:after="0" w:line="252" w:lineRule="auto"/>
            </w:pPr>
            <w:r>
              <w:rPr>
                <w:sz w:val="16"/>
              </w:rPr>
              <w:t>Load time, first/warm latency, peak RSS, output shape, and quantile ordering were recorded.</w:t>
            </w:r>
          </w:p>
        </w:tc>
      </w:tr>
      <w:tr w:rsidR="00B45485" w14:paraId="32FBE3D4" w14:textId="77777777">
        <w:trPr>
          <w:jc w:val="center"/>
        </w:trPr>
        <w:tc>
          <w:tcPr>
            <w:tcW w:w="2664" w:type="dxa"/>
            <w:shd w:val="clear" w:color="auto" w:fill="EEF2F6"/>
            <w:tcMar>
              <w:top w:w="90" w:type="dxa"/>
              <w:left w:w="110" w:type="dxa"/>
              <w:bottom w:w="90" w:type="dxa"/>
              <w:right w:w="110" w:type="dxa"/>
            </w:tcMar>
            <w:vAlign w:val="center"/>
          </w:tcPr>
          <w:p w14:paraId="74C949EE" w14:textId="77777777" w:rsidR="00B45485" w:rsidRDefault="00000000">
            <w:pPr>
              <w:spacing w:after="0" w:line="252" w:lineRule="auto"/>
              <w:jc w:val="center"/>
            </w:pPr>
            <w:r>
              <w:rPr>
                <w:sz w:val="16"/>
              </w:rPr>
              <w:t>Next.js and FastAPI skeleton</w:t>
            </w:r>
          </w:p>
        </w:tc>
        <w:tc>
          <w:tcPr>
            <w:tcW w:w="1944" w:type="dxa"/>
            <w:shd w:val="clear" w:color="auto" w:fill="EEF2F6"/>
            <w:tcMar>
              <w:top w:w="90" w:type="dxa"/>
              <w:left w:w="110" w:type="dxa"/>
              <w:bottom w:w="90" w:type="dxa"/>
              <w:right w:w="110" w:type="dxa"/>
            </w:tcMar>
            <w:vAlign w:val="center"/>
          </w:tcPr>
          <w:p w14:paraId="69262DCA" w14:textId="77777777" w:rsidR="00B45485" w:rsidRDefault="00000000" w:rsidP="00AE09D0">
            <w:pPr>
              <w:spacing w:after="0" w:line="252" w:lineRule="auto"/>
              <w:jc w:val="center"/>
            </w:pPr>
            <w:r>
              <w:rPr>
                <w:sz w:val="16"/>
              </w:rPr>
              <w:t>Complete for M1</w:t>
            </w:r>
          </w:p>
        </w:tc>
        <w:tc>
          <w:tcPr>
            <w:tcW w:w="5544" w:type="dxa"/>
            <w:shd w:val="clear" w:color="auto" w:fill="EEF2F6"/>
            <w:tcMar>
              <w:top w:w="90" w:type="dxa"/>
              <w:left w:w="110" w:type="dxa"/>
              <w:bottom w:w="90" w:type="dxa"/>
              <w:right w:w="110" w:type="dxa"/>
            </w:tcMar>
            <w:vAlign w:val="center"/>
          </w:tcPr>
          <w:p w14:paraId="78B781CF" w14:textId="77777777" w:rsidR="00B45485" w:rsidRDefault="00000000">
            <w:pPr>
              <w:spacing w:after="0" w:line="252" w:lineRule="auto"/>
            </w:pPr>
            <w:r>
              <w:rPr>
                <w:sz w:val="16"/>
              </w:rPr>
              <w:t>The browser consumes a typed synthetic forecast. Real model execution is not yet in the request path.</w:t>
            </w:r>
          </w:p>
        </w:tc>
      </w:tr>
      <w:tr w:rsidR="00B45485" w14:paraId="44F83247" w14:textId="77777777">
        <w:trPr>
          <w:jc w:val="center"/>
        </w:trPr>
        <w:tc>
          <w:tcPr>
            <w:tcW w:w="2664" w:type="dxa"/>
            <w:tcMar>
              <w:top w:w="90" w:type="dxa"/>
              <w:left w:w="110" w:type="dxa"/>
              <w:bottom w:w="90" w:type="dxa"/>
              <w:right w:w="110" w:type="dxa"/>
            </w:tcMar>
            <w:vAlign w:val="center"/>
          </w:tcPr>
          <w:p w14:paraId="045FF8C9" w14:textId="77777777" w:rsidR="00B45485" w:rsidRDefault="00000000">
            <w:pPr>
              <w:spacing w:after="0" w:line="252" w:lineRule="auto"/>
              <w:jc w:val="center"/>
            </w:pPr>
            <w:r>
              <w:rPr>
                <w:sz w:val="16"/>
              </w:rPr>
              <w:t>Database migration</w:t>
            </w:r>
          </w:p>
        </w:tc>
        <w:tc>
          <w:tcPr>
            <w:tcW w:w="1944" w:type="dxa"/>
            <w:tcMar>
              <w:top w:w="90" w:type="dxa"/>
              <w:left w:w="110" w:type="dxa"/>
              <w:bottom w:w="90" w:type="dxa"/>
              <w:right w:w="110" w:type="dxa"/>
            </w:tcMar>
            <w:vAlign w:val="center"/>
          </w:tcPr>
          <w:p w14:paraId="70D7F668" w14:textId="77777777" w:rsidR="00B45485" w:rsidRDefault="00000000" w:rsidP="00AE09D0">
            <w:pPr>
              <w:spacing w:after="0" w:line="252" w:lineRule="auto"/>
              <w:jc w:val="center"/>
            </w:pPr>
            <w:r>
              <w:rPr>
                <w:sz w:val="16"/>
              </w:rPr>
              <w:t>Complete locally</w:t>
            </w:r>
          </w:p>
        </w:tc>
        <w:tc>
          <w:tcPr>
            <w:tcW w:w="5544" w:type="dxa"/>
            <w:tcMar>
              <w:top w:w="90" w:type="dxa"/>
              <w:left w:w="110" w:type="dxa"/>
              <w:bottom w:w="90" w:type="dxa"/>
              <w:right w:w="110" w:type="dxa"/>
            </w:tcMar>
            <w:vAlign w:val="center"/>
          </w:tcPr>
          <w:p w14:paraId="2814E73F" w14:textId="77777777" w:rsidR="00B45485" w:rsidRDefault="00000000">
            <w:pPr>
              <w:spacing w:after="0" w:line="252" w:lineRule="auto"/>
            </w:pPr>
            <w:r>
              <w:rPr>
                <w:sz w:val="16"/>
              </w:rPr>
              <w:t>Ten tables, pgvector, constraints, indexes, RLS, and 20 pgTAP tests passed. No hosted project was linked.</w:t>
            </w:r>
          </w:p>
        </w:tc>
      </w:tr>
      <w:tr w:rsidR="00B45485" w14:paraId="1FEF5A14" w14:textId="77777777">
        <w:trPr>
          <w:jc w:val="center"/>
        </w:trPr>
        <w:tc>
          <w:tcPr>
            <w:tcW w:w="2664" w:type="dxa"/>
            <w:shd w:val="clear" w:color="auto" w:fill="EEF2F6"/>
            <w:tcMar>
              <w:top w:w="90" w:type="dxa"/>
              <w:left w:w="110" w:type="dxa"/>
              <w:bottom w:w="90" w:type="dxa"/>
              <w:right w:w="110" w:type="dxa"/>
            </w:tcMar>
            <w:vAlign w:val="center"/>
          </w:tcPr>
          <w:p w14:paraId="00ADB832" w14:textId="77777777" w:rsidR="00B45485" w:rsidRDefault="00000000">
            <w:pPr>
              <w:spacing w:after="0" w:line="252" w:lineRule="auto"/>
              <w:jc w:val="center"/>
            </w:pPr>
            <w:r>
              <w:rPr>
                <w:sz w:val="16"/>
              </w:rPr>
              <w:t>py-mgipsim scenario</w:t>
            </w:r>
          </w:p>
        </w:tc>
        <w:tc>
          <w:tcPr>
            <w:tcW w:w="1944" w:type="dxa"/>
            <w:shd w:val="clear" w:color="auto" w:fill="EEF2F6"/>
            <w:tcMar>
              <w:top w:w="90" w:type="dxa"/>
              <w:left w:w="110" w:type="dxa"/>
              <w:bottom w:w="90" w:type="dxa"/>
              <w:right w:w="110" w:type="dxa"/>
            </w:tcMar>
            <w:vAlign w:val="center"/>
          </w:tcPr>
          <w:p w14:paraId="238006F2" w14:textId="77777777" w:rsidR="00B45485" w:rsidRDefault="00000000" w:rsidP="00AE09D0">
            <w:pPr>
              <w:spacing w:after="0" w:line="252" w:lineRule="auto"/>
              <w:jc w:val="center"/>
            </w:pPr>
            <w:r>
              <w:rPr>
                <w:sz w:val="16"/>
              </w:rPr>
              <w:t>Complete</w:t>
            </w:r>
          </w:p>
        </w:tc>
        <w:tc>
          <w:tcPr>
            <w:tcW w:w="5544" w:type="dxa"/>
            <w:shd w:val="clear" w:color="auto" w:fill="EEF2F6"/>
            <w:tcMar>
              <w:top w:w="90" w:type="dxa"/>
              <w:left w:w="110" w:type="dxa"/>
              <w:bottom w:w="90" w:type="dxa"/>
              <w:right w:w="110" w:type="dxa"/>
            </w:tcMar>
            <w:vAlign w:val="center"/>
          </w:tcPr>
          <w:p w14:paraId="01972EE9" w14:textId="77777777" w:rsidR="00B45485" w:rsidRDefault="00000000">
            <w:pPr>
              <w:spacing w:after="0" w:line="252" w:lineRule="auto"/>
            </w:pPr>
            <w:r>
              <w:rPr>
                <w:sz w:val="16"/>
              </w:rPr>
              <w:t>The pinned ExtHovorka/OpenLoop day produced 288 samples twice with byte-identical output. It remains offline.</w:t>
            </w:r>
          </w:p>
        </w:tc>
      </w:tr>
      <w:tr w:rsidR="00B45485" w14:paraId="271BD50F" w14:textId="77777777">
        <w:trPr>
          <w:jc w:val="center"/>
        </w:trPr>
        <w:tc>
          <w:tcPr>
            <w:tcW w:w="2664" w:type="dxa"/>
            <w:tcMar>
              <w:top w:w="90" w:type="dxa"/>
              <w:left w:w="110" w:type="dxa"/>
              <w:bottom w:w="90" w:type="dxa"/>
              <w:right w:w="110" w:type="dxa"/>
            </w:tcMar>
            <w:vAlign w:val="center"/>
          </w:tcPr>
          <w:p w14:paraId="3C5F80A7" w14:textId="77777777" w:rsidR="00B45485" w:rsidRDefault="00000000">
            <w:pPr>
              <w:spacing w:after="0" w:line="252" w:lineRule="auto"/>
              <w:jc w:val="center"/>
            </w:pPr>
            <w:r>
              <w:rPr>
                <w:sz w:val="16"/>
              </w:rPr>
              <w:t>Milestone presentation</w:t>
            </w:r>
          </w:p>
        </w:tc>
        <w:tc>
          <w:tcPr>
            <w:tcW w:w="1944" w:type="dxa"/>
            <w:tcMar>
              <w:top w:w="90" w:type="dxa"/>
              <w:left w:w="110" w:type="dxa"/>
              <w:bottom w:w="90" w:type="dxa"/>
              <w:right w:w="110" w:type="dxa"/>
            </w:tcMar>
            <w:vAlign w:val="center"/>
          </w:tcPr>
          <w:p w14:paraId="36D76A06" w14:textId="77777777" w:rsidR="00B45485" w:rsidRDefault="00000000" w:rsidP="00AE09D0">
            <w:pPr>
              <w:spacing w:after="0" w:line="252" w:lineRule="auto"/>
              <w:jc w:val="center"/>
            </w:pPr>
            <w:r>
              <w:rPr>
                <w:sz w:val="16"/>
              </w:rPr>
              <w:t>Complete</w:t>
            </w:r>
          </w:p>
        </w:tc>
        <w:tc>
          <w:tcPr>
            <w:tcW w:w="5544" w:type="dxa"/>
            <w:tcMar>
              <w:top w:w="90" w:type="dxa"/>
              <w:left w:w="110" w:type="dxa"/>
              <w:bottom w:w="90" w:type="dxa"/>
              <w:right w:w="110" w:type="dxa"/>
            </w:tcMar>
            <w:vAlign w:val="center"/>
          </w:tcPr>
          <w:p w14:paraId="010B3C7A" w14:textId="77777777" w:rsidR="00B45485" w:rsidRDefault="00000000">
            <w:pPr>
              <w:spacing w:after="0" w:line="252" w:lineRule="auto"/>
            </w:pPr>
            <w:r>
              <w:rPr>
                <w:sz w:val="16"/>
              </w:rPr>
              <w:t>The seven-slide editable RIT deck passed package, layout, privacy, and visual checks.</w:t>
            </w:r>
          </w:p>
        </w:tc>
      </w:tr>
    </w:tbl>
    <w:p w14:paraId="71C977E4" w14:textId="77777777" w:rsidR="00B45485" w:rsidRDefault="00B45485">
      <w:pPr>
        <w:spacing w:after="20"/>
      </w:pPr>
    </w:p>
    <w:p w14:paraId="59094A32" w14:textId="77777777" w:rsidR="00B45485" w:rsidRDefault="00000000">
      <w:pPr>
        <w:pStyle w:val="Heading2"/>
      </w:pPr>
      <w:r>
        <w:t>Repository and Reproducibility</w:t>
      </w:r>
    </w:p>
    <w:p w14:paraId="547032A9" w14:textId="77777777" w:rsidR="00B45485" w:rsidRDefault="00000000">
      <w:r>
        <w:t>The implementation is organized as a modular monolith with separate research, backend, frontend, database, and simulation modules. Package versions, model revisions, dataset provenance, database migrations, and simulator source revisions are pinned. Raw research data, model weights, credentials, generated figures, and local database state are excluded from Git.</w:t>
      </w:r>
    </w:p>
    <w:p w14:paraId="6F5456B5" w14:textId="77777777" w:rsidR="00B45485" w:rsidRDefault="00000000">
      <w:r>
        <w:rPr>
          <w:b/>
        </w:rPr>
        <w:t xml:space="preserve">Repository: </w:t>
      </w:r>
      <w:hyperlink r:id="rId8">
        <w:r>
          <w:rPr>
            <w:color w:val="1155CC"/>
            <w:u w:val="single"/>
          </w:rPr>
          <w:t>github.com/sourav1859/GlycoLens</w:t>
        </w:r>
      </w:hyperlink>
    </w:p>
    <w:p w14:paraId="118F4B61" w14:textId="77777777" w:rsidR="00B45485" w:rsidRDefault="00000000">
      <w:r>
        <w:br w:type="page"/>
      </w:r>
    </w:p>
    <w:p w14:paraId="414B71D3" w14:textId="77777777" w:rsidR="00B45485" w:rsidRDefault="00000000">
      <w:pPr>
        <w:pStyle w:val="Heading1"/>
      </w:pPr>
      <w:r>
        <w:lastRenderedPageBreak/>
        <w:t>Dataset Audit and Meal Windows</w:t>
      </w:r>
    </w:p>
    <w:p w14:paraId="065A7E3A" w14:textId="77777777" w:rsidR="00B45485" w:rsidRDefault="00000000">
      <w:r>
        <w:t>The primary dataset is T1D-UOM V1.0.4, pinned to Zenodo DOI 10.5281/zenodo.17361905 and release commit ea52718b41cd27286df46acf87825555d4ec0463. The audit covered 62 CSV files and 386,564 rows across CGM, nutrition, bolus insulin, and basal insulin.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89"/>
        <w:gridCol w:w="3389"/>
        <w:gridCol w:w="6264"/>
      </w:tblGrid>
      <w:tr w:rsidR="00B45485" w14:paraId="77BF61D8" w14:textId="77777777">
        <w:trPr>
          <w:tblHeader/>
          <w:jc w:val="center"/>
        </w:trPr>
        <w:tc>
          <w:tcPr>
            <w:tcW w:w="3389" w:type="dxa"/>
            <w:shd w:val="clear" w:color="auto" w:fill="24344D"/>
            <w:tcMar>
              <w:top w:w="90" w:type="dxa"/>
              <w:left w:w="110" w:type="dxa"/>
              <w:bottom w:w="90" w:type="dxa"/>
              <w:right w:w="110" w:type="dxa"/>
            </w:tcMar>
            <w:vAlign w:val="center"/>
          </w:tcPr>
          <w:p w14:paraId="58A930FD" w14:textId="77777777" w:rsidR="00B45485" w:rsidRDefault="00000000">
            <w:pPr>
              <w:spacing w:after="0" w:line="252" w:lineRule="auto"/>
              <w:jc w:val="center"/>
            </w:pPr>
            <w:r>
              <w:rPr>
                <w:b/>
                <w:color w:val="FFFFFF"/>
                <w:sz w:val="18"/>
              </w:rPr>
              <w:t>Measure</w:t>
            </w:r>
          </w:p>
        </w:tc>
        <w:tc>
          <w:tcPr>
            <w:tcW w:w="3389" w:type="dxa"/>
            <w:shd w:val="clear" w:color="auto" w:fill="24344D"/>
            <w:tcMar>
              <w:top w:w="90" w:type="dxa"/>
              <w:left w:w="110" w:type="dxa"/>
              <w:bottom w:w="90" w:type="dxa"/>
              <w:right w:w="110" w:type="dxa"/>
            </w:tcMar>
            <w:vAlign w:val="center"/>
          </w:tcPr>
          <w:p w14:paraId="6DC94368" w14:textId="77777777" w:rsidR="00B45485" w:rsidRDefault="00000000">
            <w:pPr>
              <w:spacing w:after="0" w:line="252" w:lineRule="auto"/>
              <w:jc w:val="center"/>
            </w:pPr>
            <w:r>
              <w:rPr>
                <w:b/>
                <w:color w:val="FFFFFF"/>
                <w:sz w:val="18"/>
              </w:rPr>
              <w:t>Result</w:t>
            </w:r>
          </w:p>
        </w:tc>
        <w:tc>
          <w:tcPr>
            <w:tcW w:w="3389" w:type="dxa"/>
            <w:shd w:val="clear" w:color="auto" w:fill="24344D"/>
            <w:tcMar>
              <w:top w:w="90" w:type="dxa"/>
              <w:left w:w="110" w:type="dxa"/>
              <w:bottom w:w="90" w:type="dxa"/>
              <w:right w:w="110" w:type="dxa"/>
            </w:tcMar>
            <w:vAlign w:val="center"/>
          </w:tcPr>
          <w:p w14:paraId="5D2BE364" w14:textId="77777777" w:rsidR="00B45485" w:rsidRDefault="00000000">
            <w:pPr>
              <w:spacing w:after="0" w:line="252" w:lineRule="auto"/>
              <w:jc w:val="center"/>
            </w:pPr>
            <w:r>
              <w:rPr>
                <w:b/>
                <w:color w:val="FFFFFF"/>
                <w:sz w:val="18"/>
              </w:rPr>
              <w:t>Interpretation</w:t>
            </w:r>
          </w:p>
        </w:tc>
      </w:tr>
      <w:tr w:rsidR="00B45485" w14:paraId="2063A16E" w14:textId="77777777">
        <w:trPr>
          <w:jc w:val="center"/>
        </w:trPr>
        <w:tc>
          <w:tcPr>
            <w:tcW w:w="2088" w:type="dxa"/>
            <w:tcMar>
              <w:top w:w="90" w:type="dxa"/>
              <w:left w:w="110" w:type="dxa"/>
              <w:bottom w:w="90" w:type="dxa"/>
              <w:right w:w="110" w:type="dxa"/>
            </w:tcMar>
            <w:vAlign w:val="center"/>
          </w:tcPr>
          <w:p w14:paraId="0419989A" w14:textId="77777777" w:rsidR="00B45485" w:rsidRDefault="00000000">
            <w:pPr>
              <w:spacing w:after="0" w:line="252" w:lineRule="auto"/>
              <w:jc w:val="center"/>
            </w:pPr>
            <w:r>
              <w:rPr>
                <w:sz w:val="18"/>
              </w:rPr>
              <w:t>Participants</w:t>
            </w:r>
          </w:p>
        </w:tc>
        <w:tc>
          <w:tcPr>
            <w:tcW w:w="1800" w:type="dxa"/>
            <w:tcMar>
              <w:top w:w="90" w:type="dxa"/>
              <w:left w:w="110" w:type="dxa"/>
              <w:bottom w:w="90" w:type="dxa"/>
              <w:right w:w="110" w:type="dxa"/>
            </w:tcMar>
            <w:vAlign w:val="center"/>
          </w:tcPr>
          <w:p w14:paraId="65000C9B" w14:textId="77777777" w:rsidR="00B45485" w:rsidRDefault="00000000">
            <w:pPr>
              <w:spacing w:after="0" w:line="252" w:lineRule="auto"/>
            </w:pPr>
            <w:r>
              <w:rPr>
                <w:sz w:val="18"/>
              </w:rPr>
              <w:t>17 total</w:t>
            </w:r>
          </w:p>
        </w:tc>
        <w:tc>
          <w:tcPr>
            <w:tcW w:w="6264" w:type="dxa"/>
            <w:tcMar>
              <w:top w:w="90" w:type="dxa"/>
              <w:left w:w="110" w:type="dxa"/>
              <w:bottom w:w="90" w:type="dxa"/>
              <w:right w:w="110" w:type="dxa"/>
            </w:tcMar>
            <w:vAlign w:val="center"/>
          </w:tcPr>
          <w:p w14:paraId="4DF08D25" w14:textId="77777777" w:rsidR="00B45485" w:rsidRDefault="00000000">
            <w:pPr>
              <w:spacing w:after="0" w:line="252" w:lineRule="auto"/>
            </w:pPr>
            <w:r>
              <w:rPr>
                <w:sz w:val="18"/>
              </w:rPr>
              <w:t>Small cohort; suitable for retrospective feasibility and participant-aware evaluation</w:t>
            </w:r>
          </w:p>
        </w:tc>
      </w:tr>
      <w:tr w:rsidR="00B45485" w14:paraId="69BAD4FA" w14:textId="77777777">
        <w:trPr>
          <w:jc w:val="center"/>
        </w:trPr>
        <w:tc>
          <w:tcPr>
            <w:tcW w:w="2088" w:type="dxa"/>
            <w:shd w:val="clear" w:color="auto" w:fill="EEF2F6"/>
            <w:tcMar>
              <w:top w:w="90" w:type="dxa"/>
              <w:left w:w="110" w:type="dxa"/>
              <w:bottom w:w="90" w:type="dxa"/>
              <w:right w:w="110" w:type="dxa"/>
            </w:tcMar>
            <w:vAlign w:val="center"/>
          </w:tcPr>
          <w:p w14:paraId="2934BC66" w14:textId="77777777" w:rsidR="00B45485" w:rsidRDefault="00000000">
            <w:pPr>
              <w:spacing w:after="0" w:line="252" w:lineRule="auto"/>
              <w:jc w:val="center"/>
            </w:pPr>
            <w:r>
              <w:rPr>
                <w:sz w:val="18"/>
              </w:rPr>
              <w:t>Multimodal cohort</w:t>
            </w:r>
          </w:p>
        </w:tc>
        <w:tc>
          <w:tcPr>
            <w:tcW w:w="1800" w:type="dxa"/>
            <w:shd w:val="clear" w:color="auto" w:fill="EEF2F6"/>
            <w:tcMar>
              <w:top w:w="90" w:type="dxa"/>
              <w:left w:w="110" w:type="dxa"/>
              <w:bottom w:w="90" w:type="dxa"/>
              <w:right w:w="110" w:type="dxa"/>
            </w:tcMar>
            <w:vAlign w:val="center"/>
          </w:tcPr>
          <w:p w14:paraId="672C5AD0" w14:textId="77777777" w:rsidR="00B45485" w:rsidRDefault="00000000">
            <w:pPr>
              <w:spacing w:after="0" w:line="252" w:lineRule="auto"/>
            </w:pPr>
            <w:r>
              <w:rPr>
                <w:sz w:val="18"/>
              </w:rPr>
              <w:t>15 participants</w:t>
            </w:r>
          </w:p>
        </w:tc>
        <w:tc>
          <w:tcPr>
            <w:tcW w:w="6264" w:type="dxa"/>
            <w:shd w:val="clear" w:color="auto" w:fill="EEF2F6"/>
            <w:tcMar>
              <w:top w:w="90" w:type="dxa"/>
              <w:left w:w="110" w:type="dxa"/>
              <w:bottom w:w="90" w:type="dxa"/>
              <w:right w:w="110" w:type="dxa"/>
            </w:tcMar>
            <w:vAlign w:val="center"/>
          </w:tcPr>
          <w:p w14:paraId="2BA4BB86" w14:textId="77777777" w:rsidR="00B45485" w:rsidRDefault="00000000">
            <w:pPr>
              <w:spacing w:after="0" w:line="252" w:lineRule="auto"/>
            </w:pPr>
            <w:r>
              <w:rPr>
                <w:sz w:val="18"/>
              </w:rPr>
              <w:t>CGM, nutrition, and at least one insulin stream are available</w:t>
            </w:r>
          </w:p>
        </w:tc>
      </w:tr>
      <w:tr w:rsidR="00B45485" w14:paraId="1883C338" w14:textId="77777777">
        <w:trPr>
          <w:jc w:val="center"/>
        </w:trPr>
        <w:tc>
          <w:tcPr>
            <w:tcW w:w="2088" w:type="dxa"/>
            <w:tcMar>
              <w:top w:w="90" w:type="dxa"/>
              <w:left w:w="110" w:type="dxa"/>
              <w:bottom w:w="90" w:type="dxa"/>
              <w:right w:w="110" w:type="dxa"/>
            </w:tcMar>
            <w:vAlign w:val="center"/>
          </w:tcPr>
          <w:p w14:paraId="3F8957BB" w14:textId="77777777" w:rsidR="00B45485" w:rsidRDefault="00000000">
            <w:pPr>
              <w:spacing w:after="0" w:line="252" w:lineRule="auto"/>
              <w:jc w:val="center"/>
            </w:pPr>
            <w:r>
              <w:rPr>
                <w:sz w:val="18"/>
              </w:rPr>
              <w:t>All four core streams</w:t>
            </w:r>
          </w:p>
        </w:tc>
        <w:tc>
          <w:tcPr>
            <w:tcW w:w="1800" w:type="dxa"/>
            <w:tcMar>
              <w:top w:w="90" w:type="dxa"/>
              <w:left w:w="110" w:type="dxa"/>
              <w:bottom w:w="90" w:type="dxa"/>
              <w:right w:w="110" w:type="dxa"/>
            </w:tcMar>
            <w:vAlign w:val="center"/>
          </w:tcPr>
          <w:p w14:paraId="12F783C4" w14:textId="77777777" w:rsidR="00B45485" w:rsidRDefault="00000000">
            <w:pPr>
              <w:spacing w:after="0" w:line="252" w:lineRule="auto"/>
            </w:pPr>
            <w:r>
              <w:rPr>
                <w:sz w:val="18"/>
              </w:rPr>
              <w:t>13 participants</w:t>
            </w:r>
          </w:p>
        </w:tc>
        <w:tc>
          <w:tcPr>
            <w:tcW w:w="6264" w:type="dxa"/>
            <w:tcMar>
              <w:top w:w="90" w:type="dxa"/>
              <w:left w:w="110" w:type="dxa"/>
              <w:bottom w:w="90" w:type="dxa"/>
              <w:right w:w="110" w:type="dxa"/>
            </w:tcMar>
            <w:vAlign w:val="center"/>
          </w:tcPr>
          <w:p w14:paraId="3C86C015" w14:textId="77777777" w:rsidR="00B45485" w:rsidRDefault="00000000">
            <w:pPr>
              <w:spacing w:after="0" w:line="252" w:lineRule="auto"/>
            </w:pPr>
            <w:r>
              <w:rPr>
                <w:sz w:val="18"/>
              </w:rPr>
              <w:t>CGM, nutrition, bolus, and basal data are all present</w:t>
            </w:r>
          </w:p>
        </w:tc>
      </w:tr>
      <w:tr w:rsidR="00B45485" w14:paraId="5C56F81D" w14:textId="77777777">
        <w:trPr>
          <w:jc w:val="center"/>
        </w:trPr>
        <w:tc>
          <w:tcPr>
            <w:tcW w:w="2088" w:type="dxa"/>
            <w:shd w:val="clear" w:color="auto" w:fill="EEF2F6"/>
            <w:tcMar>
              <w:top w:w="90" w:type="dxa"/>
              <w:left w:w="110" w:type="dxa"/>
              <w:bottom w:w="90" w:type="dxa"/>
              <w:right w:w="110" w:type="dxa"/>
            </w:tcMar>
            <w:vAlign w:val="center"/>
          </w:tcPr>
          <w:p w14:paraId="11E4E9CD" w14:textId="77777777" w:rsidR="00B45485" w:rsidRDefault="00000000">
            <w:pPr>
              <w:spacing w:after="0" w:line="252" w:lineRule="auto"/>
              <w:jc w:val="center"/>
            </w:pPr>
            <w:r>
              <w:rPr>
                <w:sz w:val="18"/>
              </w:rPr>
              <w:t>Valid loaded meals</w:t>
            </w:r>
          </w:p>
        </w:tc>
        <w:tc>
          <w:tcPr>
            <w:tcW w:w="1800" w:type="dxa"/>
            <w:shd w:val="clear" w:color="auto" w:fill="EEF2F6"/>
            <w:tcMar>
              <w:top w:w="90" w:type="dxa"/>
              <w:left w:w="110" w:type="dxa"/>
              <w:bottom w:w="90" w:type="dxa"/>
              <w:right w:w="110" w:type="dxa"/>
            </w:tcMar>
            <w:vAlign w:val="center"/>
          </w:tcPr>
          <w:p w14:paraId="15EA28A1" w14:textId="77777777" w:rsidR="00B45485" w:rsidRDefault="00000000">
            <w:pPr>
              <w:spacing w:after="0" w:line="252" w:lineRule="auto"/>
            </w:pPr>
            <w:r>
              <w:rPr>
                <w:sz w:val="18"/>
              </w:rPr>
              <w:t>3,884</w:t>
            </w:r>
          </w:p>
        </w:tc>
        <w:tc>
          <w:tcPr>
            <w:tcW w:w="6264" w:type="dxa"/>
            <w:shd w:val="clear" w:color="auto" w:fill="EEF2F6"/>
            <w:tcMar>
              <w:top w:w="90" w:type="dxa"/>
              <w:left w:w="110" w:type="dxa"/>
              <w:bottom w:w="90" w:type="dxa"/>
              <w:right w:w="110" w:type="dxa"/>
            </w:tcMar>
            <w:vAlign w:val="center"/>
          </w:tcPr>
          <w:p w14:paraId="53256315" w14:textId="77777777" w:rsidR="00B45485" w:rsidRDefault="00000000">
            <w:pPr>
              <w:spacing w:after="0" w:line="252" w:lineRule="auto"/>
            </w:pPr>
            <w:r>
              <w:rPr>
                <w:sz w:val="18"/>
              </w:rPr>
              <w:t>Meal events evaluated under the initial strict policy</w:t>
            </w:r>
          </w:p>
        </w:tc>
      </w:tr>
      <w:tr w:rsidR="00B45485" w14:paraId="5D5050C8" w14:textId="77777777">
        <w:trPr>
          <w:jc w:val="center"/>
        </w:trPr>
        <w:tc>
          <w:tcPr>
            <w:tcW w:w="2088" w:type="dxa"/>
            <w:tcMar>
              <w:top w:w="90" w:type="dxa"/>
              <w:left w:w="110" w:type="dxa"/>
              <w:bottom w:w="90" w:type="dxa"/>
              <w:right w:w="110" w:type="dxa"/>
            </w:tcMar>
            <w:vAlign w:val="center"/>
          </w:tcPr>
          <w:p w14:paraId="0F79686C" w14:textId="77777777" w:rsidR="00B45485" w:rsidRDefault="00000000">
            <w:pPr>
              <w:spacing w:after="0" w:line="252" w:lineRule="auto"/>
              <w:jc w:val="center"/>
            </w:pPr>
            <w:r>
              <w:rPr>
                <w:sz w:val="18"/>
              </w:rPr>
              <w:t>Eligible windows</w:t>
            </w:r>
          </w:p>
        </w:tc>
        <w:tc>
          <w:tcPr>
            <w:tcW w:w="1800" w:type="dxa"/>
            <w:tcMar>
              <w:top w:w="90" w:type="dxa"/>
              <w:left w:w="110" w:type="dxa"/>
              <w:bottom w:w="90" w:type="dxa"/>
              <w:right w:w="110" w:type="dxa"/>
            </w:tcMar>
            <w:vAlign w:val="center"/>
          </w:tcPr>
          <w:p w14:paraId="3FA7C2B0" w14:textId="77777777" w:rsidR="00B45485" w:rsidRDefault="00000000">
            <w:pPr>
              <w:spacing w:after="0" w:line="252" w:lineRule="auto"/>
            </w:pPr>
            <w:r>
              <w:rPr>
                <w:sz w:val="18"/>
              </w:rPr>
              <w:t>927</w:t>
            </w:r>
          </w:p>
        </w:tc>
        <w:tc>
          <w:tcPr>
            <w:tcW w:w="6264" w:type="dxa"/>
            <w:tcMar>
              <w:top w:w="90" w:type="dxa"/>
              <w:left w:w="110" w:type="dxa"/>
              <w:bottom w:w="90" w:type="dxa"/>
              <w:right w:w="110" w:type="dxa"/>
            </w:tcMar>
            <w:vAlign w:val="center"/>
          </w:tcPr>
          <w:p w14:paraId="21E4B068" w14:textId="77777777" w:rsidR="00B45485" w:rsidRDefault="00000000">
            <w:pPr>
              <w:spacing w:after="0" w:line="252" w:lineRule="auto"/>
            </w:pPr>
            <w:r>
              <w:rPr>
                <w:sz w:val="18"/>
              </w:rPr>
              <w:t>Each contains 24 history points and 24 held-out target points</w:t>
            </w:r>
          </w:p>
        </w:tc>
      </w:tr>
      <w:tr w:rsidR="00B45485" w14:paraId="3067A551" w14:textId="77777777">
        <w:trPr>
          <w:jc w:val="center"/>
        </w:trPr>
        <w:tc>
          <w:tcPr>
            <w:tcW w:w="2088" w:type="dxa"/>
            <w:shd w:val="clear" w:color="auto" w:fill="EEF2F6"/>
            <w:tcMar>
              <w:top w:w="90" w:type="dxa"/>
              <w:left w:w="110" w:type="dxa"/>
              <w:bottom w:w="90" w:type="dxa"/>
              <w:right w:w="110" w:type="dxa"/>
            </w:tcMar>
            <w:vAlign w:val="center"/>
          </w:tcPr>
          <w:p w14:paraId="6D38020A" w14:textId="77777777" w:rsidR="00B45485" w:rsidRDefault="00000000">
            <w:pPr>
              <w:spacing w:after="0" w:line="252" w:lineRule="auto"/>
              <w:jc w:val="center"/>
            </w:pPr>
            <w:r>
              <w:rPr>
                <w:sz w:val="18"/>
              </w:rPr>
              <w:t>Eligibility yield</w:t>
            </w:r>
          </w:p>
        </w:tc>
        <w:tc>
          <w:tcPr>
            <w:tcW w:w="1800" w:type="dxa"/>
            <w:shd w:val="clear" w:color="auto" w:fill="EEF2F6"/>
            <w:tcMar>
              <w:top w:w="90" w:type="dxa"/>
              <w:left w:w="110" w:type="dxa"/>
              <w:bottom w:w="90" w:type="dxa"/>
              <w:right w:w="110" w:type="dxa"/>
            </w:tcMar>
            <w:vAlign w:val="center"/>
          </w:tcPr>
          <w:p w14:paraId="18B31D5D" w14:textId="77777777" w:rsidR="00B45485" w:rsidRDefault="00000000">
            <w:pPr>
              <w:spacing w:after="0" w:line="252" w:lineRule="auto"/>
            </w:pPr>
            <w:r>
              <w:rPr>
                <w:sz w:val="18"/>
              </w:rPr>
              <w:t>23.87%</w:t>
            </w:r>
          </w:p>
        </w:tc>
        <w:tc>
          <w:tcPr>
            <w:tcW w:w="6264" w:type="dxa"/>
            <w:shd w:val="clear" w:color="auto" w:fill="EEF2F6"/>
            <w:tcMar>
              <w:top w:w="90" w:type="dxa"/>
              <w:left w:w="110" w:type="dxa"/>
              <w:bottom w:w="90" w:type="dxa"/>
              <w:right w:w="110" w:type="dxa"/>
            </w:tcMar>
            <w:vAlign w:val="center"/>
          </w:tcPr>
          <w:p w14:paraId="2A7A49A2" w14:textId="77777777" w:rsidR="00B45485" w:rsidRDefault="00000000">
            <w:pPr>
              <w:spacing w:after="0" w:line="252" w:lineRule="auto"/>
            </w:pPr>
            <w:r>
              <w:rPr>
                <w:sz w:val="18"/>
              </w:rPr>
              <w:t>Enough windows for benchmarking, but filtering sensitivity must be studied</w:t>
            </w:r>
          </w:p>
        </w:tc>
      </w:tr>
    </w:tbl>
    <w:p w14:paraId="133DE99F" w14:textId="77777777" w:rsidR="00B45485" w:rsidRDefault="00B45485">
      <w:pPr>
        <w:spacing w:after="20"/>
      </w:pPr>
    </w:p>
    <w:p w14:paraId="49384065" w14:textId="77777777" w:rsidR="00B45485" w:rsidRDefault="00000000">
      <w:pPr>
        <w:keepNext/>
        <w:jc w:val="center"/>
      </w:pPr>
      <w:r>
        <w:rPr>
          <w:noProof/>
        </w:rPr>
        <w:drawing>
          <wp:inline distT="0" distB="0" distL="0" distR="0" wp14:anchorId="4956E7BB" wp14:editId="2604C049">
            <wp:extent cx="6172200" cy="1552941"/>
            <wp:effectExtent l="0" t="0" r="0" b="0"/>
            <wp:docPr id="1" name="Picture 1" descr="Stacked horizontal bar showing 3,884 valid meals: 1,281 rejected for incomplete history, 771 for a follow-up meal, 454 for missing insulin context, 451 for incomplete targets, and 927 eligible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_dataset_window_outcomes.png"/>
                    <pic:cNvPicPr/>
                  </pic:nvPicPr>
                  <pic:blipFill>
                    <a:blip r:embed="rId9"/>
                    <a:stretch>
                      <a:fillRect/>
                    </a:stretch>
                  </pic:blipFill>
                  <pic:spPr>
                    <a:xfrm>
                      <a:off x="0" y="0"/>
                      <a:ext cx="6172200" cy="1552941"/>
                    </a:xfrm>
                    <a:prstGeom prst="rect">
                      <a:avLst/>
                    </a:prstGeom>
                  </pic:spPr>
                </pic:pic>
              </a:graphicData>
            </a:graphic>
          </wp:inline>
        </w:drawing>
      </w:r>
    </w:p>
    <w:p w14:paraId="0E0B2F0C" w14:textId="77777777" w:rsidR="00B45485" w:rsidRDefault="00000000">
      <w:pPr>
        <w:spacing w:before="40" w:after="160"/>
        <w:jc w:val="center"/>
      </w:pPr>
      <w:r>
        <w:rPr>
          <w:i/>
          <w:color w:val="5B6573"/>
          <w:sz w:val="17"/>
        </w:rPr>
        <w:t>Figure 1. Sequential first-failure outcomes under the initial meal-window policy. Categories are mutually exclusive by construction.</w:t>
      </w:r>
    </w:p>
    <w:p w14:paraId="5E18965B" w14:textId="77777777" w:rsidR="00B45485" w:rsidRDefault="00000000">
      <w:pPr>
        <w:pStyle w:val="Heading2"/>
      </w:pPr>
      <w:r>
        <w:t>Important Data Findings</w:t>
      </w:r>
    </w:p>
    <w:p w14:paraId="704D0755" w14:textId="77777777" w:rsidR="00B45485" w:rsidRDefault="00000000">
      <w:pPr>
        <w:pStyle w:val="ListBullet"/>
        <w:spacing w:after="60"/>
        <w:ind w:left="346" w:hanging="173"/>
      </w:pPr>
      <w:r>
        <w:rPr>
          <w:sz w:val="20"/>
        </w:rPr>
        <w:t>The source timestamps are day-first even though the upstream README describes month-first formatting. Parsing the wrong order could silently move records to the wrong date.</w:t>
      </w:r>
    </w:p>
    <w:p w14:paraId="561F45C2" w14:textId="77777777" w:rsidR="00B45485" w:rsidRDefault="00000000">
      <w:pPr>
        <w:pStyle w:val="ListBullet"/>
        <w:spacing w:after="60"/>
        <w:ind w:left="346" w:hanging="173"/>
      </w:pPr>
      <w:r>
        <w:rPr>
          <w:sz w:val="20"/>
        </w:rPr>
        <w:t>The pipeline excludes 253 conflicting CGM timestamp groups instead of averaging them and excludes meals without a precise time.</w:t>
      </w:r>
    </w:p>
    <w:p w14:paraId="08C40350" w14:textId="77777777" w:rsidR="00B45485" w:rsidRDefault="00000000">
      <w:pPr>
        <w:pStyle w:val="ListBullet"/>
        <w:spacing w:after="60"/>
        <w:ind w:left="346" w:hanging="173"/>
      </w:pPr>
      <w:r>
        <w:rPr>
          <w:sz w:val="20"/>
        </w:rPr>
        <w:t>Every accepted window enforces the meal-time boundary, rejects a second meal in the forecast horizon, and keeps future CGM outside model-visible input.</w:t>
      </w:r>
    </w:p>
    <w:p w14:paraId="62BFD3C0" w14:textId="77777777" w:rsidR="00B45485" w:rsidRDefault="00000000">
      <w:pPr>
        <w:pStyle w:val="ListBullet"/>
        <w:spacing w:after="60"/>
        <w:ind w:left="346" w:hanging="173"/>
      </w:pPr>
      <w:r>
        <w:rPr>
          <w:sz w:val="20"/>
        </w:rPr>
        <w:t>The 927 windows demonstrate usable volume, but the 17-participant cohort does not support broad population claims.</w:t>
      </w:r>
    </w:p>
    <w:p w14:paraId="742B55B9" w14:textId="77777777" w:rsidR="00B45485" w:rsidRDefault="00000000">
      <w:r>
        <w:br w:type="page"/>
      </w:r>
    </w:p>
    <w:p w14:paraId="3D848667" w14:textId="77777777" w:rsidR="00B45485" w:rsidRDefault="00000000">
      <w:pPr>
        <w:pStyle w:val="Heading1"/>
      </w:pPr>
      <w:r>
        <w:lastRenderedPageBreak/>
        <w:t>Forecasting and Application Results</w:t>
      </w:r>
    </w:p>
    <w:p w14:paraId="20250259" w14:textId="77777777" w:rsidR="00B45485" w:rsidRDefault="00000000">
      <w:pPr>
        <w:pStyle w:val="Heading2"/>
      </w:pPr>
      <w:r>
        <w:t>Forecast Contract and Baseline</w:t>
      </w:r>
    </w:p>
    <w:p w14:paraId="46D7DD82" w14:textId="77777777" w:rsidR="00B45485" w:rsidRDefault="00000000">
      <w:r>
        <w:t>The common ForecastModelAdapter interface now supports baseline and pretrained models without changing the application. ForecastRequest contains only information available at forecast time. ForecastTarget stores future CGM separately for later evaluation. The persistence baseline runs through the same interface and provides a deterministic reference for Milestone 2.</w:t>
      </w:r>
    </w:p>
    <w:p w14:paraId="6259A183" w14:textId="77777777" w:rsidR="00B45485" w:rsidRDefault="00000000">
      <w:pPr>
        <w:pStyle w:val="Heading2"/>
      </w:pPr>
      <w:r>
        <w:t>Chronos 2 Technical Feasibility</w:t>
      </w:r>
    </w:p>
    <w:p w14:paraId="2395FDE7" w14:textId="77777777" w:rsidR="00B45485" w:rsidRDefault="00000000">
      <w:r>
        <w:t>The pinned amazon/chronos-2 checkpoint produced 24 five-minute q10, q50, and q90 forecast points from 24 historical CGM points on CPU. The result contained finite, non-crossing quantiles, and the adapter received no held-out future CGM. The final closure rerun recorded the measurements below.</w:t>
      </w:r>
    </w:p>
    <w:p w14:paraId="4C3A3C31" w14:textId="77777777" w:rsidR="00B45485" w:rsidRDefault="00000000">
      <w:pPr>
        <w:keepNext/>
        <w:jc w:val="center"/>
      </w:pPr>
      <w:r>
        <w:rPr>
          <w:noProof/>
        </w:rPr>
        <w:drawing>
          <wp:inline distT="0" distB="0" distL="0" distR="0" wp14:anchorId="1F5171B6" wp14:editId="128407A5">
            <wp:extent cx="5852160" cy="2118886"/>
            <wp:effectExtent l="0" t="0" r="0" b="0"/>
            <wp:docPr id="2" name="Picture 2" descr="Horizontal bar chart of Chronos-2 CPU latency: first adapter call 117.2 milliseconds, warm p95 80.1 milliseconds, and warm p50 53.9 millisec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_chronos2_latency.png"/>
                    <pic:cNvPicPr/>
                  </pic:nvPicPr>
                  <pic:blipFill>
                    <a:blip r:embed="rId10"/>
                    <a:stretch>
                      <a:fillRect/>
                    </a:stretch>
                  </pic:blipFill>
                  <pic:spPr>
                    <a:xfrm>
                      <a:off x="0" y="0"/>
                      <a:ext cx="5852160" cy="2118886"/>
                    </a:xfrm>
                    <a:prstGeom prst="rect">
                      <a:avLst/>
                    </a:prstGeom>
                  </pic:spPr>
                </pic:pic>
              </a:graphicData>
            </a:graphic>
          </wp:inline>
        </w:drawing>
      </w:r>
    </w:p>
    <w:p w14:paraId="71240342" w14:textId="77777777" w:rsidR="00B45485" w:rsidRDefault="00000000">
      <w:pPr>
        <w:spacing w:before="40" w:after="160"/>
        <w:jc w:val="center"/>
      </w:pPr>
      <w:r>
        <w:rPr>
          <w:i/>
          <w:color w:val="5B6573"/>
          <w:sz w:val="17"/>
        </w:rPr>
        <w:t>Figure 2. Machine-specific CPU smoke-test latency. Model load was 22.61 seconds and observed peak process memory was 810.91 MiB.</w:t>
      </w:r>
    </w:p>
    <w:p w14:paraId="0D9DE48E" w14:textId="77777777" w:rsidR="00B45485" w:rsidRDefault="00000000">
      <w:r>
        <w:t>These timings demonstrate that local CPU inference is practical for a capstone prototype. They do not measure prediction quality. The smoke test used one eligible CGM-only window, so the model still requires a participant-aware accuracy and calibration benchmark.</w:t>
      </w:r>
    </w:p>
    <w:p w14:paraId="7D55CC83" w14:textId="77777777" w:rsidR="00B45485" w:rsidRDefault="00000000">
      <w:pPr>
        <w:pStyle w:val="Heading2"/>
      </w:pPr>
      <w:r>
        <w:t>Working Application Boundary</w:t>
      </w:r>
    </w:p>
    <w:p w14:paraId="5F93AEE1" w14:textId="77777777" w:rsidR="00B45485" w:rsidRDefault="00000000">
      <w:pPr>
        <w:pStyle w:val="ListBullet"/>
        <w:spacing w:after="60"/>
        <w:ind w:left="346" w:hanging="173"/>
      </w:pPr>
      <w:r>
        <w:rPr>
          <w:sz w:val="20"/>
        </w:rPr>
        <w:t>FastAPI exposes a health route and a typed synthetic forecast route.</w:t>
      </w:r>
    </w:p>
    <w:p w14:paraId="3FA8E027" w14:textId="77777777" w:rsidR="00B45485" w:rsidRDefault="00000000">
      <w:pPr>
        <w:pStyle w:val="ListBullet"/>
        <w:spacing w:after="60"/>
        <w:ind w:left="346" w:hanging="173"/>
      </w:pPr>
      <w:r>
        <w:rPr>
          <w:sz w:val="20"/>
        </w:rPr>
        <w:t>The Next.js PWA displays 24 history points, 24 forecast points, the q10-q90 interval, and 30-, 60-, and 120-minute summaries.</w:t>
      </w:r>
    </w:p>
    <w:p w14:paraId="4CAC2005" w14:textId="77777777" w:rsidR="00B45485" w:rsidRDefault="00000000">
      <w:pPr>
        <w:pStyle w:val="ListBullet"/>
        <w:spacing w:after="60"/>
        <w:ind w:left="346" w:hanging="173"/>
      </w:pPr>
      <w:r>
        <w:rPr>
          <w:sz w:val="20"/>
        </w:rPr>
        <w:t>The interface includes loading, failure, retry, accessibility, uncertainty, and no-dosing messages.</w:t>
      </w:r>
    </w:p>
    <w:p w14:paraId="02553038" w14:textId="77777777" w:rsidR="00B45485" w:rsidRDefault="00000000">
      <w:pPr>
        <w:pStyle w:val="ListBullet"/>
        <w:spacing w:after="60"/>
        <w:ind w:left="346" w:hanging="173"/>
      </w:pPr>
      <w:r>
        <w:rPr>
          <w:sz w:val="20"/>
        </w:rPr>
        <w:t>The public demonstration remains synthetic; real Chronos-2 execution is currently a separate research command.</w:t>
      </w:r>
    </w:p>
    <w:p w14:paraId="19278400" w14:textId="77777777" w:rsidR="00B45485" w:rsidRDefault="00000000">
      <w:r>
        <w:br w:type="page"/>
      </w:r>
    </w:p>
    <w:p w14:paraId="1BFFBB90" w14:textId="77777777" w:rsidR="00B45485" w:rsidRDefault="00000000">
      <w:pPr>
        <w:pStyle w:val="Heading1"/>
      </w:pPr>
      <w:r>
        <w:lastRenderedPageBreak/>
        <w:t>Database Simulator and Validation</w:t>
      </w:r>
    </w:p>
    <w:p w14:paraId="3CCB3956" w14:textId="77777777" w:rsidR="00B45485" w:rsidRDefault="00000000">
      <w:pPr>
        <w:pStyle w:val="Heading2"/>
      </w:pPr>
      <w:r>
        <w:t>Local Application Database</w:t>
      </w:r>
    </w:p>
    <w:p w14:paraId="5B6370A8" w14:textId="77777777" w:rsidR="00B45485" w:rsidRDefault="00000000">
      <w:r>
        <w:t>The local Supabase migration creates ten application tables for users, CGM, insulin, activity, foods, meals, meal items, forecasts, forecast points, and meal outcomes. It also enables pgvector, creates constraints and indexes, and applies row-level security to every exposed table. The research dataset is not stored in the application database.</w:t>
      </w:r>
    </w:p>
    <w:p w14:paraId="10E5C3C3" w14:textId="77777777" w:rsidR="00B45485" w:rsidRDefault="00000000">
      <w:pPr>
        <w:pStyle w:val="Heading2"/>
      </w:pPr>
      <w:r>
        <w:t>Virtual Patient Scenario</w:t>
      </w:r>
    </w:p>
    <w:p w14:paraId="5993C470" w14:textId="77777777" w:rsidR="00B45485" w:rsidRDefault="00000000">
      <w:r>
        <w:t>The pinned py-mgipsim ExtHovorka/OpenLoop scenario produced 288 five-minute samples over one synthetic day. Two real executions produced byte-identical output. The simulated glucose range was 106.62 to 141.78 mg/dL, with a mean of 118.62 mg/dL. This result validates deterministic software execution, not physiological realism or treatment safety.</w:t>
      </w:r>
    </w:p>
    <w:p w14:paraId="14E3EA29" w14:textId="77777777" w:rsidR="00B45485" w:rsidRDefault="00000000">
      <w:pPr>
        <w:pStyle w:val="Heading2"/>
      </w:pPr>
      <w:r>
        <w:t>Final Validation Record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083"/>
        <w:gridCol w:w="6912"/>
      </w:tblGrid>
      <w:tr w:rsidR="00B45485" w14:paraId="4398F95D" w14:textId="77777777">
        <w:trPr>
          <w:tblHeader/>
          <w:jc w:val="center"/>
        </w:trPr>
        <w:tc>
          <w:tcPr>
            <w:tcW w:w="5083" w:type="dxa"/>
            <w:shd w:val="clear" w:color="auto" w:fill="24344D"/>
            <w:tcMar>
              <w:top w:w="90" w:type="dxa"/>
              <w:left w:w="110" w:type="dxa"/>
              <w:bottom w:w="90" w:type="dxa"/>
              <w:right w:w="110" w:type="dxa"/>
            </w:tcMar>
            <w:vAlign w:val="center"/>
          </w:tcPr>
          <w:p w14:paraId="069AE8D6" w14:textId="77777777" w:rsidR="00B45485" w:rsidRDefault="00000000">
            <w:pPr>
              <w:spacing w:after="0" w:line="252" w:lineRule="auto"/>
              <w:jc w:val="center"/>
            </w:pPr>
            <w:r>
              <w:rPr>
                <w:b/>
                <w:color w:val="FFFFFF"/>
                <w:sz w:val="18"/>
              </w:rPr>
              <w:t>Validation area</w:t>
            </w:r>
          </w:p>
        </w:tc>
        <w:tc>
          <w:tcPr>
            <w:tcW w:w="5083" w:type="dxa"/>
            <w:shd w:val="clear" w:color="auto" w:fill="24344D"/>
            <w:tcMar>
              <w:top w:w="90" w:type="dxa"/>
              <w:left w:w="110" w:type="dxa"/>
              <w:bottom w:w="90" w:type="dxa"/>
              <w:right w:w="110" w:type="dxa"/>
            </w:tcMar>
            <w:vAlign w:val="center"/>
          </w:tcPr>
          <w:p w14:paraId="7FE30738" w14:textId="77777777" w:rsidR="00B45485" w:rsidRDefault="00000000">
            <w:pPr>
              <w:spacing w:after="0" w:line="252" w:lineRule="auto"/>
              <w:jc w:val="center"/>
            </w:pPr>
            <w:r>
              <w:rPr>
                <w:b/>
                <w:color w:val="FFFFFF"/>
                <w:sz w:val="18"/>
              </w:rPr>
              <w:t>Result</w:t>
            </w:r>
          </w:p>
        </w:tc>
      </w:tr>
      <w:tr w:rsidR="00B45485" w14:paraId="304D27AE" w14:textId="77777777">
        <w:trPr>
          <w:jc w:val="center"/>
        </w:trPr>
        <w:tc>
          <w:tcPr>
            <w:tcW w:w="3240" w:type="dxa"/>
            <w:tcMar>
              <w:top w:w="90" w:type="dxa"/>
              <w:left w:w="110" w:type="dxa"/>
              <w:bottom w:w="90" w:type="dxa"/>
              <w:right w:w="110" w:type="dxa"/>
            </w:tcMar>
            <w:vAlign w:val="center"/>
          </w:tcPr>
          <w:p w14:paraId="5EA32EBD" w14:textId="77777777" w:rsidR="00B45485" w:rsidRDefault="00000000">
            <w:pPr>
              <w:spacing w:after="0" w:line="252" w:lineRule="auto"/>
              <w:jc w:val="center"/>
            </w:pPr>
            <w:r>
              <w:rPr>
                <w:sz w:val="18"/>
              </w:rPr>
              <w:t>Python regression suite</w:t>
            </w:r>
          </w:p>
        </w:tc>
        <w:tc>
          <w:tcPr>
            <w:tcW w:w="6912" w:type="dxa"/>
            <w:tcMar>
              <w:top w:w="90" w:type="dxa"/>
              <w:left w:w="110" w:type="dxa"/>
              <w:bottom w:w="90" w:type="dxa"/>
              <w:right w:w="110" w:type="dxa"/>
            </w:tcMar>
            <w:vAlign w:val="center"/>
          </w:tcPr>
          <w:p w14:paraId="3544ED37" w14:textId="77777777" w:rsidR="00B45485" w:rsidRDefault="00000000">
            <w:pPr>
              <w:spacing w:after="0" w:line="252" w:lineRule="auto"/>
            </w:pPr>
            <w:r>
              <w:rPr>
                <w:sz w:val="18"/>
              </w:rPr>
              <w:t>73 passed; 1 explicit simulator opt-in skip</w:t>
            </w:r>
          </w:p>
        </w:tc>
      </w:tr>
      <w:tr w:rsidR="00B45485" w14:paraId="188B06F8" w14:textId="77777777">
        <w:trPr>
          <w:jc w:val="center"/>
        </w:trPr>
        <w:tc>
          <w:tcPr>
            <w:tcW w:w="3240" w:type="dxa"/>
            <w:shd w:val="clear" w:color="auto" w:fill="EEF2F6"/>
            <w:tcMar>
              <w:top w:w="90" w:type="dxa"/>
              <w:left w:w="110" w:type="dxa"/>
              <w:bottom w:w="90" w:type="dxa"/>
              <w:right w:w="110" w:type="dxa"/>
            </w:tcMar>
            <w:vAlign w:val="center"/>
          </w:tcPr>
          <w:p w14:paraId="1AF809BE" w14:textId="77777777" w:rsidR="00B45485" w:rsidRDefault="00000000">
            <w:pPr>
              <w:spacing w:after="0" w:line="252" w:lineRule="auto"/>
              <w:jc w:val="center"/>
            </w:pPr>
            <w:r>
              <w:rPr>
                <w:sz w:val="18"/>
              </w:rPr>
              <w:t>Real simulator integration</w:t>
            </w:r>
          </w:p>
        </w:tc>
        <w:tc>
          <w:tcPr>
            <w:tcW w:w="6912" w:type="dxa"/>
            <w:shd w:val="clear" w:color="auto" w:fill="EEF2F6"/>
            <w:tcMar>
              <w:top w:w="90" w:type="dxa"/>
              <w:left w:w="110" w:type="dxa"/>
              <w:bottom w:w="90" w:type="dxa"/>
              <w:right w:w="110" w:type="dxa"/>
            </w:tcMar>
            <w:vAlign w:val="center"/>
          </w:tcPr>
          <w:p w14:paraId="389A7519" w14:textId="77777777" w:rsidR="00B45485" w:rsidRDefault="00000000">
            <w:pPr>
              <w:spacing w:after="0" w:line="252" w:lineRule="auto"/>
            </w:pPr>
            <w:r>
              <w:rPr>
                <w:sz w:val="18"/>
              </w:rPr>
              <w:t>11 passed, including two real executions</w:t>
            </w:r>
          </w:p>
        </w:tc>
      </w:tr>
      <w:tr w:rsidR="00B45485" w14:paraId="283DD9E9" w14:textId="77777777">
        <w:trPr>
          <w:jc w:val="center"/>
        </w:trPr>
        <w:tc>
          <w:tcPr>
            <w:tcW w:w="3240" w:type="dxa"/>
            <w:tcMar>
              <w:top w:w="90" w:type="dxa"/>
              <w:left w:w="110" w:type="dxa"/>
              <w:bottom w:w="90" w:type="dxa"/>
              <w:right w:w="110" w:type="dxa"/>
            </w:tcMar>
            <w:vAlign w:val="center"/>
          </w:tcPr>
          <w:p w14:paraId="28970521" w14:textId="77777777" w:rsidR="00B45485" w:rsidRDefault="00000000">
            <w:pPr>
              <w:spacing w:after="0" w:line="252" w:lineRule="auto"/>
              <w:jc w:val="center"/>
            </w:pPr>
            <w:r>
              <w:rPr>
                <w:sz w:val="18"/>
              </w:rPr>
              <w:t>Frontend behavior</w:t>
            </w:r>
          </w:p>
        </w:tc>
        <w:tc>
          <w:tcPr>
            <w:tcW w:w="6912" w:type="dxa"/>
            <w:tcMar>
              <w:top w:w="90" w:type="dxa"/>
              <w:left w:w="110" w:type="dxa"/>
              <w:bottom w:w="90" w:type="dxa"/>
              <w:right w:w="110" w:type="dxa"/>
            </w:tcMar>
            <w:vAlign w:val="center"/>
          </w:tcPr>
          <w:p w14:paraId="44AC7CD5" w14:textId="77777777" w:rsidR="00B45485" w:rsidRDefault="00000000">
            <w:pPr>
              <w:spacing w:after="0" w:line="252" w:lineRule="auto"/>
            </w:pPr>
            <w:r>
              <w:rPr>
                <w:sz w:val="18"/>
              </w:rPr>
              <w:t>3 files and 5 tests passed</w:t>
            </w:r>
          </w:p>
        </w:tc>
      </w:tr>
      <w:tr w:rsidR="00B45485" w14:paraId="7A926936" w14:textId="77777777">
        <w:trPr>
          <w:jc w:val="center"/>
        </w:trPr>
        <w:tc>
          <w:tcPr>
            <w:tcW w:w="3240" w:type="dxa"/>
            <w:shd w:val="clear" w:color="auto" w:fill="EEF2F6"/>
            <w:tcMar>
              <w:top w:w="90" w:type="dxa"/>
              <w:left w:w="110" w:type="dxa"/>
              <w:bottom w:w="90" w:type="dxa"/>
              <w:right w:w="110" w:type="dxa"/>
            </w:tcMar>
            <w:vAlign w:val="center"/>
          </w:tcPr>
          <w:p w14:paraId="67DD9403" w14:textId="77777777" w:rsidR="00B45485" w:rsidRDefault="00000000">
            <w:pPr>
              <w:spacing w:after="0" w:line="252" w:lineRule="auto"/>
              <w:jc w:val="center"/>
            </w:pPr>
            <w:r>
              <w:rPr>
                <w:sz w:val="18"/>
              </w:rPr>
              <w:t>Frontend static and build checks</w:t>
            </w:r>
          </w:p>
        </w:tc>
        <w:tc>
          <w:tcPr>
            <w:tcW w:w="6912" w:type="dxa"/>
            <w:shd w:val="clear" w:color="auto" w:fill="EEF2F6"/>
            <w:tcMar>
              <w:top w:w="90" w:type="dxa"/>
              <w:left w:w="110" w:type="dxa"/>
              <w:bottom w:w="90" w:type="dxa"/>
              <w:right w:w="110" w:type="dxa"/>
            </w:tcMar>
            <w:vAlign w:val="center"/>
          </w:tcPr>
          <w:p w14:paraId="3A842529" w14:textId="77777777" w:rsidR="00B45485" w:rsidRDefault="00000000">
            <w:pPr>
              <w:spacing w:after="0" w:line="252" w:lineRule="auto"/>
            </w:pPr>
            <w:r>
              <w:rPr>
                <w:sz w:val="18"/>
              </w:rPr>
              <w:t>ESLint, TypeScript, and production build passed</w:t>
            </w:r>
          </w:p>
        </w:tc>
      </w:tr>
      <w:tr w:rsidR="00B45485" w14:paraId="6B5BE880" w14:textId="77777777">
        <w:trPr>
          <w:jc w:val="center"/>
        </w:trPr>
        <w:tc>
          <w:tcPr>
            <w:tcW w:w="3240" w:type="dxa"/>
            <w:tcMar>
              <w:top w:w="90" w:type="dxa"/>
              <w:left w:w="110" w:type="dxa"/>
              <w:bottom w:w="90" w:type="dxa"/>
              <w:right w:w="110" w:type="dxa"/>
            </w:tcMar>
            <w:vAlign w:val="center"/>
          </w:tcPr>
          <w:p w14:paraId="5DDB3C38" w14:textId="77777777" w:rsidR="00B45485" w:rsidRDefault="00000000">
            <w:pPr>
              <w:spacing w:after="0" w:line="252" w:lineRule="auto"/>
              <w:jc w:val="center"/>
            </w:pPr>
            <w:r>
              <w:rPr>
                <w:sz w:val="18"/>
              </w:rPr>
              <w:t>Database behavior</w:t>
            </w:r>
          </w:p>
        </w:tc>
        <w:tc>
          <w:tcPr>
            <w:tcW w:w="6912" w:type="dxa"/>
            <w:tcMar>
              <w:top w:w="90" w:type="dxa"/>
              <w:left w:w="110" w:type="dxa"/>
              <w:bottom w:w="90" w:type="dxa"/>
              <w:right w:w="110" w:type="dxa"/>
            </w:tcMar>
            <w:vAlign w:val="center"/>
          </w:tcPr>
          <w:p w14:paraId="3EA21712" w14:textId="77777777" w:rsidR="00B45485" w:rsidRDefault="00000000">
            <w:pPr>
              <w:spacing w:after="0" w:line="252" w:lineRule="auto"/>
            </w:pPr>
            <w:r>
              <w:rPr>
                <w:sz w:val="18"/>
              </w:rPr>
              <w:t>Clean reset, no lint errors, and 20 pgTAP tests passed</w:t>
            </w:r>
          </w:p>
        </w:tc>
      </w:tr>
      <w:tr w:rsidR="00B45485" w14:paraId="2E2B1B69" w14:textId="77777777">
        <w:trPr>
          <w:jc w:val="center"/>
        </w:trPr>
        <w:tc>
          <w:tcPr>
            <w:tcW w:w="3240" w:type="dxa"/>
            <w:shd w:val="clear" w:color="auto" w:fill="EEF2F6"/>
            <w:tcMar>
              <w:top w:w="90" w:type="dxa"/>
              <w:left w:w="110" w:type="dxa"/>
              <w:bottom w:w="90" w:type="dxa"/>
              <w:right w:w="110" w:type="dxa"/>
            </w:tcMar>
            <w:vAlign w:val="center"/>
          </w:tcPr>
          <w:p w14:paraId="3FF363F8" w14:textId="77777777" w:rsidR="00B45485" w:rsidRDefault="00000000">
            <w:pPr>
              <w:spacing w:after="0" w:line="252" w:lineRule="auto"/>
              <w:jc w:val="center"/>
            </w:pPr>
            <w:r>
              <w:rPr>
                <w:sz w:val="18"/>
              </w:rPr>
              <w:t>Repository skills</w:t>
            </w:r>
          </w:p>
        </w:tc>
        <w:tc>
          <w:tcPr>
            <w:tcW w:w="6912" w:type="dxa"/>
            <w:shd w:val="clear" w:color="auto" w:fill="EEF2F6"/>
            <w:tcMar>
              <w:top w:w="90" w:type="dxa"/>
              <w:left w:w="110" w:type="dxa"/>
              <w:bottom w:w="90" w:type="dxa"/>
              <w:right w:w="110" w:type="dxa"/>
            </w:tcMar>
            <w:vAlign w:val="center"/>
          </w:tcPr>
          <w:p w14:paraId="774F0977" w14:textId="77777777" w:rsidR="00B45485" w:rsidRDefault="00000000">
            <w:pPr>
              <w:spacing w:after="0" w:line="252" w:lineRule="auto"/>
            </w:pPr>
            <w:r>
              <w:rPr>
                <w:sz w:val="18"/>
              </w:rPr>
              <w:t>9 validated with 0 failures</w:t>
            </w:r>
          </w:p>
        </w:tc>
      </w:tr>
      <w:tr w:rsidR="00B45485" w14:paraId="12088A68" w14:textId="77777777">
        <w:trPr>
          <w:jc w:val="center"/>
        </w:trPr>
        <w:tc>
          <w:tcPr>
            <w:tcW w:w="3240" w:type="dxa"/>
            <w:tcMar>
              <w:top w:w="90" w:type="dxa"/>
              <w:left w:w="110" w:type="dxa"/>
              <w:bottom w:w="90" w:type="dxa"/>
              <w:right w:w="110" w:type="dxa"/>
            </w:tcMar>
            <w:vAlign w:val="center"/>
          </w:tcPr>
          <w:p w14:paraId="46C74451" w14:textId="77777777" w:rsidR="00B45485" w:rsidRDefault="00000000">
            <w:pPr>
              <w:spacing w:after="0" w:line="252" w:lineRule="auto"/>
              <w:jc w:val="center"/>
            </w:pPr>
            <w:r>
              <w:rPr>
                <w:sz w:val="18"/>
              </w:rPr>
              <w:t>Privacy checks</w:t>
            </w:r>
          </w:p>
        </w:tc>
        <w:tc>
          <w:tcPr>
            <w:tcW w:w="6912" w:type="dxa"/>
            <w:tcMar>
              <w:top w:w="90" w:type="dxa"/>
              <w:left w:w="110" w:type="dxa"/>
              <w:bottom w:w="90" w:type="dxa"/>
              <w:right w:w="110" w:type="dxa"/>
            </w:tcMar>
            <w:vAlign w:val="center"/>
          </w:tcPr>
          <w:p w14:paraId="6594A19A" w14:textId="77777777" w:rsidR="00B45485" w:rsidRDefault="00000000">
            <w:pPr>
              <w:spacing w:after="0" w:line="252" w:lineRule="auto"/>
            </w:pPr>
            <w:r>
              <w:rPr>
                <w:sz w:val="18"/>
              </w:rPr>
              <w:t>No private academic addresses or absolute local paths detected</w:t>
            </w:r>
          </w:p>
        </w:tc>
      </w:tr>
      <w:tr w:rsidR="00B45485" w14:paraId="233B8F2C" w14:textId="77777777">
        <w:trPr>
          <w:jc w:val="center"/>
        </w:trPr>
        <w:tc>
          <w:tcPr>
            <w:tcW w:w="3240" w:type="dxa"/>
            <w:shd w:val="clear" w:color="auto" w:fill="EEF2F6"/>
            <w:tcMar>
              <w:top w:w="90" w:type="dxa"/>
              <w:left w:w="110" w:type="dxa"/>
              <w:bottom w:w="90" w:type="dxa"/>
              <w:right w:w="110" w:type="dxa"/>
            </w:tcMar>
            <w:vAlign w:val="center"/>
          </w:tcPr>
          <w:p w14:paraId="6CB27C1D" w14:textId="77777777" w:rsidR="00B45485" w:rsidRDefault="00000000">
            <w:pPr>
              <w:spacing w:after="0" w:line="252" w:lineRule="auto"/>
              <w:jc w:val="center"/>
            </w:pPr>
            <w:r>
              <w:rPr>
                <w:sz w:val="18"/>
              </w:rPr>
              <w:t>Presentation</w:t>
            </w:r>
          </w:p>
        </w:tc>
        <w:tc>
          <w:tcPr>
            <w:tcW w:w="6912" w:type="dxa"/>
            <w:shd w:val="clear" w:color="auto" w:fill="EEF2F6"/>
            <w:tcMar>
              <w:top w:w="90" w:type="dxa"/>
              <w:left w:w="110" w:type="dxa"/>
              <w:bottom w:w="90" w:type="dxa"/>
              <w:right w:w="110" w:type="dxa"/>
            </w:tcMar>
            <w:vAlign w:val="center"/>
          </w:tcPr>
          <w:p w14:paraId="1650578E" w14:textId="77777777" w:rsidR="00B45485" w:rsidRDefault="00000000">
            <w:pPr>
              <w:spacing w:after="0" w:line="252" w:lineRule="auto"/>
            </w:pPr>
            <w:r>
              <w:rPr>
                <w:sz w:val="18"/>
              </w:rPr>
              <w:t>7 slides, 2 editable charts, 1 editable table, and complete visual review</w:t>
            </w:r>
          </w:p>
        </w:tc>
      </w:tr>
    </w:tbl>
    <w:p w14:paraId="3EF04162" w14:textId="77777777" w:rsidR="00B45485" w:rsidRDefault="00B45485">
      <w:pPr>
        <w:spacing w:after="20"/>
      </w:pPr>
    </w:p>
    <w:p w14:paraId="2209217F" w14:textId="77777777" w:rsidR="00B45485" w:rsidRDefault="00000000">
      <w:pPr>
        <w:pStyle w:val="Heading2"/>
      </w:pPr>
      <w:r>
        <w:t>Safety Boundary</w:t>
      </w:r>
    </w:p>
    <w:p w14:paraId="5356D742" w14:textId="77777777" w:rsidR="00B45485" w:rsidRDefault="00000000">
      <w:r>
        <w:t>GlycoLens remains a research prototype. It does not recommend insulin doses, control a pump, diagnose disease, claim clinical accuracy, or provide treatment instructions. Demonstration data are synthetic or de-identified, and credentials and row-level research data remain outside the repository.</w:t>
      </w:r>
    </w:p>
    <w:p w14:paraId="458CDBD0" w14:textId="77777777" w:rsidR="00B45485" w:rsidRDefault="00000000">
      <w:r>
        <w:br w:type="page"/>
      </w:r>
    </w:p>
    <w:p w14:paraId="47D9966D" w14:textId="77777777" w:rsidR="00B45485" w:rsidRDefault="00000000">
      <w:pPr>
        <w:pStyle w:val="Heading1"/>
      </w:pPr>
      <w:r>
        <w:lastRenderedPageBreak/>
        <w:t>Critical Assessment and Next Steps</w:t>
      </w:r>
    </w:p>
    <w:p w14:paraId="016CA19A" w14:textId="77777777" w:rsidR="00B45485" w:rsidRDefault="00000000">
      <w:pPr>
        <w:pStyle w:val="Heading2"/>
      </w:pPr>
      <w:r>
        <w:t>What Milestone 1 Proves</w:t>
      </w:r>
    </w:p>
    <w:p w14:paraId="3F8047CB" w14:textId="77777777" w:rsidR="00B45485" w:rsidRDefault="00000000">
      <w:pPr>
        <w:pStyle w:val="ListBullet"/>
        <w:spacing w:after="60"/>
        <w:ind w:left="346" w:hanging="173"/>
      </w:pPr>
      <w:r>
        <w:rPr>
          <w:sz w:val="20"/>
        </w:rPr>
        <w:t>The chosen dataset can support hundreds of strict meal-centered evaluation windows.</w:t>
      </w:r>
    </w:p>
    <w:p w14:paraId="374F0F17" w14:textId="77777777" w:rsidR="00B45485" w:rsidRDefault="00000000">
      <w:pPr>
        <w:pStyle w:val="ListBullet"/>
        <w:spacing w:after="60"/>
        <w:ind w:left="346" w:hanging="173"/>
      </w:pPr>
      <w:r>
        <w:rPr>
          <w:sz w:val="20"/>
        </w:rPr>
        <w:t>The leakage boundary is enforceable in code, and the same forecast contract can support multiple model adapters.</w:t>
      </w:r>
    </w:p>
    <w:p w14:paraId="6F02AA36" w14:textId="77777777" w:rsidR="00B45485" w:rsidRDefault="00000000">
      <w:pPr>
        <w:pStyle w:val="ListBullet"/>
        <w:spacing w:after="60"/>
        <w:ind w:left="346" w:hanging="173"/>
      </w:pPr>
      <w:r>
        <w:rPr>
          <w:sz w:val="20"/>
        </w:rPr>
        <w:t>Chronos-2 can run locally on CPU and return the required two-hour probabilistic shape.</w:t>
      </w:r>
    </w:p>
    <w:p w14:paraId="5448D70C" w14:textId="77777777" w:rsidR="00B45485" w:rsidRDefault="00000000">
      <w:pPr>
        <w:pStyle w:val="ListBullet"/>
        <w:spacing w:after="60"/>
        <w:ind w:left="346" w:hanging="173"/>
      </w:pPr>
      <w:r>
        <w:rPr>
          <w:sz w:val="20"/>
        </w:rPr>
        <w:t>The API, browser visualization, local database, and simulator are executable foundations for the working prototype.</w:t>
      </w:r>
    </w:p>
    <w:p w14:paraId="096EC3E6" w14:textId="77777777" w:rsidR="00B45485" w:rsidRDefault="00000000">
      <w:pPr>
        <w:pStyle w:val="Heading2"/>
      </w:pPr>
      <w:r>
        <w:t>What Remains Unproven</w:t>
      </w:r>
    </w:p>
    <w:p w14:paraId="795E0E8A" w14:textId="77777777" w:rsidR="00B45485" w:rsidRDefault="00000000">
      <w:pPr>
        <w:pStyle w:val="ListBullet"/>
        <w:spacing w:after="60"/>
        <w:ind w:left="346" w:hanging="173"/>
      </w:pPr>
      <w:r>
        <w:rPr>
          <w:sz w:val="20"/>
        </w:rPr>
        <w:t>Forecast accuracy, calibration, and reliability across participants have not been measured.</w:t>
      </w:r>
    </w:p>
    <w:p w14:paraId="2860C8FC" w14:textId="77777777" w:rsidR="00B45485" w:rsidRDefault="00000000">
      <w:pPr>
        <w:pStyle w:val="ListBullet"/>
        <w:spacing w:after="60"/>
        <w:ind w:left="346" w:hanging="173"/>
      </w:pPr>
      <w:r>
        <w:rPr>
          <w:sz w:val="20"/>
        </w:rPr>
        <w:t>Chronos-2 currently supports only the CGM-only configuration; insulin and nutrition context still require a compatible adapter or representation strategy.</w:t>
      </w:r>
    </w:p>
    <w:p w14:paraId="240B20F9" w14:textId="77777777" w:rsidR="00B45485" w:rsidRDefault="00000000">
      <w:pPr>
        <w:pStyle w:val="ListBullet"/>
        <w:spacing w:after="60"/>
        <w:ind w:left="346" w:hanging="173"/>
      </w:pPr>
      <w:r>
        <w:rPr>
          <w:sz w:val="20"/>
        </w:rPr>
        <w:t>TimesFM has not been integrated, and the final model comparison is still open.</w:t>
      </w:r>
    </w:p>
    <w:p w14:paraId="59FCB77D" w14:textId="77777777" w:rsidR="00B45485" w:rsidRDefault="00000000">
      <w:pPr>
        <w:pStyle w:val="ListBullet"/>
        <w:spacing w:after="60"/>
        <w:ind w:left="346" w:hanging="173"/>
      </w:pPr>
      <w:r>
        <w:rPr>
          <w:sz w:val="20"/>
        </w:rPr>
        <w:t>The application does not yet connect meal capture, nutrition resolution, real model inference, persistence, and retrieval in one user flow.</w:t>
      </w:r>
    </w:p>
    <w:p w14:paraId="4F1817BE" w14:textId="77777777" w:rsidR="00B45485" w:rsidRDefault="00000000">
      <w:pPr>
        <w:pStyle w:val="ListBullet"/>
        <w:spacing w:after="60"/>
        <w:ind w:left="346" w:hanging="173"/>
      </w:pPr>
      <w:r>
        <w:rPr>
          <w:sz w:val="20"/>
        </w:rPr>
        <w:t>The local Supabase work has not been deployed to a hosted project, and no real-user study is in scope without additional review.</w:t>
      </w:r>
    </w:p>
    <w:p w14:paraId="6A53ABFD" w14:textId="77777777" w:rsidR="00B45485" w:rsidRDefault="00000000">
      <w:pPr>
        <w:pStyle w:val="Heading2"/>
      </w:pPr>
      <w:r>
        <w:t>Milestone 2 Priorities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89"/>
        <w:gridCol w:w="4608"/>
        <w:gridCol w:w="4608"/>
      </w:tblGrid>
      <w:tr w:rsidR="00B45485" w14:paraId="560422E6" w14:textId="77777777">
        <w:trPr>
          <w:tblHeader/>
          <w:jc w:val="center"/>
        </w:trPr>
        <w:tc>
          <w:tcPr>
            <w:tcW w:w="3389" w:type="dxa"/>
            <w:shd w:val="clear" w:color="auto" w:fill="24344D"/>
            <w:tcMar>
              <w:top w:w="90" w:type="dxa"/>
              <w:left w:w="110" w:type="dxa"/>
              <w:bottom w:w="90" w:type="dxa"/>
              <w:right w:w="110" w:type="dxa"/>
            </w:tcMar>
            <w:vAlign w:val="center"/>
          </w:tcPr>
          <w:p w14:paraId="26F9EC31" w14:textId="77777777" w:rsidR="00B45485" w:rsidRDefault="00000000">
            <w:pPr>
              <w:spacing w:after="0" w:line="252" w:lineRule="auto"/>
              <w:jc w:val="center"/>
            </w:pPr>
            <w:r>
              <w:rPr>
                <w:b/>
                <w:color w:val="FFFFFF"/>
                <w:sz w:val="18"/>
              </w:rPr>
              <w:t>Priority</w:t>
            </w:r>
          </w:p>
        </w:tc>
        <w:tc>
          <w:tcPr>
            <w:tcW w:w="3389" w:type="dxa"/>
            <w:shd w:val="clear" w:color="auto" w:fill="24344D"/>
            <w:tcMar>
              <w:top w:w="90" w:type="dxa"/>
              <w:left w:w="110" w:type="dxa"/>
              <w:bottom w:w="90" w:type="dxa"/>
              <w:right w:w="110" w:type="dxa"/>
            </w:tcMar>
            <w:vAlign w:val="center"/>
          </w:tcPr>
          <w:p w14:paraId="5CE6E120" w14:textId="77777777" w:rsidR="00B45485" w:rsidRDefault="00000000">
            <w:pPr>
              <w:spacing w:after="0" w:line="252" w:lineRule="auto"/>
              <w:jc w:val="center"/>
            </w:pPr>
            <w:r>
              <w:rPr>
                <w:b/>
                <w:color w:val="FFFFFF"/>
                <w:sz w:val="18"/>
              </w:rPr>
              <w:t>Planned work</w:t>
            </w:r>
          </w:p>
        </w:tc>
        <w:tc>
          <w:tcPr>
            <w:tcW w:w="3389" w:type="dxa"/>
            <w:shd w:val="clear" w:color="auto" w:fill="24344D"/>
            <w:tcMar>
              <w:top w:w="90" w:type="dxa"/>
              <w:left w:w="110" w:type="dxa"/>
              <w:bottom w:w="90" w:type="dxa"/>
              <w:right w:w="110" w:type="dxa"/>
            </w:tcMar>
            <w:vAlign w:val="center"/>
          </w:tcPr>
          <w:p w14:paraId="205773DA" w14:textId="77777777" w:rsidR="00B45485" w:rsidRDefault="00000000">
            <w:pPr>
              <w:spacing w:after="0" w:line="252" w:lineRule="auto"/>
              <w:jc w:val="center"/>
            </w:pPr>
            <w:r>
              <w:rPr>
                <w:b/>
                <w:color w:val="FFFFFF"/>
                <w:sz w:val="18"/>
              </w:rPr>
              <w:t>Expected evidence</w:t>
            </w:r>
          </w:p>
        </w:tc>
      </w:tr>
      <w:tr w:rsidR="00B45485" w14:paraId="3B20238B" w14:textId="77777777">
        <w:trPr>
          <w:jc w:val="center"/>
        </w:trPr>
        <w:tc>
          <w:tcPr>
            <w:tcW w:w="936" w:type="dxa"/>
            <w:tcMar>
              <w:top w:w="90" w:type="dxa"/>
              <w:left w:w="110" w:type="dxa"/>
              <w:bottom w:w="90" w:type="dxa"/>
              <w:right w:w="110" w:type="dxa"/>
            </w:tcMar>
            <w:vAlign w:val="center"/>
          </w:tcPr>
          <w:p w14:paraId="77BBADF0" w14:textId="77777777" w:rsidR="00B45485" w:rsidRDefault="00000000">
            <w:pPr>
              <w:spacing w:after="0" w:line="252" w:lineRule="auto"/>
              <w:jc w:val="center"/>
            </w:pPr>
            <w:r>
              <w:rPr>
                <w:sz w:val="17"/>
              </w:rPr>
              <w:t>1</w:t>
            </w:r>
          </w:p>
        </w:tc>
        <w:tc>
          <w:tcPr>
            <w:tcW w:w="4608" w:type="dxa"/>
            <w:tcMar>
              <w:top w:w="90" w:type="dxa"/>
              <w:left w:w="110" w:type="dxa"/>
              <w:bottom w:w="90" w:type="dxa"/>
              <w:right w:w="110" w:type="dxa"/>
            </w:tcMar>
            <w:vAlign w:val="center"/>
          </w:tcPr>
          <w:p w14:paraId="760CCEF7" w14:textId="77777777" w:rsidR="00B45485" w:rsidRDefault="00000000">
            <w:pPr>
              <w:spacing w:after="0" w:line="252" w:lineRule="auto"/>
            </w:pPr>
            <w:r>
              <w:rPr>
                <w:sz w:val="17"/>
              </w:rPr>
              <w:t>Freeze participant-aware train, validation, and test definitions</w:t>
            </w:r>
          </w:p>
        </w:tc>
        <w:tc>
          <w:tcPr>
            <w:tcW w:w="4608" w:type="dxa"/>
            <w:tcMar>
              <w:top w:w="90" w:type="dxa"/>
              <w:left w:w="110" w:type="dxa"/>
              <w:bottom w:w="90" w:type="dxa"/>
              <w:right w:w="110" w:type="dxa"/>
            </w:tcMar>
            <w:vAlign w:val="center"/>
          </w:tcPr>
          <w:p w14:paraId="646CC075" w14:textId="77777777" w:rsidR="00B45485" w:rsidRDefault="00000000">
            <w:pPr>
              <w:spacing w:after="0" w:line="252" w:lineRule="auto"/>
            </w:pPr>
            <w:r>
              <w:rPr>
                <w:sz w:val="17"/>
              </w:rPr>
              <w:t>Reproducible evaluation cohorts with no temporal or participant leakage</w:t>
            </w:r>
          </w:p>
        </w:tc>
      </w:tr>
      <w:tr w:rsidR="00B45485" w14:paraId="746F3671" w14:textId="77777777">
        <w:trPr>
          <w:jc w:val="center"/>
        </w:trPr>
        <w:tc>
          <w:tcPr>
            <w:tcW w:w="936" w:type="dxa"/>
            <w:shd w:val="clear" w:color="auto" w:fill="EEF2F6"/>
            <w:tcMar>
              <w:top w:w="90" w:type="dxa"/>
              <w:left w:w="110" w:type="dxa"/>
              <w:bottom w:w="90" w:type="dxa"/>
              <w:right w:w="110" w:type="dxa"/>
            </w:tcMar>
            <w:vAlign w:val="center"/>
          </w:tcPr>
          <w:p w14:paraId="5B005992" w14:textId="77777777" w:rsidR="00B45485" w:rsidRDefault="00000000">
            <w:pPr>
              <w:spacing w:after="0" w:line="252" w:lineRule="auto"/>
              <w:jc w:val="center"/>
            </w:pPr>
            <w:r>
              <w:rPr>
                <w:sz w:val="17"/>
              </w:rPr>
              <w:t>2</w:t>
            </w:r>
          </w:p>
        </w:tc>
        <w:tc>
          <w:tcPr>
            <w:tcW w:w="4608" w:type="dxa"/>
            <w:shd w:val="clear" w:color="auto" w:fill="EEF2F6"/>
            <w:tcMar>
              <w:top w:w="90" w:type="dxa"/>
              <w:left w:w="110" w:type="dxa"/>
              <w:bottom w:w="90" w:type="dxa"/>
              <w:right w:w="110" w:type="dxa"/>
            </w:tcMar>
            <w:vAlign w:val="center"/>
          </w:tcPr>
          <w:p w14:paraId="37791A38" w14:textId="77777777" w:rsidR="00B45485" w:rsidRDefault="00000000">
            <w:pPr>
              <w:spacing w:after="0" w:line="252" w:lineRule="auto"/>
            </w:pPr>
            <w:r>
              <w:rPr>
                <w:sz w:val="17"/>
              </w:rPr>
              <w:t>Benchmark persistence and Chronos-2 over the eligible event set</w:t>
            </w:r>
          </w:p>
        </w:tc>
        <w:tc>
          <w:tcPr>
            <w:tcW w:w="4608" w:type="dxa"/>
            <w:shd w:val="clear" w:color="auto" w:fill="EEF2F6"/>
            <w:tcMar>
              <w:top w:w="90" w:type="dxa"/>
              <w:left w:w="110" w:type="dxa"/>
              <w:bottom w:w="90" w:type="dxa"/>
              <w:right w:w="110" w:type="dxa"/>
            </w:tcMar>
            <w:vAlign w:val="center"/>
          </w:tcPr>
          <w:p w14:paraId="3BEFAA90" w14:textId="77777777" w:rsidR="00B45485" w:rsidRDefault="00000000">
            <w:pPr>
              <w:spacing w:after="0" w:line="252" w:lineRule="auto"/>
            </w:pPr>
            <w:r>
              <w:rPr>
                <w:sz w:val="17"/>
              </w:rPr>
              <w:t>MAE, RMSE, horizon errors, calibration, latency, memory, and failed-run rate</w:t>
            </w:r>
          </w:p>
        </w:tc>
      </w:tr>
      <w:tr w:rsidR="00B45485" w14:paraId="352DCE51" w14:textId="77777777">
        <w:trPr>
          <w:jc w:val="center"/>
        </w:trPr>
        <w:tc>
          <w:tcPr>
            <w:tcW w:w="936" w:type="dxa"/>
            <w:tcMar>
              <w:top w:w="90" w:type="dxa"/>
              <w:left w:w="110" w:type="dxa"/>
              <w:bottom w:w="90" w:type="dxa"/>
              <w:right w:w="110" w:type="dxa"/>
            </w:tcMar>
            <w:vAlign w:val="center"/>
          </w:tcPr>
          <w:p w14:paraId="69888EF9" w14:textId="77777777" w:rsidR="00B45485" w:rsidRDefault="00000000">
            <w:pPr>
              <w:spacing w:after="0" w:line="252" w:lineRule="auto"/>
              <w:jc w:val="center"/>
            </w:pPr>
            <w:r>
              <w:rPr>
                <w:sz w:val="17"/>
              </w:rPr>
              <w:t>3</w:t>
            </w:r>
          </w:p>
        </w:tc>
        <w:tc>
          <w:tcPr>
            <w:tcW w:w="4608" w:type="dxa"/>
            <w:tcMar>
              <w:top w:w="90" w:type="dxa"/>
              <w:left w:w="110" w:type="dxa"/>
              <w:bottom w:w="90" w:type="dxa"/>
              <w:right w:w="110" w:type="dxa"/>
            </w:tcMar>
            <w:vAlign w:val="center"/>
          </w:tcPr>
          <w:p w14:paraId="36E1E576" w14:textId="77777777" w:rsidR="00B45485" w:rsidRDefault="00000000">
            <w:pPr>
              <w:spacing w:after="0" w:line="252" w:lineRule="auto"/>
            </w:pPr>
            <w:r>
              <w:rPr>
                <w:sz w:val="17"/>
              </w:rPr>
              <w:t>Add the planned context comparisons</w:t>
            </w:r>
          </w:p>
        </w:tc>
        <w:tc>
          <w:tcPr>
            <w:tcW w:w="4608" w:type="dxa"/>
            <w:tcMar>
              <w:top w:w="90" w:type="dxa"/>
              <w:left w:w="110" w:type="dxa"/>
              <w:bottom w:w="90" w:type="dxa"/>
              <w:right w:w="110" w:type="dxa"/>
            </w:tcMar>
            <w:vAlign w:val="center"/>
          </w:tcPr>
          <w:p w14:paraId="132CB523" w14:textId="77777777" w:rsidR="00B45485" w:rsidRDefault="00000000">
            <w:pPr>
              <w:spacing w:after="0" w:line="252" w:lineRule="auto"/>
            </w:pPr>
            <w:r>
              <w:rPr>
                <w:sz w:val="17"/>
              </w:rPr>
              <w:t>CGM-only, CGM plus insulin, and CGM plus insulin and nutrition results</w:t>
            </w:r>
          </w:p>
        </w:tc>
      </w:tr>
      <w:tr w:rsidR="00B45485" w14:paraId="63CCDC47" w14:textId="77777777">
        <w:trPr>
          <w:jc w:val="center"/>
        </w:trPr>
        <w:tc>
          <w:tcPr>
            <w:tcW w:w="936" w:type="dxa"/>
            <w:shd w:val="clear" w:color="auto" w:fill="EEF2F6"/>
            <w:tcMar>
              <w:top w:w="90" w:type="dxa"/>
              <w:left w:w="110" w:type="dxa"/>
              <w:bottom w:w="90" w:type="dxa"/>
              <w:right w:w="110" w:type="dxa"/>
            </w:tcMar>
            <w:vAlign w:val="center"/>
          </w:tcPr>
          <w:p w14:paraId="3950C1A8" w14:textId="77777777" w:rsidR="00B45485" w:rsidRDefault="00000000">
            <w:pPr>
              <w:spacing w:after="0" w:line="252" w:lineRule="auto"/>
              <w:jc w:val="center"/>
            </w:pPr>
            <w:r>
              <w:rPr>
                <w:sz w:val="17"/>
              </w:rPr>
              <w:t>4</w:t>
            </w:r>
          </w:p>
        </w:tc>
        <w:tc>
          <w:tcPr>
            <w:tcW w:w="4608" w:type="dxa"/>
            <w:shd w:val="clear" w:color="auto" w:fill="EEF2F6"/>
            <w:tcMar>
              <w:top w:w="90" w:type="dxa"/>
              <w:left w:w="110" w:type="dxa"/>
              <w:bottom w:w="90" w:type="dxa"/>
              <w:right w:w="110" w:type="dxa"/>
            </w:tcMar>
            <w:vAlign w:val="center"/>
          </w:tcPr>
          <w:p w14:paraId="6A2227C4" w14:textId="77777777" w:rsidR="00B45485" w:rsidRDefault="00000000">
            <w:pPr>
              <w:spacing w:after="0" w:line="252" w:lineRule="auto"/>
            </w:pPr>
            <w:r>
              <w:rPr>
                <w:sz w:val="17"/>
              </w:rPr>
              <w:t>Implement meal and nutrition capture with provenance</w:t>
            </w:r>
          </w:p>
        </w:tc>
        <w:tc>
          <w:tcPr>
            <w:tcW w:w="4608" w:type="dxa"/>
            <w:shd w:val="clear" w:color="auto" w:fill="EEF2F6"/>
            <w:tcMar>
              <w:top w:w="90" w:type="dxa"/>
              <w:left w:w="110" w:type="dxa"/>
              <w:bottom w:w="90" w:type="dxa"/>
              <w:right w:w="110" w:type="dxa"/>
            </w:tcMar>
            <w:vAlign w:val="center"/>
          </w:tcPr>
          <w:p w14:paraId="3B5C6CF6" w14:textId="77777777" w:rsidR="00B45485" w:rsidRDefault="00000000">
            <w:pPr>
              <w:spacing w:after="0" w:line="252" w:lineRule="auto"/>
            </w:pPr>
            <w:r>
              <w:rPr>
                <w:sz w:val="17"/>
              </w:rPr>
              <w:t>A verified meal object ready for forecasting</w:t>
            </w:r>
          </w:p>
        </w:tc>
      </w:tr>
      <w:tr w:rsidR="00B45485" w14:paraId="1D5FC10F" w14:textId="77777777">
        <w:trPr>
          <w:jc w:val="center"/>
        </w:trPr>
        <w:tc>
          <w:tcPr>
            <w:tcW w:w="936" w:type="dxa"/>
            <w:tcMar>
              <w:top w:w="90" w:type="dxa"/>
              <w:left w:w="110" w:type="dxa"/>
              <w:bottom w:w="90" w:type="dxa"/>
              <w:right w:w="110" w:type="dxa"/>
            </w:tcMar>
            <w:vAlign w:val="center"/>
          </w:tcPr>
          <w:p w14:paraId="452B7180" w14:textId="77777777" w:rsidR="00B45485" w:rsidRDefault="00000000">
            <w:pPr>
              <w:spacing w:after="0" w:line="252" w:lineRule="auto"/>
              <w:jc w:val="center"/>
            </w:pPr>
            <w:r>
              <w:rPr>
                <w:sz w:val="17"/>
              </w:rPr>
              <w:t>5</w:t>
            </w:r>
          </w:p>
        </w:tc>
        <w:tc>
          <w:tcPr>
            <w:tcW w:w="4608" w:type="dxa"/>
            <w:tcMar>
              <w:top w:w="90" w:type="dxa"/>
              <w:left w:w="110" w:type="dxa"/>
              <w:bottom w:w="90" w:type="dxa"/>
              <w:right w:w="110" w:type="dxa"/>
            </w:tcMar>
            <w:vAlign w:val="center"/>
          </w:tcPr>
          <w:p w14:paraId="2EAE0FF2" w14:textId="77777777" w:rsidR="00B45485" w:rsidRDefault="00000000">
            <w:pPr>
              <w:spacing w:after="0" w:line="252" w:lineRule="auto"/>
            </w:pPr>
            <w:r>
              <w:rPr>
                <w:sz w:val="17"/>
              </w:rPr>
              <w:t>Connect the model boundary to the working application</w:t>
            </w:r>
          </w:p>
        </w:tc>
        <w:tc>
          <w:tcPr>
            <w:tcW w:w="4608" w:type="dxa"/>
            <w:tcMar>
              <w:top w:w="90" w:type="dxa"/>
              <w:left w:w="110" w:type="dxa"/>
              <w:bottom w:w="90" w:type="dxa"/>
              <w:right w:w="110" w:type="dxa"/>
            </w:tcMar>
            <w:vAlign w:val="center"/>
          </w:tcPr>
          <w:p w14:paraId="66A68596" w14:textId="77777777" w:rsidR="00B45485" w:rsidRDefault="00000000">
            <w:pPr>
              <w:spacing w:after="0" w:line="252" w:lineRule="auto"/>
            </w:pPr>
            <w:r>
              <w:rPr>
                <w:sz w:val="17"/>
              </w:rPr>
              <w:t>Meal to nutrition to forecast to visualization demonstration</w:t>
            </w:r>
          </w:p>
        </w:tc>
      </w:tr>
      <w:tr w:rsidR="00B45485" w14:paraId="7889A27D" w14:textId="77777777">
        <w:trPr>
          <w:jc w:val="center"/>
        </w:trPr>
        <w:tc>
          <w:tcPr>
            <w:tcW w:w="936" w:type="dxa"/>
            <w:shd w:val="clear" w:color="auto" w:fill="EEF2F6"/>
            <w:tcMar>
              <w:top w:w="90" w:type="dxa"/>
              <w:left w:w="110" w:type="dxa"/>
              <w:bottom w:w="90" w:type="dxa"/>
              <w:right w:w="110" w:type="dxa"/>
            </w:tcMar>
            <w:vAlign w:val="center"/>
          </w:tcPr>
          <w:p w14:paraId="7D7E0FB2" w14:textId="77777777" w:rsidR="00B45485" w:rsidRDefault="00000000">
            <w:pPr>
              <w:spacing w:after="0" w:line="252" w:lineRule="auto"/>
              <w:jc w:val="center"/>
            </w:pPr>
            <w:r>
              <w:rPr>
                <w:sz w:val="17"/>
              </w:rPr>
              <w:t>6</w:t>
            </w:r>
          </w:p>
        </w:tc>
        <w:tc>
          <w:tcPr>
            <w:tcW w:w="4608" w:type="dxa"/>
            <w:shd w:val="clear" w:color="auto" w:fill="EEF2F6"/>
            <w:tcMar>
              <w:top w:w="90" w:type="dxa"/>
              <w:left w:w="110" w:type="dxa"/>
              <w:bottom w:w="90" w:type="dxa"/>
              <w:right w:w="110" w:type="dxa"/>
            </w:tcMar>
            <w:vAlign w:val="center"/>
          </w:tcPr>
          <w:p w14:paraId="682D2928" w14:textId="77777777" w:rsidR="00B45485" w:rsidRDefault="00000000">
            <w:pPr>
              <w:spacing w:after="0" w:line="252" w:lineRule="auto"/>
            </w:pPr>
            <w:r>
              <w:rPr>
                <w:sz w:val="17"/>
              </w:rPr>
              <w:t>Add persistence and first similar-meal retrieval</w:t>
            </w:r>
          </w:p>
        </w:tc>
        <w:tc>
          <w:tcPr>
            <w:tcW w:w="4608" w:type="dxa"/>
            <w:shd w:val="clear" w:color="auto" w:fill="EEF2F6"/>
            <w:tcMar>
              <w:top w:w="90" w:type="dxa"/>
              <w:left w:w="110" w:type="dxa"/>
              <w:bottom w:w="90" w:type="dxa"/>
              <w:right w:w="110" w:type="dxa"/>
            </w:tcMar>
            <w:vAlign w:val="center"/>
          </w:tcPr>
          <w:p w14:paraId="2790C95C" w14:textId="77777777" w:rsidR="00B45485" w:rsidRDefault="00000000">
            <w:pPr>
              <w:spacing w:after="0" w:line="252" w:lineRule="auto"/>
            </w:pPr>
            <w:r>
              <w:rPr>
                <w:sz w:val="17"/>
              </w:rPr>
              <w:t>Saved meal and forecast records with owner-isolated retrieval</w:t>
            </w:r>
          </w:p>
        </w:tc>
      </w:tr>
    </w:tbl>
    <w:p w14:paraId="532B8DF8" w14:textId="77777777" w:rsidR="00B45485" w:rsidRDefault="00B45485">
      <w:pPr>
        <w:spacing w:after="20"/>
      </w:pPr>
    </w:p>
    <w:p w14:paraId="48F246F9" w14:textId="77777777" w:rsidR="00B45485" w:rsidRDefault="00000000">
      <w:pPr>
        <w:pStyle w:val="Heading2"/>
      </w:pPr>
      <w:r>
        <w:t>Advisor Feedback Requested</w:t>
      </w:r>
    </w:p>
    <w:p w14:paraId="11999D2B" w14:textId="77777777" w:rsidR="00B45485" w:rsidRDefault="00000000">
      <w:pPr>
        <w:pStyle w:val="ListBullet"/>
        <w:spacing w:after="60"/>
        <w:ind w:left="346" w:hanging="173"/>
      </w:pPr>
      <w:r>
        <w:rPr>
          <w:sz w:val="20"/>
        </w:rPr>
        <w:t>Confirm the primary evaluation metrics and whether uncertainty calibration should be a required Milestone 2 result.</w:t>
      </w:r>
    </w:p>
    <w:p w14:paraId="4D2F44E0" w14:textId="77777777" w:rsidR="00B45485" w:rsidRDefault="00000000">
      <w:pPr>
        <w:pStyle w:val="ListBullet"/>
        <w:spacing w:after="60"/>
        <w:ind w:left="346" w:hanging="173"/>
      </w:pPr>
      <w:r>
        <w:rPr>
          <w:sz w:val="20"/>
        </w:rPr>
        <w:t>Confirm whether TimesFM should remain a required comparison or stay optional while the end-to-end application is completed.</w:t>
      </w:r>
    </w:p>
    <w:p w14:paraId="29721F71" w14:textId="77777777" w:rsidR="00B45485" w:rsidRDefault="00000000">
      <w:pPr>
        <w:pStyle w:val="ListBullet"/>
        <w:spacing w:after="60"/>
        <w:ind w:left="346" w:hanging="173"/>
      </w:pPr>
      <w:r>
        <w:rPr>
          <w:sz w:val="20"/>
        </w:rPr>
        <w:t>Confirm whether the next demonstration should prioritize the nutrition-to-forecast user flow or broader model comparison first.</w:t>
      </w:r>
    </w:p>
    <w:p w14:paraId="1A2CF244" w14:textId="77777777" w:rsidR="00B45485" w:rsidRDefault="00000000">
      <w:r>
        <w:rPr>
          <w:b/>
        </w:rPr>
        <w:t xml:space="preserve">Evidence sources. </w:t>
      </w:r>
      <w:r>
        <w:t>The detailed evidence is recorded in the repository's Milestone 1 closure audit, data-pipeline report, Phase 1 through Phase 6 reports, measurement protocol, planning pack, and validated Milestone 1 presentation.</w:t>
      </w:r>
    </w:p>
    <w:sectPr w:rsidR="00B45485">
      <w:footerReference w:type="default" r:id="rId11"/>
      <w:pgSz w:w="12240" w:h="15840"/>
      <w:pgMar w:top="979"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77E3F" w14:textId="77777777" w:rsidR="00B3450C" w:rsidRDefault="00B3450C">
      <w:pPr>
        <w:spacing w:after="0" w:line="240" w:lineRule="auto"/>
      </w:pPr>
      <w:r>
        <w:separator/>
      </w:r>
    </w:p>
  </w:endnote>
  <w:endnote w:type="continuationSeparator" w:id="0">
    <w:p w14:paraId="03DC1ECA" w14:textId="77777777" w:rsidR="00B3450C" w:rsidRDefault="00B34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AD230" w14:textId="77777777" w:rsidR="00B45485" w:rsidRDefault="00000000">
    <w:pPr>
      <w:pStyle w:val="Footer"/>
      <w:jc w:val="right"/>
    </w:pPr>
    <w:proofErr w:type="spellStart"/>
    <w:r>
      <w:rPr>
        <w:color w:val="5B6573"/>
        <w:sz w:val="16"/>
      </w:rPr>
      <w:t>GlycoLens</w:t>
    </w:r>
    <w:proofErr w:type="spellEnd"/>
    <w:r>
      <w:rPr>
        <w:color w:val="5B6573"/>
        <w:sz w:val="16"/>
      </w:rPr>
      <w:t xml:space="preserve"> Milestone 1 Progress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2B826" w14:textId="77777777" w:rsidR="00B3450C" w:rsidRDefault="00B3450C">
      <w:pPr>
        <w:spacing w:after="0" w:line="240" w:lineRule="auto"/>
      </w:pPr>
      <w:r>
        <w:separator/>
      </w:r>
    </w:p>
  </w:footnote>
  <w:footnote w:type="continuationSeparator" w:id="0">
    <w:p w14:paraId="0367D045" w14:textId="77777777" w:rsidR="00B3450C" w:rsidRDefault="00B345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271510">
    <w:abstractNumId w:val="8"/>
  </w:num>
  <w:num w:numId="2" w16cid:durableId="243532213">
    <w:abstractNumId w:val="6"/>
  </w:num>
  <w:num w:numId="3" w16cid:durableId="1412577019">
    <w:abstractNumId w:val="5"/>
  </w:num>
  <w:num w:numId="4" w16cid:durableId="203643376">
    <w:abstractNumId w:val="4"/>
  </w:num>
  <w:num w:numId="5" w16cid:durableId="1209730595">
    <w:abstractNumId w:val="7"/>
  </w:num>
  <w:num w:numId="6" w16cid:durableId="1038697144">
    <w:abstractNumId w:val="3"/>
  </w:num>
  <w:num w:numId="7" w16cid:durableId="1300846156">
    <w:abstractNumId w:val="2"/>
  </w:num>
  <w:num w:numId="8" w16cid:durableId="411467675">
    <w:abstractNumId w:val="1"/>
  </w:num>
  <w:num w:numId="9" w16cid:durableId="997458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757AB"/>
    <w:rsid w:val="00AA1D8D"/>
    <w:rsid w:val="00AE09D0"/>
    <w:rsid w:val="00B3450C"/>
    <w:rsid w:val="00B4548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BAD0E8"/>
  <w14:defaultImageDpi w14:val="300"/>
  <w15:docId w15:val="{53B95CD0-9D38-4590-9F7B-89E30E438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color w:val="1F2937"/>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ourav1859/GlycoLen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1783</Words>
  <Characters>10166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GlycoLens Milestone 1 Progress Report</dc:title>
  <dc:subject>Milestone 1 progress and advisor review</dc:subject>
  <dc:creator/>
  <cp:keywords>GlycoLens, Milestone 1, T1D, forecasting, capstone</cp:keywords>
  <dc:description>generated by python-docx</dc:description>
  <cp:lastModifiedBy>Sourav Patil</cp:lastModifiedBy>
  <cp:revision>2</cp:revision>
  <dcterms:created xsi:type="dcterms:W3CDTF">2013-12-23T23:15:00Z</dcterms:created>
  <dcterms:modified xsi:type="dcterms:W3CDTF">2026-10-02T02:58:00Z</dcterms:modified>
  <cp:category/>
</cp:coreProperties>
</file>