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6877" w14:textId="77777777" w:rsidR="00B408A4" w:rsidRDefault="00000000">
      <w:pPr>
        <w:pStyle w:val="Title"/>
      </w:pPr>
      <w:r>
        <w:t>GlycoLens Milestone 1 Summary</w:t>
      </w:r>
    </w:p>
    <w:p w14:paraId="2DC25DE5" w14:textId="77777777" w:rsidR="00B408A4" w:rsidRDefault="00000000">
      <w:pPr>
        <w:spacing w:after="120"/>
      </w:pPr>
      <w:r>
        <w:rPr>
          <w:color w:val="5B6573"/>
        </w:rPr>
        <w:t>Prepared for Professor Haibo Yang | October 1, 2026</w:t>
      </w:r>
    </w:p>
    <w:p w14:paraId="1498EAAB" w14:textId="77777777" w:rsidR="00B408A4" w:rsidRDefault="00000000">
      <w:pPr>
        <w:spacing w:after="100"/>
      </w:pPr>
      <w:r>
        <w:rPr>
          <w:b/>
          <w:color w:val="F76902"/>
          <w:sz w:val="21"/>
        </w:rPr>
        <w:t xml:space="preserve">Status  </w:t>
      </w:r>
      <w:r>
        <w:rPr>
          <w:b/>
          <w:sz w:val="20"/>
        </w:rPr>
        <w:t>Milestone 1 is complete as a technical-feasibility milestone. The required data, model, application, database, simulator, validation, and presentation evidence is in the repository.</w:t>
      </w:r>
    </w:p>
    <w:p w14:paraId="496F6FBF" w14:textId="77777777" w:rsidR="00B408A4" w:rsidRDefault="00000000">
      <w:pPr>
        <w:pStyle w:val="Heading1"/>
      </w:pPr>
      <w:r>
        <w:t>Results at a Glance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285"/>
        <w:gridCol w:w="8280"/>
      </w:tblGrid>
      <w:tr w:rsidR="00B408A4" w14:paraId="785DC65A" w14:textId="77777777">
        <w:trPr>
          <w:tblHeader/>
          <w:jc w:val="center"/>
        </w:trPr>
        <w:tc>
          <w:tcPr>
            <w:tcW w:w="5285" w:type="dxa"/>
            <w:shd w:val="clear" w:color="auto" w:fill="2434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ED31E" w14:textId="77777777" w:rsidR="00B408A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5285" w:type="dxa"/>
            <w:shd w:val="clear" w:color="auto" w:fill="2434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612D8" w14:textId="77777777" w:rsidR="00B408A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</w:rPr>
              <w:t>Verified Milestone 1 result</w:t>
            </w:r>
          </w:p>
        </w:tc>
      </w:tr>
      <w:tr w:rsidR="00B408A4" w14:paraId="7D05AA17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F5B63" w14:textId="77777777" w:rsidR="00B408A4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Dataset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1C5FF" w14:textId="1FD55C91" w:rsidR="00B408A4" w:rsidRDefault="00000000">
            <w:pPr>
              <w:spacing w:after="0" w:line="252" w:lineRule="auto"/>
            </w:pPr>
            <w:r>
              <w:rPr>
                <w:sz w:val="17"/>
              </w:rPr>
              <w:t xml:space="preserve">T1D-UOM V1.0.4; 386,564 core rows; 17 participants; 927 strict meal windows from 3,884 </w:t>
            </w:r>
            <w:r w:rsidR="00066913">
              <w:rPr>
                <w:sz w:val="17"/>
              </w:rPr>
              <w:br/>
            </w:r>
            <w:r>
              <w:rPr>
                <w:sz w:val="17"/>
              </w:rPr>
              <w:t>valid meals.</w:t>
            </w:r>
          </w:p>
        </w:tc>
      </w:tr>
      <w:tr w:rsidR="00B408A4" w14:paraId="78499A2B" w14:textId="77777777">
        <w:trPr>
          <w:jc w:val="center"/>
        </w:trPr>
        <w:tc>
          <w:tcPr>
            <w:tcW w:w="2232" w:type="dxa"/>
            <w:shd w:val="clear" w:color="auto" w:fill="EEF2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B281E" w14:textId="77777777" w:rsidR="00B408A4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Forecasting</w:t>
            </w:r>
          </w:p>
        </w:tc>
        <w:tc>
          <w:tcPr>
            <w:tcW w:w="8280" w:type="dxa"/>
            <w:shd w:val="clear" w:color="auto" w:fill="EEF2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EF92B" w14:textId="574CD79A" w:rsidR="00B408A4" w:rsidRDefault="00000000">
            <w:pPr>
              <w:spacing w:after="0" w:line="252" w:lineRule="auto"/>
            </w:pPr>
            <w:r>
              <w:rPr>
                <w:sz w:val="17"/>
              </w:rPr>
              <w:t xml:space="preserve">Persistence adapter and pinned Chronos-2 run; 24 five-minute q10/q50/q90 points; </w:t>
            </w:r>
            <w:r w:rsidR="00066913">
              <w:rPr>
                <w:sz w:val="17"/>
              </w:rPr>
              <w:br/>
            </w:r>
            <w:r>
              <w:rPr>
                <w:sz w:val="17"/>
              </w:rPr>
              <w:t>target withheld.</w:t>
            </w:r>
          </w:p>
        </w:tc>
      </w:tr>
      <w:tr w:rsidR="00B408A4" w14:paraId="61EAF629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C62A0" w14:textId="77777777" w:rsidR="00B408A4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Runtime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06979" w14:textId="39F8203D" w:rsidR="00B408A4" w:rsidRDefault="00000000">
            <w:pPr>
              <w:spacing w:after="0" w:line="252" w:lineRule="auto"/>
            </w:pPr>
            <w:r>
              <w:rPr>
                <w:sz w:val="17"/>
              </w:rPr>
              <w:t xml:space="preserve">Chronos-2 closure rerun: 22.61 s load, 53.94 </w:t>
            </w:r>
            <w:proofErr w:type="spellStart"/>
            <w:r>
              <w:rPr>
                <w:sz w:val="17"/>
              </w:rPr>
              <w:t>ms</w:t>
            </w:r>
            <w:proofErr w:type="spellEnd"/>
            <w:r>
              <w:rPr>
                <w:sz w:val="17"/>
              </w:rPr>
              <w:t xml:space="preserve"> warm p50, 80.05 </w:t>
            </w:r>
            <w:proofErr w:type="spellStart"/>
            <w:r>
              <w:rPr>
                <w:sz w:val="17"/>
              </w:rPr>
              <w:t>ms</w:t>
            </w:r>
            <w:proofErr w:type="spellEnd"/>
            <w:r>
              <w:rPr>
                <w:sz w:val="17"/>
              </w:rPr>
              <w:t xml:space="preserve"> warm p95, </w:t>
            </w:r>
            <w:r w:rsidR="00066913">
              <w:rPr>
                <w:sz w:val="17"/>
              </w:rPr>
              <w:br/>
            </w:r>
            <w:r>
              <w:rPr>
                <w:sz w:val="17"/>
              </w:rPr>
              <w:t>810.91 MiB peak RSS.</w:t>
            </w:r>
          </w:p>
        </w:tc>
      </w:tr>
      <w:tr w:rsidR="00B408A4" w14:paraId="385C7482" w14:textId="77777777">
        <w:trPr>
          <w:jc w:val="center"/>
        </w:trPr>
        <w:tc>
          <w:tcPr>
            <w:tcW w:w="2232" w:type="dxa"/>
            <w:shd w:val="clear" w:color="auto" w:fill="EEF2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26D60" w14:textId="77777777" w:rsidR="00B408A4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Application and database</w:t>
            </w:r>
          </w:p>
        </w:tc>
        <w:tc>
          <w:tcPr>
            <w:tcW w:w="8280" w:type="dxa"/>
            <w:shd w:val="clear" w:color="auto" w:fill="EEF2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AA443" w14:textId="7EF99035" w:rsidR="00B408A4" w:rsidRDefault="00000000">
            <w:pPr>
              <w:spacing w:after="0" w:line="252" w:lineRule="auto"/>
            </w:pPr>
            <w:r>
              <w:rPr>
                <w:sz w:val="17"/>
              </w:rPr>
              <w:t xml:space="preserve">Typed FastAPI-to-Next.js synthetic flow; accessible chart; 10 local Supabase tables; </w:t>
            </w:r>
            <w:r w:rsidR="00066913">
              <w:rPr>
                <w:sz w:val="17"/>
              </w:rPr>
              <w:br/>
            </w:r>
            <w:r>
              <w:rPr>
                <w:sz w:val="17"/>
              </w:rPr>
              <w:t xml:space="preserve">RLS; 20 </w:t>
            </w:r>
            <w:proofErr w:type="spellStart"/>
            <w:r>
              <w:rPr>
                <w:sz w:val="17"/>
              </w:rPr>
              <w:t>pgTAP</w:t>
            </w:r>
            <w:proofErr w:type="spellEnd"/>
            <w:r>
              <w:rPr>
                <w:sz w:val="17"/>
              </w:rPr>
              <w:t xml:space="preserve"> tests.</w:t>
            </w:r>
          </w:p>
        </w:tc>
      </w:tr>
      <w:tr w:rsidR="00B408A4" w14:paraId="422E2A90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E74B8" w14:textId="77777777" w:rsidR="00B408A4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Simulation and validation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09A59" w14:textId="471E4F78" w:rsidR="00B408A4" w:rsidRDefault="00000000">
            <w:pPr>
              <w:spacing w:after="0" w:line="252" w:lineRule="auto"/>
            </w:pPr>
            <w:r>
              <w:rPr>
                <w:sz w:val="17"/>
              </w:rPr>
              <w:t xml:space="preserve">Pinned </w:t>
            </w:r>
            <w:proofErr w:type="spellStart"/>
            <w:r>
              <w:rPr>
                <w:sz w:val="17"/>
              </w:rPr>
              <w:t>py-mgipsim</w:t>
            </w:r>
            <w:proofErr w:type="spellEnd"/>
            <w:r>
              <w:rPr>
                <w:sz w:val="17"/>
              </w:rPr>
              <w:t xml:space="preserve"> scenario produced 288 samples twice with byte-identical output; </w:t>
            </w:r>
            <w:r w:rsidR="00066913">
              <w:rPr>
                <w:sz w:val="17"/>
              </w:rPr>
              <w:br/>
            </w:r>
            <w:r>
              <w:rPr>
                <w:sz w:val="17"/>
              </w:rPr>
              <w:t>73 Python, 5 frontend, and 11 real simulator tests passed.</w:t>
            </w:r>
          </w:p>
        </w:tc>
      </w:tr>
    </w:tbl>
    <w:p w14:paraId="0023B52D" w14:textId="77777777" w:rsidR="00B408A4" w:rsidRDefault="00B408A4">
      <w:pPr>
        <w:spacing w:after="20"/>
      </w:pPr>
    </w:p>
    <w:p w14:paraId="74EA312C" w14:textId="77777777" w:rsidR="00B408A4" w:rsidRDefault="00000000">
      <w:pPr>
        <w:pStyle w:val="Heading1"/>
      </w:pPr>
      <w:r>
        <w:t>Completed and Remaining Work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408A4" w14:paraId="17F7146F" w14:textId="77777777">
        <w:trPr>
          <w:tblHeader/>
          <w:jc w:val="center"/>
        </w:trPr>
        <w:tc>
          <w:tcPr>
            <w:tcW w:w="5285" w:type="dxa"/>
            <w:shd w:val="clear" w:color="auto" w:fill="2434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D5D2B" w14:textId="77777777" w:rsidR="00B408A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</w:rPr>
              <w:t>Completed for Milestone 1</w:t>
            </w:r>
          </w:p>
        </w:tc>
        <w:tc>
          <w:tcPr>
            <w:tcW w:w="5285" w:type="dxa"/>
            <w:shd w:val="clear" w:color="auto" w:fill="2434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C3056" w14:textId="77777777" w:rsidR="00B408A4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</w:rPr>
              <w:t>Remaining for Milestone 2</w:t>
            </w:r>
          </w:p>
        </w:tc>
      </w:tr>
      <w:tr w:rsidR="00B408A4" w14:paraId="5075724D" w14:textId="77777777">
        <w:trPr>
          <w:jc w:val="center"/>
        </w:trPr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79AD8" w14:textId="77777777" w:rsidR="00B408A4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Literature and model matrix</w:t>
            </w:r>
            <w:r>
              <w:rPr>
                <w:sz w:val="17"/>
              </w:rPr>
              <w:br/>
              <w:t>Dataset audit and meal windows</w:t>
            </w:r>
            <w:r>
              <w:rPr>
                <w:sz w:val="17"/>
              </w:rPr>
              <w:br/>
              <w:t>Leakage-safe forecast contract</w:t>
            </w:r>
            <w:r>
              <w:rPr>
                <w:sz w:val="17"/>
              </w:rPr>
              <w:br/>
              <w:t>Persistence and Chronos-2 feasibility</w:t>
            </w:r>
            <w:r>
              <w:rPr>
                <w:sz w:val="17"/>
              </w:rPr>
              <w:br/>
              <w:t>Synthetic API and forecast UI</w:t>
            </w:r>
            <w:r>
              <w:rPr>
                <w:sz w:val="17"/>
              </w:rPr>
              <w:br/>
              <w:t>Local database and RLS</w:t>
            </w:r>
            <w:r>
              <w:rPr>
                <w:sz w:val="17"/>
              </w:rPr>
              <w:br/>
              <w:t>Offline py-mgipsim scenario</w:t>
            </w:r>
            <w:r>
              <w:rPr>
                <w:sz w:val="17"/>
              </w:rPr>
              <w:br/>
              <w:t>Validated milestone presentation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C5D55" w14:textId="77777777" w:rsidR="00B408A4" w:rsidRDefault="00000000">
            <w:pPr>
              <w:spacing w:after="0" w:line="252" w:lineRule="auto"/>
            </w:pPr>
            <w:r>
              <w:rPr>
                <w:sz w:val="17"/>
              </w:rPr>
              <w:t>Freeze participant-aware splits</w:t>
            </w:r>
            <w:r>
              <w:rPr>
                <w:sz w:val="17"/>
              </w:rPr>
              <w:br/>
              <w:t>Benchmark persistence versus Chronos-2</w:t>
            </w:r>
            <w:r>
              <w:rPr>
                <w:sz w:val="17"/>
              </w:rPr>
              <w:br/>
              <w:t>Measure accuracy and calibration</w:t>
            </w:r>
            <w:r>
              <w:rPr>
                <w:sz w:val="17"/>
              </w:rPr>
              <w:br/>
              <w:t>Run insulin and nutrition context ablations</w:t>
            </w:r>
            <w:r>
              <w:rPr>
                <w:sz w:val="17"/>
              </w:rPr>
              <w:br/>
              <w:t>Decide whether to add TimesFM</w:t>
            </w:r>
            <w:r>
              <w:rPr>
                <w:sz w:val="17"/>
              </w:rPr>
              <w:br/>
              <w:t>Connect meal and nutrition input to real inference</w:t>
            </w:r>
            <w:r>
              <w:rPr>
                <w:sz w:val="17"/>
              </w:rPr>
              <w:br/>
              <w:t>Persist forecasts and retrieve similar meals</w:t>
            </w:r>
          </w:p>
        </w:tc>
      </w:tr>
    </w:tbl>
    <w:p w14:paraId="44AEC785" w14:textId="77777777" w:rsidR="00B408A4" w:rsidRDefault="00B408A4">
      <w:pPr>
        <w:spacing w:after="20"/>
      </w:pPr>
    </w:p>
    <w:p w14:paraId="0029011A" w14:textId="77777777" w:rsidR="00B408A4" w:rsidRDefault="00000000">
      <w:pPr>
        <w:spacing w:before="60"/>
      </w:pPr>
      <w:r>
        <w:rPr>
          <w:b/>
          <w:color w:val="F76902"/>
        </w:rPr>
        <w:t xml:space="preserve">Important limit  </w:t>
      </w:r>
      <w:r>
        <w:t>Milestone 1 proves that the planned components can run together. It does not yet prove forecast accuracy, participant-level generalization, physiological realism, clinical value, or suitability for insulin dosing.</w:t>
      </w:r>
    </w:p>
    <w:p w14:paraId="401BF65F" w14:textId="77777777" w:rsidR="00B408A4" w:rsidRDefault="00000000">
      <w:pPr>
        <w:pStyle w:val="Heading1"/>
      </w:pPr>
      <w:r>
        <w:t>Advisor Feedback Requested</w:t>
      </w:r>
    </w:p>
    <w:p w14:paraId="0BC76FA3" w14:textId="77777777" w:rsidR="00B408A4" w:rsidRDefault="00000000">
      <w:pPr>
        <w:spacing w:after="60"/>
      </w:pPr>
      <w:r>
        <w:t>Please confirm the primary evaluation metrics, whether uncertainty calibration is required, and whether TimesFM should remain optional while the end-to-end meal-to-forecast workflow is completed.</w:t>
      </w:r>
    </w:p>
    <w:p w14:paraId="7D1268E6" w14:textId="77777777" w:rsidR="00B408A4" w:rsidRDefault="00000000">
      <w:pPr>
        <w:spacing w:before="40"/>
      </w:pPr>
      <w:r>
        <w:rPr>
          <w:b/>
        </w:rPr>
        <w:t xml:space="preserve">Repository  </w:t>
      </w:r>
      <w:hyperlink r:id="rId8">
        <w:r>
          <w:rPr>
            <w:color w:val="1155CC"/>
            <w:u w:val="single"/>
          </w:rPr>
          <w:t>github.com/sourav1859/GlycoLens</w:t>
        </w:r>
      </w:hyperlink>
    </w:p>
    <w:sectPr w:rsidR="00B408A4">
      <w:footerReference w:type="default" r:id="rId9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215E4" w14:textId="77777777" w:rsidR="00F4765A" w:rsidRDefault="00F4765A">
      <w:pPr>
        <w:spacing w:after="0" w:line="240" w:lineRule="auto"/>
      </w:pPr>
      <w:r>
        <w:separator/>
      </w:r>
    </w:p>
  </w:endnote>
  <w:endnote w:type="continuationSeparator" w:id="0">
    <w:p w14:paraId="77CD82DD" w14:textId="77777777" w:rsidR="00F4765A" w:rsidRDefault="00F47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BF0D" w14:textId="77777777" w:rsidR="00B408A4" w:rsidRDefault="00000000">
    <w:pPr>
      <w:pStyle w:val="Footer"/>
      <w:jc w:val="right"/>
    </w:pPr>
    <w:proofErr w:type="spellStart"/>
    <w:r>
      <w:rPr>
        <w:color w:val="5B6573"/>
        <w:sz w:val="16"/>
      </w:rPr>
      <w:t>GlycoLens</w:t>
    </w:r>
    <w:proofErr w:type="spellEnd"/>
    <w:r>
      <w:rPr>
        <w:color w:val="5B6573"/>
        <w:sz w:val="16"/>
      </w:rPr>
      <w:t xml:space="preserve"> Milestone 1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CB8E3" w14:textId="77777777" w:rsidR="00F4765A" w:rsidRDefault="00F4765A">
      <w:pPr>
        <w:spacing w:after="0" w:line="240" w:lineRule="auto"/>
      </w:pPr>
      <w:r>
        <w:separator/>
      </w:r>
    </w:p>
  </w:footnote>
  <w:footnote w:type="continuationSeparator" w:id="0">
    <w:p w14:paraId="40B30EF0" w14:textId="77777777" w:rsidR="00F4765A" w:rsidRDefault="00F47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07975">
    <w:abstractNumId w:val="8"/>
  </w:num>
  <w:num w:numId="2" w16cid:durableId="1499033195">
    <w:abstractNumId w:val="6"/>
  </w:num>
  <w:num w:numId="3" w16cid:durableId="862010583">
    <w:abstractNumId w:val="5"/>
  </w:num>
  <w:num w:numId="4" w16cid:durableId="1711225898">
    <w:abstractNumId w:val="4"/>
  </w:num>
  <w:num w:numId="5" w16cid:durableId="264773934">
    <w:abstractNumId w:val="7"/>
  </w:num>
  <w:num w:numId="6" w16cid:durableId="1329136094">
    <w:abstractNumId w:val="3"/>
  </w:num>
  <w:num w:numId="7" w16cid:durableId="1981569536">
    <w:abstractNumId w:val="2"/>
  </w:num>
  <w:num w:numId="8" w16cid:durableId="1307322316">
    <w:abstractNumId w:val="1"/>
  </w:num>
  <w:num w:numId="9" w16cid:durableId="71940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913"/>
    <w:rsid w:val="0015074B"/>
    <w:rsid w:val="0029639D"/>
    <w:rsid w:val="00326F90"/>
    <w:rsid w:val="00AA1D8D"/>
    <w:rsid w:val="00B408A4"/>
    <w:rsid w:val="00B47730"/>
    <w:rsid w:val="00CB0664"/>
    <w:rsid w:val="00F4765A"/>
    <w:rsid w:val="00FC59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45FD8"/>
  <w14:defaultImageDpi w14:val="300"/>
  <w15:docId w15:val="{ACA18C2C-D7AF-4F73-8BEE-A0111754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4" w:line="245" w:lineRule="auto"/>
    </w:pPr>
    <w:rPr>
      <w:rFonts w:ascii="Arial" w:hAnsi="Arial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urav1859/GlycoLen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GlycoLens Milestone 1 One Page Summary</dc:title>
  <dc:subject>Milestone 1 advisor summary</dc:subject>
  <dc:creator/>
  <cp:keywords>GlycoLens, Milestone 1, technical feasibility, capstone</cp:keywords>
  <dc:description>generated by python-docx</dc:description>
  <cp:lastModifiedBy>Sourav Patil</cp:lastModifiedBy>
  <cp:revision>2</cp:revision>
  <dcterms:created xsi:type="dcterms:W3CDTF">2013-12-23T23:15:00Z</dcterms:created>
  <dcterms:modified xsi:type="dcterms:W3CDTF">2026-10-02T03:05:00Z</dcterms:modified>
  <cp:category/>
</cp:coreProperties>
</file>