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GlycoLens Milestone 1 Dataset Audit and Progress Report</w:t>
      </w:r>
    </w:p>
    <w:p>
      <w:pPr>
        <w:spacing w:after="360"/>
      </w:pPr>
      <w:r>
        <w:rPr>
          <w:rFonts w:ascii="Aptos Display" w:hAnsi="Aptos Display"/>
          <w:color w:val="666666"/>
          <w:sz w:val="30"/>
        </w:rPr>
        <w:t>T1D UOM V1.0.4 feasibility findings and recommended next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232"/>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Prepared by</w:t>
            </w:r>
          </w:p>
        </w:tc>
        <w:tc>
          <w:tcPr>
            <w:tcW w:type="dxa" w:w="2232"/>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Prepared for</w:t>
            </w:r>
          </w:p>
        </w:tc>
        <w:tc>
          <w:tcPr>
            <w:tcW w:type="dxa" w:w="2376"/>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Report date</w:t>
            </w:r>
          </w:p>
        </w:tc>
        <w:tc>
          <w:tcPr>
            <w:tcW w:type="dxa" w:w="3096"/>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Status</w:t>
            </w:r>
          </w:p>
        </w:tc>
      </w:tr>
      <w:tr>
        <w:tc>
          <w:tcPr>
            <w:tcW w:type="dxa" w:w="2232"/>
            <w:vAlign w:val="center"/>
            <w:tcMar>
              <w:top w:w="110" w:type="dxa"/>
              <w:start w:w="120" w:type="dxa"/>
              <w:bottom w:w="110" w:type="dxa"/>
              <w:end w:w="120" w:type="dxa"/>
            </w:tcMar>
          </w:tcPr>
          <w:p>
            <w:pPr>
              <w:spacing w:after="0" w:line="252" w:lineRule="auto"/>
              <w:jc w:val="left"/>
            </w:pPr>
            <w:r>
              <w:rPr>
                <w:rFonts w:ascii="Aptos" w:hAnsi="Aptos"/>
                <w:b w:val="0"/>
                <w:color w:val="000000"/>
                <w:sz w:val="19"/>
              </w:rPr>
              <w:t>Sourav Patil</w:t>
            </w:r>
          </w:p>
        </w:tc>
        <w:tc>
          <w:tcPr>
            <w:tcW w:type="dxa" w:w="2232"/>
            <w:vAlign w:val="center"/>
            <w:tcMar>
              <w:top w:w="110" w:type="dxa"/>
              <w:start w:w="120" w:type="dxa"/>
              <w:bottom w:w="110" w:type="dxa"/>
              <w:end w:w="120" w:type="dxa"/>
            </w:tcMar>
          </w:tcPr>
          <w:p>
            <w:pPr>
              <w:spacing w:after="0" w:line="252" w:lineRule="auto"/>
              <w:jc w:val="left"/>
            </w:pPr>
            <w:r>
              <w:rPr>
                <w:rFonts w:ascii="Aptos" w:hAnsi="Aptos"/>
                <w:b w:val="0"/>
                <w:color w:val="000000"/>
                <w:sz w:val="19"/>
              </w:rPr>
              <w:t>Professor Yang</w:t>
            </w:r>
          </w:p>
        </w:tc>
        <w:tc>
          <w:tcPr>
            <w:tcW w:type="dxa" w:w="2376"/>
            <w:vAlign w:val="center"/>
            <w:tcMar>
              <w:top w:w="110" w:type="dxa"/>
              <w:start w:w="120" w:type="dxa"/>
              <w:bottom w:w="110" w:type="dxa"/>
              <w:end w:w="120" w:type="dxa"/>
            </w:tcMar>
          </w:tcPr>
          <w:p>
            <w:pPr>
              <w:spacing w:after="0" w:line="252" w:lineRule="auto"/>
              <w:jc w:val="left"/>
            </w:pPr>
            <w:r>
              <w:rPr>
                <w:rFonts w:ascii="Aptos" w:hAnsi="Aptos"/>
                <w:b w:val="0"/>
                <w:color w:val="000000"/>
                <w:sz w:val="19"/>
              </w:rPr>
              <w:t>September 28 2026</w:t>
            </w:r>
          </w:p>
        </w:tc>
        <w:tc>
          <w:tcPr>
            <w:tcW w:type="dxa" w:w="3096"/>
            <w:vAlign w:val="center"/>
            <w:tcMar>
              <w:top w:w="110" w:type="dxa"/>
              <w:start w:w="120" w:type="dxa"/>
              <w:bottom w:w="110" w:type="dxa"/>
              <w:end w:w="120" w:type="dxa"/>
            </w:tcMar>
          </w:tcPr>
          <w:p>
            <w:pPr>
              <w:spacing w:after="0" w:line="252" w:lineRule="auto"/>
              <w:jc w:val="left"/>
            </w:pPr>
            <w:r>
              <w:rPr>
                <w:rFonts w:ascii="Aptos" w:hAnsi="Aptos"/>
                <w:b w:val="0"/>
                <w:color w:val="000000"/>
                <w:sz w:val="19"/>
              </w:rPr>
              <w:t>Milestone 1 in progress</w:t>
            </w:r>
          </w:p>
        </w:tc>
      </w:tr>
    </w:tbl>
    <w:p>
      <w:pPr>
        <w:spacing w:after="0"/>
      </w:pPr>
    </w:p>
    <w:p>
      <w:pPr>
        <w:spacing w:before="200"/>
      </w:pPr>
      <w:r>
        <w:rPr>
          <w:b/>
        </w:rPr>
        <w:t xml:space="preserve">Main conclusion  </w:t>
      </w:r>
      <w:r>
        <w:t>T1D-UOM V1.0.4 is suitable as GlycoLens' primary rich-context retrospective dataset. The implemented pipeline converts the release into 927 leakage-controlled meal events for the initial two-hour experiment. This is enough for feasibility testing, paired model comparisons, and context ablations, but the cohort is too small and imbalanced for broad clinical claims or training a large model from scratch.</w:t>
      </w:r>
    </w:p>
    <w:p>
      <w:r>
        <w:br w:type="page"/>
      </w:r>
    </w:p>
    <w:p>
      <w:pPr>
        <w:pStyle w:val="Heading1"/>
        <w:keepNext/>
      </w:pPr>
      <w:r>
        <w:t>Executive Summary</w:t>
      </w:r>
    </w:p>
    <w:p>
      <w:r>
        <w:t>The dataset download was verified against the official V1.0.4 release, the four core modalities were audited, and a deterministic meal-window pipeline was implemented and tested. The data work proves that the proposed event-centered forecasting experiment is feasible. It does not yet prove that a pretrained model will outperform a baseline.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88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Measure</w:t>
            </w:r>
          </w:p>
        </w:tc>
        <w:tc>
          <w:tcPr>
            <w:tcW w:type="dxa" w:w="2376"/>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Result</w:t>
            </w:r>
          </w:p>
        </w:tc>
        <w:tc>
          <w:tcPr>
            <w:tcW w:type="dxa" w:w="460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Interpretation</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Core audited data</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62 CSV files and 386,564 rows</w:t>
            </w:r>
          </w:p>
        </w:tc>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CGM, nutrition, bolus, and basal streams</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Usable participants</w:t>
            </w:r>
          </w:p>
        </w:tc>
        <w:tc>
          <w:tcPr>
            <w:tcW w:type="dxa" w:w="237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15 of 17</w:t>
            </w:r>
          </w:p>
        </w:tc>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CGM, nutrition, and at least one insulin stream</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Strict eligible windows</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927 of 3,884 meals</w:t>
            </w:r>
          </w:p>
        </w:tc>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23.9% conversion under the initial policy</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Forecast shape</w:t>
            </w:r>
          </w:p>
        </w:tc>
        <w:tc>
          <w:tcPr>
            <w:tcW w:type="dxa" w:w="237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24 history plus 24 target points</w:t>
            </w:r>
          </w:p>
        </w:tc>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Two hours before and after the meal at five-minute intervals</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Persistence benchmark</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MAE 36.06 mg/dL</w:t>
            </w:r>
          </w:p>
        </w:tc>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Descriptive baseline over all 927 windows, not a held-out result</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Verification</w:t>
            </w:r>
          </w:p>
        </w:tc>
        <w:tc>
          <w:tcPr>
            <w:tcW w:type="dxa" w:w="237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10 of 10 tests passed</w:t>
            </w:r>
          </w:p>
        </w:tc>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Leakage, timestamps, duplicates, gaps, and aggregation covered</w:t>
            </w:r>
          </w:p>
        </w:tc>
      </w:tr>
    </w:tbl>
    <w:p>
      <w:pPr>
        <w:spacing w:after="0"/>
      </w:pPr>
    </w:p>
    <w:p>
      <w:r>
        <w:t>Milestone 1 is partially complete. The dataset audit and model-ready event construction are complete. The immediate closure criterion is to run persistence and Chronos-2 through a common forecasting adapter on the same held-out events and record forecast shape, quantiles, latency, memory, and failure rate.</w:t>
      </w:r>
    </w:p>
    <w:p>
      <w:pPr>
        <w:pStyle w:val="Heading1"/>
        <w:keepNext/>
      </w:pPr>
      <w:r>
        <w:t>Dataset Identity and Provenance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Field</w:t>
            </w:r>
          </w:p>
        </w:tc>
        <w:tc>
          <w:tcPr>
            <w:tcW w:type="dxa" w:w="6983"/>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Verified value</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Dataset</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T1D-UOM A Longitudinal Multimodal Dataset of Type 1 Diabetes</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Release</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V1.0.4</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Version DOI</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10.5281/zenodo.17361905</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Git release commit</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ea52718b41cd27286df46acf87825555d4ec0463</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Extracted directory suffix</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ea52718 matches the release commit</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License</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CC BY 4.0</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Storage policy</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Raw and derived row-level health data remain outside Git</w:t>
            </w:r>
          </w:p>
        </w:tc>
      </w:tr>
    </w:tbl>
    <w:p>
      <w:pPr>
        <w:spacing w:after="0"/>
      </w:pPr>
    </w:p>
    <w:p>
      <w:r>
        <w:t>The release archive contains stale embedded version metadata in some upstream files. GlycoLens therefore treats the Zenodo version record and matching Git tag and commit as authoritative.</w:t>
      </w:r>
    </w:p>
    <w:p>
      <w:pPr>
        <w:pStyle w:val="Heading1"/>
        <w:keepNext/>
      </w:pPr>
      <w:r>
        <w:t>Dataset Audit Results</w:t>
      </w:r>
    </w:p>
    <w:p>
      <w:pPr>
        <w:pStyle w:val="Heading2"/>
        <w:keepNext/>
      </w:pPr>
      <w:r>
        <w:t>Archive and Core Modality Inventory</w:t>
      </w:r>
    </w:p>
    <w:p>
      <w:r>
        <w:t>The extracted release contains 113 CSV files in total. The archive-wide check found 0 empty CSV files and 0 headerless CSV files. The executable GlycoLens audit intentionally scopes its detailed checks to the four modalities required for the first forecasting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99"/>
        <w:gridCol w:w="1999"/>
        <w:gridCol w:w="1999"/>
        <w:gridCol w:w="1999"/>
        <w:gridCol w:w="1999"/>
      </w:tblGrid>
      <w:tr>
        <w:trPr>
          <w:tblHeader w:val="true"/>
        </w:trPr>
        <w:tc>
          <w:tcPr>
            <w:tcW w:type="dxa" w:w="2232"/>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Modality</w:t>
            </w:r>
          </w:p>
        </w:tc>
        <w:tc>
          <w:tcPr>
            <w:tcW w:type="dxa" w:w="1007"/>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Files</w:t>
            </w:r>
          </w:p>
        </w:tc>
        <w:tc>
          <w:tcPr>
            <w:tcW w:type="dxa" w:w="1800"/>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Rows</w:t>
            </w:r>
          </w:p>
        </w:tc>
        <w:tc>
          <w:tcPr>
            <w:tcW w:type="dxa" w:w="2376"/>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Blank required fields</w:t>
            </w:r>
          </w:p>
        </w:tc>
        <w:tc>
          <w:tcPr>
            <w:tcW w:type="dxa" w:w="2448"/>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Repeated timestamps</w:t>
            </w:r>
          </w:p>
        </w:tc>
      </w:tr>
      <w:tr>
        <w:tc>
          <w:tcPr>
            <w:tcW w:type="dxa" w:w="2232"/>
            <w:vAlign w:val="center"/>
            <w:tcMar>
              <w:top w:w="110" w:type="dxa"/>
              <w:start w:w="120" w:type="dxa"/>
              <w:bottom w:w="110" w:type="dxa"/>
              <w:end w:w="120" w:type="dxa"/>
            </w:tcMar>
          </w:tcPr>
          <w:p>
            <w:pPr>
              <w:spacing w:after="0" w:line="252" w:lineRule="auto"/>
              <w:jc w:val="left"/>
            </w:pPr>
            <w:r>
              <w:rPr>
                <w:rFonts w:ascii="Aptos" w:hAnsi="Aptos"/>
                <w:b w:val="0"/>
                <w:color w:val="000000"/>
                <w:sz w:val="19"/>
              </w:rPr>
              <w:t>CGM</w:t>
            </w:r>
          </w:p>
        </w:tc>
        <w:tc>
          <w:tcPr>
            <w:tcW w:type="dxa" w:w="1007"/>
            <w:vAlign w:val="center"/>
            <w:tcMar>
              <w:top w:w="110" w:type="dxa"/>
              <w:start w:w="120" w:type="dxa"/>
              <w:bottom w:w="110" w:type="dxa"/>
              <w:end w:w="120" w:type="dxa"/>
            </w:tcMar>
          </w:tcPr>
          <w:p>
            <w:pPr>
              <w:spacing w:after="0" w:line="252" w:lineRule="auto"/>
              <w:jc w:val="center"/>
            </w:pPr>
            <w:r>
              <w:rPr>
                <w:rFonts w:ascii="Aptos" w:hAnsi="Aptos"/>
                <w:b w:val="0"/>
                <w:color w:val="000000"/>
                <w:sz w:val="19"/>
              </w:rPr>
              <w:t>17</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356,146</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0</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15,915</w:t>
            </w:r>
          </w:p>
        </w:tc>
      </w:tr>
      <w:tr>
        <w:tc>
          <w:tcPr>
            <w:tcW w:type="dxa" w:w="223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Nutrition</w:t>
            </w:r>
          </w:p>
        </w:tc>
        <w:tc>
          <w:tcPr>
            <w:tcW w:type="dxa" w:w="1007"/>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15</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4,351</w:t>
            </w:r>
          </w:p>
        </w:tc>
        <w:tc>
          <w:tcPr>
            <w:tcW w:type="dxa" w:w="237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652</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16</w:t>
            </w:r>
          </w:p>
        </w:tc>
      </w:tr>
      <w:tr>
        <w:tc>
          <w:tcPr>
            <w:tcW w:type="dxa" w:w="2232"/>
            <w:vAlign w:val="center"/>
            <w:tcMar>
              <w:top w:w="110" w:type="dxa"/>
              <w:start w:w="120" w:type="dxa"/>
              <w:bottom w:w="110" w:type="dxa"/>
              <w:end w:w="120" w:type="dxa"/>
            </w:tcMar>
          </w:tcPr>
          <w:p>
            <w:pPr>
              <w:spacing w:after="0" w:line="252" w:lineRule="auto"/>
              <w:jc w:val="left"/>
            </w:pPr>
            <w:r>
              <w:rPr>
                <w:rFonts w:ascii="Aptos" w:hAnsi="Aptos"/>
                <w:b w:val="0"/>
                <w:color w:val="000000"/>
                <w:sz w:val="19"/>
              </w:rPr>
              <w:t>Bolus insulin</w:t>
            </w:r>
          </w:p>
        </w:tc>
        <w:tc>
          <w:tcPr>
            <w:tcW w:type="dxa" w:w="1007"/>
            <w:vAlign w:val="center"/>
            <w:tcMar>
              <w:top w:w="110" w:type="dxa"/>
              <w:start w:w="120" w:type="dxa"/>
              <w:bottom w:w="110" w:type="dxa"/>
              <w:end w:w="120" w:type="dxa"/>
            </w:tcMar>
          </w:tcPr>
          <w:p>
            <w:pPr>
              <w:spacing w:after="0" w:line="252" w:lineRule="auto"/>
              <w:jc w:val="center"/>
            </w:pPr>
            <w:r>
              <w:rPr>
                <w:rFonts w:ascii="Aptos" w:hAnsi="Aptos"/>
                <w:b w:val="0"/>
                <w:color w:val="000000"/>
                <w:sz w:val="19"/>
              </w:rPr>
              <w:t>16</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5,660</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192</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113</w:t>
            </w:r>
          </w:p>
        </w:tc>
      </w:tr>
      <w:tr>
        <w:tc>
          <w:tcPr>
            <w:tcW w:type="dxa" w:w="223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Basal insulin</w:t>
            </w:r>
          </w:p>
        </w:tc>
        <w:tc>
          <w:tcPr>
            <w:tcW w:type="dxa" w:w="1007"/>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14</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20,407</w:t>
            </w:r>
          </w:p>
        </w:tc>
        <w:tc>
          <w:tcPr>
            <w:tcW w:type="dxa" w:w="237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0</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55</w:t>
            </w:r>
          </w:p>
        </w:tc>
      </w:tr>
      <w:tr>
        <w:tc>
          <w:tcPr>
            <w:tcW w:type="dxa" w:w="2232"/>
            <w:vAlign w:val="center"/>
            <w:tcMar>
              <w:top w:w="110" w:type="dxa"/>
              <w:start w:w="120" w:type="dxa"/>
              <w:bottom w:w="110" w:type="dxa"/>
              <w:end w:w="120" w:type="dxa"/>
            </w:tcMar>
          </w:tcPr>
          <w:p>
            <w:pPr>
              <w:spacing w:after="0" w:line="252" w:lineRule="auto"/>
              <w:jc w:val="left"/>
            </w:pPr>
            <w:r>
              <w:rPr>
                <w:rFonts w:ascii="Aptos" w:hAnsi="Aptos"/>
                <w:b w:val="0"/>
                <w:color w:val="000000"/>
                <w:sz w:val="19"/>
              </w:rPr>
              <w:t>Total</w:t>
            </w:r>
          </w:p>
        </w:tc>
        <w:tc>
          <w:tcPr>
            <w:tcW w:type="dxa" w:w="1007"/>
            <w:vAlign w:val="center"/>
            <w:tcMar>
              <w:top w:w="110" w:type="dxa"/>
              <w:start w:w="120" w:type="dxa"/>
              <w:bottom w:w="110" w:type="dxa"/>
              <w:end w:w="120" w:type="dxa"/>
            </w:tcMar>
          </w:tcPr>
          <w:p>
            <w:pPr>
              <w:spacing w:after="0" w:line="252" w:lineRule="auto"/>
              <w:jc w:val="center"/>
            </w:pPr>
            <w:r>
              <w:rPr>
                <w:rFonts w:ascii="Aptos" w:hAnsi="Aptos"/>
                <w:b w:val="0"/>
                <w:color w:val="000000"/>
                <w:sz w:val="19"/>
              </w:rPr>
              <w:t>62</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386,564</w:t>
            </w:r>
          </w:p>
        </w:tc>
        <w:tc>
          <w:tcPr>
            <w:tcW w:type="dxa" w:w="2376"/>
            <w:vAlign w:val="center"/>
            <w:tcMar>
              <w:top w:w="110" w:type="dxa"/>
              <w:start w:w="120" w:type="dxa"/>
              <w:bottom w:w="110" w:type="dxa"/>
              <w:end w:w="120" w:type="dxa"/>
            </w:tcMar>
          </w:tcPr>
          <w:p>
            <w:pPr>
              <w:spacing w:after="0" w:line="252" w:lineRule="auto"/>
              <w:jc w:val="center"/>
            </w:pPr>
            <w:r>
              <w:rPr>
                <w:rFonts w:ascii="Aptos" w:hAnsi="Aptos"/>
                <w:b w:val="0"/>
                <w:color w:val="000000"/>
                <w:sz w:val="19"/>
              </w:rPr>
              <w:t>844</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16,099</w:t>
            </w:r>
          </w:p>
        </w:tc>
      </w:tr>
    </w:tbl>
    <w:p>
      <w:pPr>
        <w:spacing w:after="0"/>
      </w:pPr>
    </w:p>
    <w:p>
      <w:r>
        <w:t>The 844 rows with blank required fields represent 0.22% of core rows, but missingness is concentrated: 652 nutrition rows (15.0%) and 192 bolus rows (3.4%). The 16,099 additional repeated timestamps represent 4.2% of core rows.</w:t>
      </w:r>
    </w:p>
    <w:p>
      <w:pPr>
        <w:pStyle w:val="Heading2"/>
        <w:keepNext/>
      </w:pPr>
      <w:r>
        <w:t>Participant Coverage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460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Coverage measure</w:t>
            </w:r>
          </w:p>
        </w:tc>
        <w:tc>
          <w:tcPr>
            <w:tcW w:type="dxa" w:w="2160"/>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Participants</w:t>
            </w:r>
          </w:p>
        </w:tc>
        <w:tc>
          <w:tcPr>
            <w:tcW w:type="dxa" w:w="3096"/>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Share of 17</w:t>
            </w:r>
          </w:p>
        </w:tc>
      </w:tr>
      <w:tr>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CGM files</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17</w:t>
            </w:r>
          </w:p>
        </w:tc>
        <w:tc>
          <w:tcPr>
            <w:tcW w:type="dxa" w:w="3096"/>
            <w:vAlign w:val="center"/>
            <w:tcMar>
              <w:top w:w="110" w:type="dxa"/>
              <w:start w:w="120" w:type="dxa"/>
              <w:bottom w:w="110" w:type="dxa"/>
              <w:end w:w="120" w:type="dxa"/>
            </w:tcMar>
          </w:tcPr>
          <w:p>
            <w:pPr>
              <w:spacing w:after="0" w:line="252" w:lineRule="auto"/>
              <w:jc w:val="center"/>
            </w:pPr>
            <w:r>
              <w:rPr>
                <w:rFonts w:ascii="Aptos" w:hAnsi="Aptos"/>
                <w:b w:val="0"/>
                <w:color w:val="000000"/>
                <w:sz w:val="19"/>
              </w:rPr>
              <w:t>100.0%</w:t>
            </w:r>
          </w:p>
        </w:tc>
      </w:tr>
      <w:tr>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Nutrition files</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15</w:t>
            </w:r>
          </w:p>
        </w:tc>
        <w:tc>
          <w:tcPr>
            <w:tcW w:type="dxa" w:w="309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88.2%</w:t>
            </w:r>
          </w:p>
        </w:tc>
      </w:tr>
      <w:tr>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Bolus files</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16</w:t>
            </w:r>
          </w:p>
        </w:tc>
        <w:tc>
          <w:tcPr>
            <w:tcW w:type="dxa" w:w="3096"/>
            <w:vAlign w:val="center"/>
            <w:tcMar>
              <w:top w:w="110" w:type="dxa"/>
              <w:start w:w="120" w:type="dxa"/>
              <w:bottom w:w="110" w:type="dxa"/>
              <w:end w:w="120" w:type="dxa"/>
            </w:tcMar>
          </w:tcPr>
          <w:p>
            <w:pPr>
              <w:spacing w:after="0" w:line="252" w:lineRule="auto"/>
              <w:jc w:val="center"/>
            </w:pPr>
            <w:r>
              <w:rPr>
                <w:rFonts w:ascii="Aptos" w:hAnsi="Aptos"/>
                <w:b w:val="0"/>
                <w:color w:val="000000"/>
                <w:sz w:val="19"/>
              </w:rPr>
              <w:t>94.1%</w:t>
            </w:r>
          </w:p>
        </w:tc>
      </w:tr>
      <w:tr>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Basal files</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14</w:t>
            </w:r>
          </w:p>
        </w:tc>
        <w:tc>
          <w:tcPr>
            <w:tcW w:type="dxa" w:w="309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82.4%</w:t>
            </w:r>
          </w:p>
        </w:tc>
      </w:tr>
      <w:tr>
        <w:tc>
          <w:tcPr>
            <w:tcW w:type="dxa" w:w="4608"/>
            <w:vAlign w:val="center"/>
            <w:tcMar>
              <w:top w:w="110" w:type="dxa"/>
              <w:start w:w="120" w:type="dxa"/>
              <w:bottom w:w="110" w:type="dxa"/>
              <w:end w:w="120" w:type="dxa"/>
            </w:tcMar>
          </w:tcPr>
          <w:p>
            <w:pPr>
              <w:spacing w:after="0" w:line="252" w:lineRule="auto"/>
              <w:jc w:val="left"/>
            </w:pPr>
            <w:r>
              <w:rPr>
                <w:rFonts w:ascii="Aptos" w:hAnsi="Aptos"/>
                <w:b w:val="0"/>
                <w:color w:val="000000"/>
                <w:sz w:val="19"/>
              </w:rPr>
              <w:t>Core usable set</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15</w:t>
            </w:r>
          </w:p>
        </w:tc>
        <w:tc>
          <w:tcPr>
            <w:tcW w:type="dxa" w:w="3096"/>
            <w:vAlign w:val="center"/>
            <w:tcMar>
              <w:top w:w="110" w:type="dxa"/>
              <w:start w:w="120" w:type="dxa"/>
              <w:bottom w:w="110" w:type="dxa"/>
              <w:end w:w="120" w:type="dxa"/>
            </w:tcMar>
          </w:tcPr>
          <w:p>
            <w:pPr>
              <w:spacing w:after="0" w:line="252" w:lineRule="auto"/>
              <w:jc w:val="center"/>
            </w:pPr>
            <w:r>
              <w:rPr>
                <w:rFonts w:ascii="Aptos" w:hAnsi="Aptos"/>
                <w:b w:val="0"/>
                <w:color w:val="000000"/>
                <w:sz w:val="19"/>
              </w:rPr>
              <w:t>88.2%</w:t>
            </w:r>
          </w:p>
        </w:tc>
      </w:tr>
      <w:tr>
        <w:tc>
          <w:tcPr>
            <w:tcW w:type="dxa" w:w="460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All four modalities</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13</w:t>
            </w:r>
          </w:p>
        </w:tc>
        <w:tc>
          <w:tcPr>
            <w:tcW w:type="dxa" w:w="3096"/>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76.5%</w:t>
            </w:r>
          </w:p>
        </w:tc>
      </w:tr>
    </w:tbl>
    <w:p>
      <w:pPr>
        <w:spacing w:after="0"/>
      </w:pPr>
    </w:p>
    <w:p>
      <w:r>
        <w:t>The core usable set requires CGM, nutrition, and at least one insulin modality. This produces 15 participants for the primary event-window analysis.</w:t>
      </w:r>
    </w:p>
    <w:p>
      <w:pPr>
        <w:pStyle w:val="Heading2"/>
        <w:keepNext/>
      </w:pPr>
      <w:r>
        <w:t>Data Quality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951"/>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Finding</w:t>
            </w:r>
          </w:p>
        </w:tc>
        <w:tc>
          <w:tcPr>
            <w:tcW w:type="dxa" w:w="244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Quantified result</w:t>
            </w:r>
          </w:p>
        </w:tc>
        <w:tc>
          <w:tcPr>
            <w:tcW w:type="dxa" w:w="446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Pipeline treatment</w:t>
            </w:r>
          </w:p>
        </w:tc>
      </w:tr>
      <w:tr>
        <w:tc>
          <w:tcPr>
            <w:tcW w:type="dxa" w:w="2951"/>
            <w:vAlign w:val="center"/>
            <w:tcMar>
              <w:top w:w="110" w:type="dxa"/>
              <w:start w:w="120" w:type="dxa"/>
              <w:bottom w:w="110" w:type="dxa"/>
              <w:end w:w="120" w:type="dxa"/>
            </w:tcMar>
          </w:tcPr>
          <w:p>
            <w:pPr>
              <w:spacing w:after="0" w:line="252" w:lineRule="auto"/>
              <w:jc w:val="left"/>
            </w:pPr>
            <w:r>
              <w:rPr>
                <w:rFonts w:ascii="Aptos" w:hAnsi="Aptos"/>
                <w:b w:val="0"/>
                <w:color w:val="000000"/>
                <w:sz w:val="19"/>
              </w:rPr>
              <w:t>Timestamp interpretation</w:t>
            </w:r>
          </w:p>
        </w:tc>
        <w:tc>
          <w:tcPr>
            <w:tcW w:type="dxa" w:w="2448"/>
            <w:vAlign w:val="center"/>
            <w:tcMar>
              <w:top w:w="110" w:type="dxa"/>
              <w:start w:w="120" w:type="dxa"/>
              <w:bottom w:w="110" w:type="dxa"/>
              <w:end w:w="120" w:type="dxa"/>
            </w:tcMar>
          </w:tcPr>
          <w:p>
            <w:pPr>
              <w:spacing w:after="0" w:line="252" w:lineRule="auto"/>
              <w:jc w:val="left"/>
            </w:pPr>
            <w:r>
              <w:rPr>
                <w:rFonts w:ascii="Aptos" w:hAnsi="Aptos"/>
                <w:b w:val="0"/>
                <w:color w:val="000000"/>
                <w:sz w:val="19"/>
              </w:rPr>
              <w:t>Observed values are day first</w:t>
            </w:r>
          </w:p>
        </w:tc>
        <w:tc>
          <w:tcPr>
            <w:tcW w:type="dxa" w:w="4464"/>
            <w:vAlign w:val="center"/>
            <w:tcMar>
              <w:top w:w="110" w:type="dxa"/>
              <w:start w:w="120" w:type="dxa"/>
              <w:bottom w:w="110" w:type="dxa"/>
              <w:end w:w="120" w:type="dxa"/>
            </w:tcMar>
          </w:tcPr>
          <w:p>
            <w:pPr>
              <w:spacing w:after="0" w:line="252" w:lineRule="auto"/>
              <w:jc w:val="left"/>
            </w:pPr>
            <w:r>
              <w:rPr>
                <w:rFonts w:ascii="Aptos" w:hAnsi="Aptos"/>
                <w:b w:val="0"/>
                <w:color w:val="000000"/>
                <w:sz w:val="19"/>
              </w:rPr>
              <w:t>Parse day-first before fallback formats</w:t>
            </w:r>
          </w:p>
        </w:tc>
      </w:tr>
      <w:tr>
        <w:tc>
          <w:tcPr>
            <w:tcW w:type="dxa" w:w="295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Timestamp validity</w:t>
            </w:r>
          </w:p>
        </w:tc>
        <w:tc>
          <w:tcPr>
            <w:tcW w:type="dxa" w:w="24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0 invalid core timestamps</w:t>
            </w:r>
          </w:p>
        </w:tc>
        <w:tc>
          <w:tcPr>
            <w:tcW w:type="dxa" w:w="446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Fail validation for unsupported formats</w:t>
            </w:r>
          </w:p>
        </w:tc>
      </w:tr>
      <w:tr>
        <w:tc>
          <w:tcPr>
            <w:tcW w:type="dxa" w:w="2951"/>
            <w:vAlign w:val="center"/>
            <w:tcMar>
              <w:top w:w="110" w:type="dxa"/>
              <w:start w:w="120" w:type="dxa"/>
              <w:bottom w:w="110" w:type="dxa"/>
              <w:end w:w="120" w:type="dxa"/>
            </w:tcMar>
          </w:tcPr>
          <w:p>
            <w:pPr>
              <w:spacing w:after="0" w:line="252" w:lineRule="auto"/>
              <w:jc w:val="left"/>
            </w:pPr>
            <w:r>
              <w:rPr>
                <w:rFonts w:ascii="Aptos" w:hAnsi="Aptos"/>
                <w:b w:val="0"/>
                <w:color w:val="000000"/>
                <w:sz w:val="19"/>
              </w:rPr>
              <w:t>Timestamp precision</w:t>
            </w:r>
          </w:p>
        </w:tc>
        <w:tc>
          <w:tcPr>
            <w:tcW w:type="dxa" w:w="2448"/>
            <w:vAlign w:val="center"/>
            <w:tcMar>
              <w:top w:w="110" w:type="dxa"/>
              <w:start w:w="120" w:type="dxa"/>
              <w:bottom w:w="110" w:type="dxa"/>
              <w:end w:w="120" w:type="dxa"/>
            </w:tcMar>
          </w:tcPr>
          <w:p>
            <w:pPr>
              <w:spacing w:after="0" w:line="252" w:lineRule="auto"/>
              <w:jc w:val="left"/>
            </w:pPr>
            <w:r>
              <w:rPr>
                <w:rFonts w:ascii="Aptos" w:hAnsi="Aptos"/>
                <w:b w:val="0"/>
                <w:color w:val="000000"/>
                <w:sz w:val="19"/>
              </w:rPr>
              <w:t>4 date-only nutrition rows</w:t>
            </w:r>
          </w:p>
        </w:tc>
        <w:tc>
          <w:tcPr>
            <w:tcW w:type="dxa" w:w="4464"/>
            <w:vAlign w:val="center"/>
            <w:tcMar>
              <w:top w:w="110" w:type="dxa"/>
              <w:start w:w="120" w:type="dxa"/>
              <w:bottom w:w="110" w:type="dxa"/>
              <w:end w:w="120" w:type="dxa"/>
            </w:tcMar>
          </w:tcPr>
          <w:p>
            <w:pPr>
              <w:spacing w:after="0" w:line="252" w:lineRule="auto"/>
              <w:jc w:val="left"/>
            </w:pPr>
            <w:r>
              <w:rPr>
                <w:rFonts w:ascii="Aptos" w:hAnsi="Aptos"/>
                <w:b w:val="0"/>
                <w:color w:val="000000"/>
                <w:sz w:val="19"/>
              </w:rPr>
              <w:t>Exclude because meal time is unknown</w:t>
            </w:r>
          </w:p>
        </w:tc>
      </w:tr>
      <w:tr>
        <w:tc>
          <w:tcPr>
            <w:tcW w:type="dxa" w:w="295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Numeric validity</w:t>
            </w:r>
          </w:p>
        </w:tc>
        <w:tc>
          <w:tcPr>
            <w:tcW w:type="dxa" w:w="24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0 invalid or non-finite values</w:t>
            </w:r>
          </w:p>
        </w:tc>
        <w:tc>
          <w:tcPr>
            <w:tcW w:type="dxa" w:w="446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Exclude malformed or non-finite values</w:t>
            </w:r>
          </w:p>
        </w:tc>
      </w:tr>
      <w:tr>
        <w:tc>
          <w:tcPr>
            <w:tcW w:type="dxa" w:w="2951"/>
            <w:vAlign w:val="center"/>
            <w:tcMar>
              <w:top w:w="110" w:type="dxa"/>
              <w:start w:w="120" w:type="dxa"/>
              <w:bottom w:w="110" w:type="dxa"/>
              <w:end w:w="120" w:type="dxa"/>
            </w:tcMar>
          </w:tcPr>
          <w:p>
            <w:pPr>
              <w:spacing w:after="0" w:line="252" w:lineRule="auto"/>
              <w:jc w:val="left"/>
            </w:pPr>
            <w:r>
              <w:rPr>
                <w:rFonts w:ascii="Aptos" w:hAnsi="Aptos"/>
                <w:b w:val="0"/>
                <w:color w:val="000000"/>
                <w:sz w:val="19"/>
              </w:rPr>
              <w:t>CGM conflicts</w:t>
            </w:r>
          </w:p>
        </w:tc>
        <w:tc>
          <w:tcPr>
            <w:tcW w:type="dxa" w:w="2448"/>
            <w:vAlign w:val="center"/>
            <w:tcMar>
              <w:top w:w="110" w:type="dxa"/>
              <w:start w:w="120" w:type="dxa"/>
              <w:bottom w:w="110" w:type="dxa"/>
              <w:end w:w="120" w:type="dxa"/>
            </w:tcMar>
          </w:tcPr>
          <w:p>
            <w:pPr>
              <w:spacing w:after="0" w:line="252" w:lineRule="auto"/>
              <w:jc w:val="left"/>
            </w:pPr>
            <w:r>
              <w:rPr>
                <w:rFonts w:ascii="Aptos" w:hAnsi="Aptos"/>
                <w:b w:val="0"/>
                <w:color w:val="000000"/>
                <w:sz w:val="19"/>
              </w:rPr>
              <w:t>253 timestamp groups</w:t>
            </w:r>
          </w:p>
        </w:tc>
        <w:tc>
          <w:tcPr>
            <w:tcW w:type="dxa" w:w="4464"/>
            <w:vAlign w:val="center"/>
            <w:tcMar>
              <w:top w:w="110" w:type="dxa"/>
              <w:start w:w="120" w:type="dxa"/>
              <w:bottom w:w="110" w:type="dxa"/>
              <w:end w:w="120" w:type="dxa"/>
            </w:tcMar>
          </w:tcPr>
          <w:p>
            <w:pPr>
              <w:spacing w:after="0" w:line="252" w:lineRule="auto"/>
              <w:jc w:val="left"/>
            </w:pPr>
            <w:r>
              <w:rPr>
                <w:rFonts w:ascii="Aptos" w:hAnsi="Aptos"/>
                <w:b w:val="0"/>
                <w:color w:val="000000"/>
                <w:sz w:val="19"/>
              </w:rPr>
              <w:t>Exclude conflicting values rather than average</w:t>
            </w:r>
          </w:p>
        </w:tc>
      </w:tr>
      <w:tr>
        <w:tc>
          <w:tcPr>
            <w:tcW w:type="dxa" w:w="295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Exact CGM repeats</w:t>
            </w:r>
          </w:p>
        </w:tc>
        <w:tc>
          <w:tcPr>
            <w:tcW w:type="dxa" w:w="24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Collapsed deterministically</w:t>
            </w:r>
          </w:p>
        </w:tc>
        <w:tc>
          <w:tcPr>
            <w:tcW w:type="dxa" w:w="446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Keep one value when duplicates agree</w:t>
            </w:r>
          </w:p>
        </w:tc>
      </w:tr>
      <w:tr>
        <w:tc>
          <w:tcPr>
            <w:tcW w:type="dxa" w:w="2951"/>
            <w:vAlign w:val="center"/>
            <w:tcMar>
              <w:top w:w="110" w:type="dxa"/>
              <w:start w:w="120" w:type="dxa"/>
              <w:bottom w:w="110" w:type="dxa"/>
              <w:end w:w="120" w:type="dxa"/>
            </w:tcMar>
          </w:tcPr>
          <w:p>
            <w:pPr>
              <w:spacing w:after="0" w:line="252" w:lineRule="auto"/>
              <w:jc w:val="left"/>
            </w:pPr>
            <w:r>
              <w:rPr>
                <w:rFonts w:ascii="Aptos" w:hAnsi="Aptos"/>
                <w:b w:val="0"/>
                <w:color w:val="000000"/>
                <w:sz w:val="19"/>
              </w:rPr>
              <w:t>Same-time meal components</w:t>
            </w:r>
          </w:p>
        </w:tc>
        <w:tc>
          <w:tcPr>
            <w:tcW w:type="dxa" w:w="2448"/>
            <w:vAlign w:val="center"/>
            <w:tcMar>
              <w:top w:w="110" w:type="dxa"/>
              <w:start w:w="120" w:type="dxa"/>
              <w:bottom w:w="110" w:type="dxa"/>
              <w:end w:w="120" w:type="dxa"/>
            </w:tcMar>
          </w:tcPr>
          <w:p>
            <w:pPr>
              <w:spacing w:after="0" w:line="252" w:lineRule="auto"/>
              <w:jc w:val="left"/>
            </w:pPr>
            <w:r>
              <w:rPr>
                <w:rFonts w:ascii="Aptos" w:hAnsi="Aptos"/>
                <w:b w:val="0"/>
                <w:color w:val="000000"/>
                <w:sz w:val="19"/>
              </w:rPr>
              <w:t>Aggregated into one event</w:t>
            </w:r>
          </w:p>
        </w:tc>
        <w:tc>
          <w:tcPr>
            <w:tcW w:type="dxa" w:w="4464"/>
            <w:vAlign w:val="center"/>
            <w:tcMar>
              <w:top w:w="110" w:type="dxa"/>
              <w:start w:w="120" w:type="dxa"/>
              <w:bottom w:w="110" w:type="dxa"/>
              <w:end w:w="120" w:type="dxa"/>
            </w:tcMar>
          </w:tcPr>
          <w:p>
            <w:pPr>
              <w:spacing w:after="0" w:line="252" w:lineRule="auto"/>
              <w:jc w:val="left"/>
            </w:pPr>
            <w:r>
              <w:rPr>
                <w:rFonts w:ascii="Aptos" w:hAnsi="Aptos"/>
                <w:b w:val="0"/>
                <w:color w:val="000000"/>
                <w:sz w:val="19"/>
              </w:rPr>
              <w:t>Sum macros and preserve labels</w:t>
            </w:r>
          </w:p>
        </w:tc>
      </w:tr>
    </w:tbl>
    <w:p>
      <w:pPr>
        <w:spacing w:after="0"/>
      </w:pPr>
    </w:p>
    <w:p>
      <w:r>
        <w:t>The day-first timestamp finding is the most consequential audit result. A month-first parser can accept ambiguous dates without raising an error while silently assigning the wrong month and day.</w:t>
      </w:r>
    </w:p>
    <w:p>
      <w:pPr>
        <w:pStyle w:val="Heading1"/>
        <w:keepNext/>
      </w:pPr>
      <w:r>
        <w:t>Meal Window Construction</w:t>
      </w:r>
    </w:p>
    <w:p>
      <w:pPr>
        <w:pStyle w:val="Heading2"/>
        <w:keepNext/>
      </w:pPr>
      <w:r>
        <w:t>Initial Feasibility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Rule</w:t>
            </w:r>
          </w:p>
        </w:tc>
        <w:tc>
          <w:tcPr>
            <w:tcW w:type="dxa" w:w="6983"/>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Value</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CGM history</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120 minutes on a five-minute grid</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Forecast target</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120 minutes and 24 future CGM points</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Insulin context</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At least one basal or bolus event in the prior six hours</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Interpolation</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Maximum internal gap 15 minutes and edge gap 5 minutes</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Temporal boundary</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History at or before the meal and target strictly after it</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Future meal control</w:t>
            </w:r>
          </w:p>
        </w:tc>
        <w:tc>
          <w:tcPr>
            <w:tcW w:type="dxa" w:w="698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Reject another meal inside the two-hour target</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Nutrition</w:t>
            </w:r>
          </w:p>
        </w:tc>
        <w:tc>
          <w:tcPr>
            <w:tcW w:type="dxa" w:w="6983"/>
            <w:vAlign w:val="center"/>
            <w:tcMar>
              <w:top w:w="110" w:type="dxa"/>
              <w:start w:w="120" w:type="dxa"/>
              <w:bottom w:w="110" w:type="dxa"/>
              <w:end w:w="120" w:type="dxa"/>
            </w:tcMar>
          </w:tcPr>
          <w:p>
            <w:pPr>
              <w:spacing w:after="0" w:line="252" w:lineRule="auto"/>
              <w:jc w:val="left"/>
            </w:pPr>
            <w:r>
              <w:rPr>
                <w:rFonts w:ascii="Aptos" w:hAnsi="Aptos"/>
                <w:b w:val="0"/>
                <w:color w:val="000000"/>
                <w:sz w:val="19"/>
              </w:rPr>
              <w:t>Carbohydrate, protein, fat, and fiber at the meal timestamp</w:t>
            </w:r>
          </w:p>
        </w:tc>
      </w:tr>
    </w:tbl>
    <w:p>
      <w:pPr>
        <w:spacing w:after="0"/>
      </w:pPr>
    </w:p>
    <w:p>
      <w:pPr>
        <w:pStyle w:val="Heading2"/>
        <w:keepNext/>
      </w:pPr>
      <w:r>
        <w:t>Eligibility Funnel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5976"/>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Outcome</w:t>
            </w:r>
          </w:p>
        </w:tc>
        <w:tc>
          <w:tcPr>
            <w:tcW w:type="dxa" w:w="1800"/>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Count</w:t>
            </w:r>
          </w:p>
        </w:tc>
        <w:tc>
          <w:tcPr>
            <w:tcW w:type="dxa" w:w="2088"/>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Share</w:t>
            </w:r>
          </w:p>
        </w:tc>
      </w:tr>
      <w:tr>
        <w:tc>
          <w:tcPr>
            <w:tcW w:type="dxa" w:w="5976"/>
            <w:vAlign w:val="center"/>
            <w:tcMar>
              <w:top w:w="110" w:type="dxa"/>
              <w:start w:w="120" w:type="dxa"/>
              <w:bottom w:w="110" w:type="dxa"/>
              <w:end w:w="120" w:type="dxa"/>
            </w:tcMar>
          </w:tcPr>
          <w:p>
            <w:pPr>
              <w:spacing w:after="0" w:line="252" w:lineRule="auto"/>
              <w:jc w:val="left"/>
            </w:pPr>
            <w:r>
              <w:rPr>
                <w:rFonts w:ascii="Aptos" w:hAnsi="Aptos"/>
                <w:b w:val="0"/>
                <w:color w:val="000000"/>
                <w:sz w:val="19"/>
              </w:rPr>
              <w:t>Eligible window</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927</w:t>
            </w:r>
          </w:p>
        </w:tc>
        <w:tc>
          <w:tcPr>
            <w:tcW w:type="dxa" w:w="2088"/>
            <w:vAlign w:val="center"/>
            <w:tcMar>
              <w:top w:w="110" w:type="dxa"/>
              <w:start w:w="120" w:type="dxa"/>
              <w:bottom w:w="110" w:type="dxa"/>
              <w:end w:w="120" w:type="dxa"/>
            </w:tcMar>
          </w:tcPr>
          <w:p>
            <w:pPr>
              <w:spacing w:after="0" w:line="252" w:lineRule="auto"/>
              <w:jc w:val="center"/>
            </w:pPr>
            <w:r>
              <w:rPr>
                <w:rFonts w:ascii="Aptos" w:hAnsi="Aptos"/>
                <w:b w:val="0"/>
                <w:color w:val="000000"/>
                <w:sz w:val="19"/>
              </w:rPr>
              <w:t>23.9%</w:t>
            </w:r>
          </w:p>
        </w:tc>
      </w:tr>
      <w:tr>
        <w:tc>
          <w:tcPr>
            <w:tcW w:type="dxa" w:w="5976"/>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Rejected for incomplete history</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1281</w:t>
            </w:r>
          </w:p>
        </w:tc>
        <w:tc>
          <w:tcPr>
            <w:tcW w:type="dxa" w:w="208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33.0%</w:t>
            </w:r>
          </w:p>
        </w:tc>
      </w:tr>
      <w:tr>
        <w:tc>
          <w:tcPr>
            <w:tcW w:type="dxa" w:w="5976"/>
            <w:vAlign w:val="center"/>
            <w:tcMar>
              <w:top w:w="110" w:type="dxa"/>
              <w:start w:w="120" w:type="dxa"/>
              <w:bottom w:w="110" w:type="dxa"/>
              <w:end w:w="120" w:type="dxa"/>
            </w:tcMar>
          </w:tcPr>
          <w:p>
            <w:pPr>
              <w:spacing w:after="0" w:line="252" w:lineRule="auto"/>
              <w:jc w:val="left"/>
            </w:pPr>
            <w:r>
              <w:rPr>
                <w:rFonts w:ascii="Aptos" w:hAnsi="Aptos"/>
                <w:b w:val="0"/>
                <w:color w:val="000000"/>
                <w:sz w:val="19"/>
              </w:rPr>
              <w:t>Rejected for follow-up meal</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771</w:t>
            </w:r>
          </w:p>
        </w:tc>
        <w:tc>
          <w:tcPr>
            <w:tcW w:type="dxa" w:w="208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19.9%</w:t>
            </w:r>
          </w:p>
        </w:tc>
      </w:tr>
      <w:tr>
        <w:tc>
          <w:tcPr>
            <w:tcW w:type="dxa" w:w="5976"/>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Rejected for missing insulin context</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454</w:t>
            </w:r>
          </w:p>
        </w:tc>
        <w:tc>
          <w:tcPr>
            <w:tcW w:type="dxa" w:w="208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11.7%</w:t>
            </w:r>
          </w:p>
        </w:tc>
      </w:tr>
      <w:tr>
        <w:tc>
          <w:tcPr>
            <w:tcW w:type="dxa" w:w="5976"/>
            <w:vAlign w:val="center"/>
            <w:tcMar>
              <w:top w:w="110" w:type="dxa"/>
              <w:start w:w="120" w:type="dxa"/>
              <w:bottom w:w="110" w:type="dxa"/>
              <w:end w:w="120" w:type="dxa"/>
            </w:tcMar>
          </w:tcPr>
          <w:p>
            <w:pPr>
              <w:spacing w:after="0" w:line="252" w:lineRule="auto"/>
              <w:jc w:val="left"/>
            </w:pPr>
            <w:r>
              <w:rPr>
                <w:rFonts w:ascii="Aptos" w:hAnsi="Aptos"/>
                <w:b w:val="0"/>
                <w:color w:val="000000"/>
                <w:sz w:val="19"/>
              </w:rPr>
              <w:t>Rejected for incomplete target</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451</w:t>
            </w:r>
          </w:p>
        </w:tc>
        <w:tc>
          <w:tcPr>
            <w:tcW w:type="dxa" w:w="208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11.6%</w:t>
            </w:r>
          </w:p>
        </w:tc>
      </w:tr>
      <w:tr>
        <w:tc>
          <w:tcPr>
            <w:tcW w:type="dxa" w:w="5976"/>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Total valid loaded meals considered</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3884</w:t>
            </w:r>
          </w:p>
        </w:tc>
        <w:tc>
          <w:tcPr>
            <w:tcW w:type="dxa" w:w="208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100.0%</w:t>
            </w:r>
          </w:p>
        </w:tc>
      </w:tr>
    </w:tbl>
    <w:p>
      <w:pPr>
        <w:spacing w:after="0"/>
      </w:pPr>
    </w:p>
    <w:p>
      <w:r>
        <w:t>Rejection categories are sequential first-failure outcomes, not independent prevalence estimates. A meal may have more than one issue but is counted only under the first rule that rejects it.</w:t>
      </w:r>
    </w:p>
    <w:p>
      <w:pPr>
        <w:pStyle w:val="Heading1"/>
        <w:keepNext/>
      </w:pPr>
      <w:r>
        <w:t>Usable Experimental Corpus</w:t>
      </w:r>
    </w:p>
    <w:p>
      <w:pPr>
        <w:pStyle w:val="Heading2"/>
        <w:keepNext/>
      </w:pPr>
      <w:r>
        <w:t>Context Length Sensitivity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88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History length</w:t>
            </w:r>
          </w:p>
        </w:tc>
        <w:tc>
          <w:tcPr>
            <w:tcW w:type="dxa" w:w="2088"/>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History points</w:t>
            </w:r>
          </w:p>
        </w:tc>
        <w:tc>
          <w:tcPr>
            <w:tcW w:type="dxa" w:w="2448"/>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Eligible windows</w:t>
            </w:r>
          </w:p>
        </w:tc>
        <w:tc>
          <w:tcPr>
            <w:tcW w:type="dxa" w:w="2448"/>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Share of meals</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2 hours</w:t>
            </w:r>
          </w:p>
        </w:tc>
        <w:tc>
          <w:tcPr>
            <w:tcW w:type="dxa" w:w="2088"/>
            <w:vAlign w:val="center"/>
            <w:tcMar>
              <w:top w:w="110" w:type="dxa"/>
              <w:start w:w="120" w:type="dxa"/>
              <w:bottom w:w="110" w:type="dxa"/>
              <w:end w:w="120" w:type="dxa"/>
            </w:tcMar>
          </w:tcPr>
          <w:p>
            <w:pPr>
              <w:spacing w:after="0" w:line="252" w:lineRule="auto"/>
              <w:jc w:val="center"/>
            </w:pPr>
            <w:r>
              <w:rPr>
                <w:rFonts w:ascii="Aptos" w:hAnsi="Aptos"/>
                <w:b w:val="0"/>
                <w:color w:val="000000"/>
                <w:sz w:val="19"/>
              </w:rPr>
              <w:t>24</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927</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23.9%</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6 hours</w:t>
            </w:r>
          </w:p>
        </w:tc>
        <w:tc>
          <w:tcPr>
            <w:tcW w:type="dxa" w:w="208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72</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834</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21.5%</w:t>
            </w:r>
          </w:p>
        </w:tc>
      </w:tr>
      <w:tr>
        <w:tc>
          <w:tcPr>
            <w:tcW w:type="dxa" w:w="2880"/>
            <w:vAlign w:val="center"/>
            <w:tcMar>
              <w:top w:w="110" w:type="dxa"/>
              <w:start w:w="120" w:type="dxa"/>
              <w:bottom w:w="110" w:type="dxa"/>
              <w:end w:w="120" w:type="dxa"/>
            </w:tcMar>
          </w:tcPr>
          <w:p>
            <w:pPr>
              <w:spacing w:after="0" w:line="252" w:lineRule="auto"/>
              <w:jc w:val="left"/>
            </w:pPr>
            <w:r>
              <w:rPr>
                <w:rFonts w:ascii="Aptos" w:hAnsi="Aptos"/>
                <w:b w:val="0"/>
                <w:color w:val="000000"/>
                <w:sz w:val="19"/>
              </w:rPr>
              <w:t>12 hours</w:t>
            </w:r>
          </w:p>
        </w:tc>
        <w:tc>
          <w:tcPr>
            <w:tcW w:type="dxa" w:w="208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144</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754</w:t>
            </w:r>
          </w:p>
        </w:tc>
        <w:tc>
          <w:tcPr>
            <w:tcW w:type="dxa" w:w="2448"/>
            <w:vAlign w:val="center"/>
            <w:tcMar>
              <w:top w:w="110" w:type="dxa"/>
              <w:start w:w="120" w:type="dxa"/>
              <w:bottom w:w="110" w:type="dxa"/>
              <w:end w:w="120" w:type="dxa"/>
            </w:tcMar>
          </w:tcPr>
          <w:p>
            <w:pPr>
              <w:spacing w:after="0" w:line="252" w:lineRule="auto"/>
              <w:jc w:val="center"/>
            </w:pPr>
            <w:r>
              <w:rPr>
                <w:rFonts w:ascii="Aptos" w:hAnsi="Aptos"/>
                <w:b w:val="0"/>
                <w:color w:val="000000"/>
                <w:sz w:val="19"/>
              </w:rPr>
              <w:t>19.4%</w:t>
            </w:r>
          </w:p>
        </w:tc>
      </w:tr>
      <w:tr>
        <w:tc>
          <w:tcPr>
            <w:tcW w:type="dxa" w:w="28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24 hours</w:t>
            </w:r>
          </w:p>
        </w:tc>
        <w:tc>
          <w:tcPr>
            <w:tcW w:type="dxa" w:w="208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288</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656</w:t>
            </w:r>
          </w:p>
        </w:tc>
        <w:tc>
          <w:tcPr>
            <w:tcW w:type="dxa" w:w="2448"/>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16.9%</w:t>
            </w:r>
          </w:p>
        </w:tc>
      </w:tr>
    </w:tbl>
    <w:p>
      <w:pPr>
        <w:spacing w:after="0"/>
      </w:pPr>
    </w:p>
    <w:p>
      <w:r>
        <w:t>For a fair 2-hour versus 6-hour versus 12-hour versus 24-hour context comparison, the shared complete-case set should be capped at 656 events. For the primary two-hour model comparison, all 927 strict events can be used. Removing the insulin requirement increases eligibility to 1,381 events, a gain of 454.</w:t>
      </w:r>
    </w:p>
    <w:p>
      <w:pPr>
        <w:pStyle w:val="Heading2"/>
        <w:keepNext/>
      </w:pPr>
      <w:r>
        <w:t>Event and Participant Distribution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68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Measure</w:t>
            </w:r>
          </w:p>
        </w:tc>
        <w:tc>
          <w:tcPr>
            <w:tcW w:type="dxa" w:w="518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Result</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b w:val="0"/>
                <w:color w:val="000000"/>
                <w:sz w:val="19"/>
              </w:rPr>
              <w:t>Eligible events</w:t>
            </w:r>
          </w:p>
        </w:tc>
        <w:tc>
          <w:tcPr>
            <w:tcW w:type="dxa" w:w="5184"/>
            <w:vAlign w:val="center"/>
            <w:tcMar>
              <w:top w:w="110" w:type="dxa"/>
              <w:start w:w="120" w:type="dxa"/>
              <w:bottom w:w="110" w:type="dxa"/>
              <w:end w:w="120" w:type="dxa"/>
            </w:tcMar>
          </w:tcPr>
          <w:p>
            <w:pPr>
              <w:spacing w:after="0" w:line="252" w:lineRule="auto"/>
              <w:jc w:val="left"/>
            </w:pPr>
            <w:r>
              <w:rPr>
                <w:rFonts w:ascii="Aptos" w:hAnsi="Aptos"/>
                <w:b w:val="0"/>
                <w:color w:val="000000"/>
                <w:sz w:val="19"/>
              </w:rPr>
              <w:t>927</w:t>
            </w:r>
          </w:p>
        </w:tc>
      </w:tr>
      <w:tr>
        <w:tc>
          <w:tcPr>
            <w:tcW w:type="dxa" w:w="46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History CGM values</w:t>
            </w:r>
          </w:p>
        </w:tc>
        <w:tc>
          <w:tcPr>
            <w:tcW w:type="dxa" w:w="51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22,248</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b w:val="0"/>
                <w:color w:val="000000"/>
                <w:sz w:val="19"/>
              </w:rPr>
              <w:t>Held-out target CGM values</w:t>
            </w:r>
          </w:p>
        </w:tc>
        <w:tc>
          <w:tcPr>
            <w:tcW w:type="dxa" w:w="5184"/>
            <w:vAlign w:val="center"/>
            <w:tcMar>
              <w:top w:w="110" w:type="dxa"/>
              <w:start w:w="120" w:type="dxa"/>
              <w:bottom w:w="110" w:type="dxa"/>
              <w:end w:w="120" w:type="dxa"/>
            </w:tcMar>
          </w:tcPr>
          <w:p>
            <w:pPr>
              <w:spacing w:after="0" w:line="252" w:lineRule="auto"/>
              <w:jc w:val="left"/>
            </w:pPr>
            <w:r>
              <w:rPr>
                <w:rFonts w:ascii="Aptos" w:hAnsi="Aptos"/>
                <w:b w:val="0"/>
                <w:color w:val="000000"/>
                <w:sz w:val="19"/>
              </w:rPr>
              <w:t>22,248</w:t>
            </w:r>
          </w:p>
        </w:tc>
      </w:tr>
      <w:tr>
        <w:tc>
          <w:tcPr>
            <w:tcW w:type="dxa" w:w="46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Participant event counts</w:t>
            </w:r>
          </w:p>
        </w:tc>
        <w:tc>
          <w:tcPr>
            <w:tcW w:type="dxa" w:w="51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2, 3, 5, 10, 15, 18, 28, 46, 62, 81, 84, 89, 137, 155, 192</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b w:val="0"/>
                <w:color w:val="000000"/>
                <w:sz w:val="19"/>
              </w:rPr>
              <w:t>Median events per participant</w:t>
            </w:r>
          </w:p>
        </w:tc>
        <w:tc>
          <w:tcPr>
            <w:tcW w:type="dxa" w:w="5184"/>
            <w:vAlign w:val="center"/>
            <w:tcMar>
              <w:top w:w="110" w:type="dxa"/>
              <w:start w:w="120" w:type="dxa"/>
              <w:bottom w:w="110" w:type="dxa"/>
              <w:end w:w="120" w:type="dxa"/>
            </w:tcMar>
          </w:tcPr>
          <w:p>
            <w:pPr>
              <w:spacing w:after="0" w:line="252" w:lineRule="auto"/>
              <w:jc w:val="left"/>
            </w:pPr>
            <w:r>
              <w:rPr>
                <w:rFonts w:ascii="Aptos" w:hAnsi="Aptos"/>
                <w:b w:val="0"/>
                <w:color w:val="000000"/>
                <w:sz w:val="19"/>
              </w:rPr>
              <w:t>46</w:t>
            </w:r>
          </w:p>
        </w:tc>
      </w:tr>
      <w:tr>
        <w:tc>
          <w:tcPr>
            <w:tcW w:type="dxa" w:w="46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Maximum events for one participant</w:t>
            </w:r>
          </w:p>
        </w:tc>
        <w:tc>
          <w:tcPr>
            <w:tcW w:type="dxa" w:w="51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192 (20.7%)</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b w:val="0"/>
                <w:color w:val="000000"/>
                <w:sz w:val="19"/>
              </w:rPr>
              <w:t>Participants with at least 20 events</w:t>
            </w:r>
          </w:p>
        </w:tc>
        <w:tc>
          <w:tcPr>
            <w:tcW w:type="dxa" w:w="5184"/>
            <w:vAlign w:val="center"/>
            <w:tcMar>
              <w:top w:w="110" w:type="dxa"/>
              <w:start w:w="120" w:type="dxa"/>
              <w:bottom w:w="110" w:type="dxa"/>
              <w:end w:w="120" w:type="dxa"/>
            </w:tcMar>
          </w:tcPr>
          <w:p>
            <w:pPr>
              <w:spacing w:after="0" w:line="252" w:lineRule="auto"/>
              <w:jc w:val="left"/>
            </w:pPr>
            <w:r>
              <w:rPr>
                <w:rFonts w:ascii="Aptos" w:hAnsi="Aptos"/>
                <w:b w:val="0"/>
                <w:color w:val="000000"/>
                <w:sz w:val="19"/>
              </w:rPr>
              <w:t>9 contributing 874 events</w:t>
            </w:r>
          </w:p>
        </w:tc>
      </w:tr>
      <w:tr>
        <w:tc>
          <w:tcPr>
            <w:tcW w:type="dxa" w:w="46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Participants with at least 50 events</w:t>
            </w:r>
          </w:p>
        </w:tc>
        <w:tc>
          <w:tcPr>
            <w:tcW w:type="dxa" w:w="51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7 contributing 800 events</w:t>
            </w:r>
          </w:p>
        </w:tc>
      </w:tr>
      <w:tr>
        <w:tc>
          <w:tcPr>
            <w:tcW w:type="dxa" w:w="4680"/>
            <w:vAlign w:val="center"/>
            <w:tcMar>
              <w:top w:w="110" w:type="dxa"/>
              <w:start w:w="120" w:type="dxa"/>
              <w:bottom w:w="110" w:type="dxa"/>
              <w:end w:w="120" w:type="dxa"/>
            </w:tcMar>
          </w:tcPr>
          <w:p>
            <w:pPr>
              <w:spacing w:after="0" w:line="252" w:lineRule="auto"/>
              <w:jc w:val="left"/>
            </w:pPr>
            <w:r>
              <w:rPr>
                <w:rFonts w:ascii="Aptos" w:hAnsi="Aptos"/>
                <w:b w:val="0"/>
                <w:color w:val="000000"/>
                <w:sz w:val="19"/>
              </w:rPr>
              <w:t>Participants with at least 100 events</w:t>
            </w:r>
          </w:p>
        </w:tc>
        <w:tc>
          <w:tcPr>
            <w:tcW w:type="dxa" w:w="5184"/>
            <w:vAlign w:val="center"/>
            <w:tcMar>
              <w:top w:w="110" w:type="dxa"/>
              <w:start w:w="120" w:type="dxa"/>
              <w:bottom w:w="110" w:type="dxa"/>
              <w:end w:w="120" w:type="dxa"/>
            </w:tcMar>
          </w:tcPr>
          <w:p>
            <w:pPr>
              <w:spacing w:after="0" w:line="252" w:lineRule="auto"/>
              <w:jc w:val="left"/>
            </w:pPr>
            <w:r>
              <w:rPr>
                <w:rFonts w:ascii="Aptos" w:hAnsi="Aptos"/>
                <w:b w:val="0"/>
                <w:color w:val="000000"/>
                <w:sz w:val="19"/>
              </w:rPr>
              <w:t>3</w:t>
            </w:r>
          </w:p>
        </w:tc>
      </w:tr>
      <w:tr>
        <w:tc>
          <w:tcPr>
            <w:tcW w:type="dxa" w:w="468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Eligible-event time span</w:t>
            </w:r>
          </w:p>
        </w:tc>
        <w:tc>
          <w:tcPr>
            <w:tcW w:type="dxa" w:w="51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1 to 95 days with median 69</w:t>
            </w:r>
          </w:p>
        </w:tc>
      </w:tr>
    </w:tbl>
    <w:p>
      <w:pPr>
        <w:spacing w:after="0"/>
      </w:pPr>
    </w:p>
    <w:p>
      <w:r>
        <w:t>The corpus contains 44,496 CGM values across history and target sequences, but the correct experimental units are 927 meal events nested within 15 people. The CGM values must not be treated as 44,496 independent observations.</w:t>
      </w:r>
    </w:p>
    <w:p>
      <w:pPr>
        <w:pStyle w:val="Heading2"/>
        <w:keepNext/>
      </w:pPr>
      <w:r>
        <w:t>Meal and Insulin Composition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5903"/>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Meal label</w:t>
            </w:r>
          </w:p>
        </w:tc>
        <w:tc>
          <w:tcPr>
            <w:tcW w:type="dxa" w:w="1800"/>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Events</w:t>
            </w:r>
          </w:p>
        </w:tc>
        <w:tc>
          <w:tcPr>
            <w:tcW w:type="dxa" w:w="2160"/>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Share</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Dinner</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250</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27.0%</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Lunch</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206</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22.2%</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Snack</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206</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22.2%</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Breakfast</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185</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20.0%</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Brunch</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24</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2.6%</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Supper</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23</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2.5%</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Unknown</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22</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2.4%</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Correction</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4</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0.4%</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Dessert</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3</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0.3%</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Lunch + Snack</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0.2%</w:t>
            </w:r>
          </w:p>
        </w:tc>
      </w:tr>
      <w:tr>
        <w:tc>
          <w:tcPr>
            <w:tcW w:type="dxa" w:w="5903"/>
            <w:vAlign w:val="center"/>
            <w:tcMar>
              <w:top w:w="110" w:type="dxa"/>
              <w:start w:w="120" w:type="dxa"/>
              <w:bottom w:w="110" w:type="dxa"/>
              <w:end w:w="120" w:type="dxa"/>
            </w:tcMar>
          </w:tcPr>
          <w:p>
            <w:pPr>
              <w:spacing w:after="0" w:line="252" w:lineRule="auto"/>
              <w:jc w:val="left"/>
            </w:pPr>
            <w:r>
              <w:rPr>
                <w:rFonts w:ascii="Aptos" w:hAnsi="Aptos"/>
                <w:b w:val="0"/>
                <w:color w:val="000000"/>
                <w:sz w:val="19"/>
              </w:rPr>
              <w:t>Lunch + Dinner</w:t>
            </w:r>
          </w:p>
        </w:tc>
        <w:tc>
          <w:tcPr>
            <w:tcW w:type="dxa" w:w="1800"/>
            <w:vAlign w:val="center"/>
            <w:tcMar>
              <w:top w:w="110" w:type="dxa"/>
              <w:start w:w="120" w:type="dxa"/>
              <w:bottom w:w="110" w:type="dxa"/>
              <w:end w:w="120" w:type="dxa"/>
            </w:tcMar>
          </w:tcPr>
          <w:p>
            <w:pPr>
              <w:spacing w:after="0" w:line="252" w:lineRule="auto"/>
              <w:jc w:val="center"/>
            </w:pPr>
            <w:r>
              <w:rPr>
                <w:rFonts w:ascii="Aptos" w:hAnsi="Aptos"/>
                <w:b w:val="0"/>
                <w:color w:val="000000"/>
                <w:sz w:val="19"/>
              </w:rPr>
              <w:t>1</w:t>
            </w:r>
          </w:p>
        </w:tc>
        <w:tc>
          <w:tcPr>
            <w:tcW w:type="dxa" w:w="2160"/>
            <w:vAlign w:val="center"/>
            <w:tcMar>
              <w:top w:w="110" w:type="dxa"/>
              <w:start w:w="120" w:type="dxa"/>
              <w:bottom w:w="110" w:type="dxa"/>
              <w:end w:w="120" w:type="dxa"/>
            </w:tcMar>
          </w:tcPr>
          <w:p>
            <w:pPr>
              <w:spacing w:after="0" w:line="252" w:lineRule="auto"/>
              <w:jc w:val="center"/>
            </w:pPr>
            <w:r>
              <w:rPr>
                <w:rFonts w:ascii="Aptos" w:hAnsi="Aptos"/>
                <w:b w:val="0"/>
                <w:color w:val="000000"/>
                <w:sz w:val="19"/>
              </w:rPr>
              <w:t>0.1%</w:t>
            </w:r>
          </w:p>
        </w:tc>
      </w:tr>
      <w:tr>
        <w:tc>
          <w:tcPr>
            <w:tcW w:type="dxa" w:w="5903"/>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dinner</w:t>
            </w:r>
          </w:p>
        </w:tc>
        <w:tc>
          <w:tcPr>
            <w:tcW w:type="dxa" w:w="180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1</w:t>
            </w:r>
          </w:p>
        </w:tc>
        <w:tc>
          <w:tcPr>
            <w:tcW w:type="dxa" w:w="2160"/>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0.1%</w:t>
            </w:r>
          </w:p>
        </w:tc>
      </w:tr>
    </w:tbl>
    <w:p>
      <w:pPr>
        <w:spacing w:after="0"/>
      </w:pPr>
    </w:p>
    <w:p>
      <w:r>
        <w:t>Carbohydrate content has a 10th percentile of 8 g, median of 43 g, and 90th percentile of 91 g. Rare and inconsistent labels such as Correction, Unknown, combined labels, and lowercase dinner should be normalized or explicitly grouped before meal-type analyses.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532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Insulin availability within six hours</w:t>
            </w:r>
          </w:p>
        </w:tc>
        <w:tc>
          <w:tcPr>
            <w:tcW w:type="dxa" w:w="1944"/>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Windows</w:t>
            </w:r>
          </w:p>
        </w:tc>
        <w:tc>
          <w:tcPr>
            <w:tcW w:type="dxa" w:w="2592"/>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Share</w:t>
            </w:r>
          </w:p>
        </w:tc>
      </w:tr>
      <w:tr>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Any bolus</w:t>
            </w:r>
          </w:p>
        </w:tc>
        <w:tc>
          <w:tcPr>
            <w:tcW w:type="dxa" w:w="19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811</w:t>
            </w:r>
          </w:p>
        </w:tc>
        <w:tc>
          <w:tcPr>
            <w:tcW w:type="dxa" w:w="2592"/>
            <w:vAlign w:val="center"/>
            <w:tcMar>
              <w:top w:w="110" w:type="dxa"/>
              <w:start w:w="120" w:type="dxa"/>
              <w:bottom w:w="110" w:type="dxa"/>
              <w:end w:w="120" w:type="dxa"/>
            </w:tcMar>
          </w:tcPr>
          <w:p>
            <w:pPr>
              <w:spacing w:after="0" w:line="252" w:lineRule="auto"/>
              <w:jc w:val="center"/>
            </w:pPr>
            <w:r>
              <w:rPr>
                <w:rFonts w:ascii="Aptos" w:hAnsi="Aptos"/>
                <w:b w:val="0"/>
                <w:color w:val="000000"/>
                <w:sz w:val="19"/>
              </w:rPr>
              <w:t>87.5%</w:t>
            </w:r>
          </w:p>
        </w:tc>
      </w:tr>
      <w:tr>
        <w:tc>
          <w:tcPr>
            <w:tcW w:type="dxa" w:w="532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Any basal</w:t>
            </w:r>
          </w:p>
        </w:tc>
        <w:tc>
          <w:tcPr>
            <w:tcW w:type="dxa" w:w="1944"/>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622</w:t>
            </w:r>
          </w:p>
        </w:tc>
        <w:tc>
          <w:tcPr>
            <w:tcW w:type="dxa" w:w="2592"/>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67.1%</w:t>
            </w:r>
          </w:p>
        </w:tc>
      </w:tr>
      <w:tr>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Both bolus and basal</w:t>
            </w:r>
          </w:p>
        </w:tc>
        <w:tc>
          <w:tcPr>
            <w:tcW w:type="dxa" w:w="19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506</w:t>
            </w:r>
          </w:p>
        </w:tc>
        <w:tc>
          <w:tcPr>
            <w:tcW w:type="dxa" w:w="2592"/>
            <w:vAlign w:val="center"/>
            <w:tcMar>
              <w:top w:w="110" w:type="dxa"/>
              <w:start w:w="120" w:type="dxa"/>
              <w:bottom w:w="110" w:type="dxa"/>
              <w:end w:w="120" w:type="dxa"/>
            </w:tcMar>
          </w:tcPr>
          <w:p>
            <w:pPr>
              <w:spacing w:after="0" w:line="252" w:lineRule="auto"/>
              <w:jc w:val="center"/>
            </w:pPr>
            <w:r>
              <w:rPr>
                <w:rFonts w:ascii="Aptos" w:hAnsi="Aptos"/>
                <w:b w:val="0"/>
                <w:color w:val="000000"/>
                <w:sz w:val="19"/>
              </w:rPr>
              <w:t>54.6%</w:t>
            </w:r>
          </w:p>
        </w:tc>
      </w:tr>
      <w:tr>
        <w:tc>
          <w:tcPr>
            <w:tcW w:type="dxa" w:w="532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Bolus only</w:t>
            </w:r>
          </w:p>
        </w:tc>
        <w:tc>
          <w:tcPr>
            <w:tcW w:type="dxa" w:w="1944"/>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305</w:t>
            </w:r>
          </w:p>
        </w:tc>
        <w:tc>
          <w:tcPr>
            <w:tcW w:type="dxa" w:w="2592"/>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32.9%</w:t>
            </w:r>
          </w:p>
        </w:tc>
      </w:tr>
      <w:tr>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Basal only</w:t>
            </w:r>
          </w:p>
        </w:tc>
        <w:tc>
          <w:tcPr>
            <w:tcW w:type="dxa" w:w="19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116</w:t>
            </w:r>
          </w:p>
        </w:tc>
        <w:tc>
          <w:tcPr>
            <w:tcW w:type="dxa" w:w="2592"/>
            <w:vAlign w:val="center"/>
            <w:tcMar>
              <w:top w:w="110" w:type="dxa"/>
              <w:start w:w="120" w:type="dxa"/>
              <w:bottom w:w="110" w:type="dxa"/>
              <w:end w:w="120" w:type="dxa"/>
            </w:tcMar>
          </w:tcPr>
          <w:p>
            <w:pPr>
              <w:spacing w:after="0" w:line="252" w:lineRule="auto"/>
              <w:jc w:val="center"/>
            </w:pPr>
            <w:r>
              <w:rPr>
                <w:rFonts w:ascii="Aptos" w:hAnsi="Aptos"/>
                <w:b w:val="0"/>
                <w:color w:val="000000"/>
                <w:sz w:val="19"/>
              </w:rPr>
              <w:t>12.5%</w:t>
            </w:r>
          </w:p>
        </w:tc>
      </w:tr>
    </w:tbl>
    <w:p>
      <w:pPr>
        <w:spacing w:after="0"/>
      </w:pPr>
    </w:p>
    <w:p>
      <w:pPr>
        <w:pStyle w:val="Heading1"/>
        <w:keepNext/>
      </w:pPr>
      <w:r>
        <w:t>Preliminary Baseline Evidence</w:t>
      </w:r>
    </w:p>
    <w:p>
      <w:r>
        <w:t>A persistence forecast repeats the last pre-meal glucose value for all 24 future points. The figures below are a descriptive calculation over the full 927-event corpus. They are useful as an engineering reference, but they are not a final held-out benchmark and should not be used for hypothesis testing.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612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Metric</w:t>
            </w:r>
          </w:p>
        </w:tc>
        <w:tc>
          <w:tcPr>
            <w:tcW w:type="dxa" w:w="3744"/>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Persistence result</w:t>
            </w:r>
          </w:p>
        </w:tc>
      </w:tr>
      <w:tr>
        <w:tc>
          <w:tcPr>
            <w:tcW w:type="dxa" w:w="6120"/>
            <w:vAlign w:val="center"/>
            <w:tcMar>
              <w:top w:w="110" w:type="dxa"/>
              <w:start w:w="120" w:type="dxa"/>
              <w:bottom w:w="110" w:type="dxa"/>
              <w:end w:w="120" w:type="dxa"/>
            </w:tcMar>
          </w:tcPr>
          <w:p>
            <w:pPr>
              <w:spacing w:after="0" w:line="252" w:lineRule="auto"/>
              <w:jc w:val="left"/>
            </w:pPr>
            <w:r>
              <w:rPr>
                <w:rFonts w:ascii="Aptos" w:hAnsi="Aptos"/>
                <w:b w:val="0"/>
                <w:color w:val="000000"/>
                <w:sz w:val="19"/>
              </w:rPr>
              <w:t>Full trajectory MAE</w:t>
            </w:r>
          </w:p>
        </w:tc>
        <w:tc>
          <w:tcPr>
            <w:tcW w:type="dxa" w:w="37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36.06 mg/dL</w:t>
            </w:r>
          </w:p>
        </w:tc>
      </w:tr>
      <w:tr>
        <w:tc>
          <w:tcPr>
            <w:tcW w:type="dxa" w:w="612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Full trajectory RMSE</w:t>
            </w:r>
          </w:p>
        </w:tc>
        <w:tc>
          <w:tcPr>
            <w:tcW w:type="dxa" w:w="3744"/>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51.00 mg/dL</w:t>
            </w:r>
          </w:p>
        </w:tc>
      </w:tr>
      <w:tr>
        <w:tc>
          <w:tcPr>
            <w:tcW w:type="dxa" w:w="6120"/>
            <w:vAlign w:val="center"/>
            <w:tcMar>
              <w:top w:w="110" w:type="dxa"/>
              <w:start w:w="120" w:type="dxa"/>
              <w:bottom w:w="110" w:type="dxa"/>
              <w:end w:w="120" w:type="dxa"/>
            </w:tcMar>
          </w:tcPr>
          <w:p>
            <w:pPr>
              <w:spacing w:after="0" w:line="252" w:lineRule="auto"/>
              <w:jc w:val="left"/>
            </w:pPr>
            <w:r>
              <w:rPr>
                <w:rFonts w:ascii="Aptos" w:hAnsi="Aptos"/>
                <w:b w:val="0"/>
                <w:color w:val="000000"/>
                <w:sz w:val="19"/>
              </w:rPr>
              <w:t>MAE at 30 minutes</w:t>
            </w:r>
          </w:p>
        </w:tc>
        <w:tc>
          <w:tcPr>
            <w:tcW w:type="dxa" w:w="37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24.30 mg/dL</w:t>
            </w:r>
          </w:p>
        </w:tc>
      </w:tr>
      <w:tr>
        <w:tc>
          <w:tcPr>
            <w:tcW w:type="dxa" w:w="612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MAE at 60 minutes</w:t>
            </w:r>
          </w:p>
        </w:tc>
        <w:tc>
          <w:tcPr>
            <w:tcW w:type="dxa" w:w="3744"/>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38.01 mg/dL</w:t>
            </w:r>
          </w:p>
        </w:tc>
      </w:tr>
      <w:tr>
        <w:tc>
          <w:tcPr>
            <w:tcW w:type="dxa" w:w="6120"/>
            <w:vAlign w:val="center"/>
            <w:tcMar>
              <w:top w:w="110" w:type="dxa"/>
              <w:start w:w="120" w:type="dxa"/>
              <w:bottom w:w="110" w:type="dxa"/>
              <w:end w:w="120" w:type="dxa"/>
            </w:tcMar>
          </w:tcPr>
          <w:p>
            <w:pPr>
              <w:spacing w:after="0" w:line="252" w:lineRule="auto"/>
              <w:jc w:val="left"/>
            </w:pPr>
            <w:r>
              <w:rPr>
                <w:rFonts w:ascii="Aptos" w:hAnsi="Aptos"/>
                <w:b w:val="0"/>
                <w:color w:val="000000"/>
                <w:sz w:val="19"/>
              </w:rPr>
              <w:t>MAE at 120 minutes</w:t>
            </w:r>
          </w:p>
        </w:tc>
        <w:tc>
          <w:tcPr>
            <w:tcW w:type="dxa" w:w="37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54.55 mg/dL</w:t>
            </w:r>
          </w:p>
        </w:tc>
      </w:tr>
      <w:tr>
        <w:tc>
          <w:tcPr>
            <w:tcW w:type="dxa" w:w="612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Median per-event trajectory MAE</w:t>
            </w:r>
          </w:p>
        </w:tc>
        <w:tc>
          <w:tcPr>
            <w:tcW w:type="dxa" w:w="3744"/>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29.32 mg/dL</w:t>
            </w:r>
          </w:p>
        </w:tc>
      </w:tr>
      <w:tr>
        <w:tc>
          <w:tcPr>
            <w:tcW w:type="dxa" w:w="6120"/>
            <w:vAlign w:val="center"/>
            <w:tcMar>
              <w:top w:w="110" w:type="dxa"/>
              <w:start w:w="120" w:type="dxa"/>
              <w:bottom w:w="110" w:type="dxa"/>
              <w:end w:w="120" w:type="dxa"/>
            </w:tcMar>
          </w:tcPr>
          <w:p>
            <w:pPr>
              <w:spacing w:after="0" w:line="252" w:lineRule="auto"/>
              <w:jc w:val="left"/>
            </w:pPr>
            <w:r>
              <w:rPr>
                <w:rFonts w:ascii="Aptos" w:hAnsi="Aptos"/>
                <w:b w:val="0"/>
                <w:color w:val="000000"/>
                <w:sz w:val="19"/>
              </w:rPr>
              <w:t>90th percentile per-event MAE</w:t>
            </w:r>
          </w:p>
        </w:tc>
        <w:tc>
          <w:tcPr>
            <w:tcW w:type="dxa" w:w="3744"/>
            <w:vAlign w:val="center"/>
            <w:tcMar>
              <w:top w:w="110" w:type="dxa"/>
              <w:start w:w="120" w:type="dxa"/>
              <w:bottom w:w="110" w:type="dxa"/>
              <w:end w:w="120" w:type="dxa"/>
            </w:tcMar>
          </w:tcPr>
          <w:p>
            <w:pPr>
              <w:spacing w:after="0" w:line="252" w:lineRule="auto"/>
              <w:jc w:val="center"/>
            </w:pPr>
            <w:r>
              <w:rPr>
                <w:rFonts w:ascii="Aptos" w:hAnsi="Aptos"/>
                <w:b w:val="0"/>
                <w:color w:val="000000"/>
                <w:sz w:val="19"/>
              </w:rPr>
              <w:t>70.45 mg/dL</w:t>
            </w:r>
          </w:p>
        </w:tc>
      </w:tr>
    </w:tbl>
    <w:p>
      <w:pPr>
        <w:spacing w:after="0"/>
      </w:pPr>
    </w:p>
    <w:p>
      <w:r>
        <w:t>The error increases with forecast horizon, which confirms that the dataset presents a non-trivial forecasting problem and gives the pretrained-model experiment a meaningful baseline to beat.</w:t>
      </w:r>
    </w:p>
    <w:p>
      <w:pPr>
        <w:pStyle w:val="Heading1"/>
        <w:keepNext/>
      </w:pPr>
      <w:r>
        <w:t>Work Completed to Date</w:t>
      </w:r>
    </w:p>
    <w:p>
      <w:pPr>
        <w:pStyle w:val="Heading2"/>
        <w:keepNext/>
      </w:pPr>
      <w:r>
        <w:t>Implemented Research Pipeline</w:t>
      </w:r>
    </w:p>
    <w:p>
      <w:pPr>
        <w:pStyle w:val="ListBullet"/>
      </w:pPr>
      <w:r>
        <w:t>Pinned the official V1.0.4 DOI, release commit, expected extraction suffix, license, and core schema.</w:t>
      </w:r>
    </w:p>
    <w:p>
      <w:pPr>
        <w:pStyle w:val="ListBullet"/>
      </w:pPr>
      <w:r>
        <w:t>Implemented schema validation and aggregate auditing for CGM, nutrition, bolus, and basal data.</w:t>
      </w:r>
    </w:p>
    <w:p>
      <w:pPr>
        <w:pStyle w:val="ListBullet"/>
      </w:pPr>
      <w:r>
        <w:t>Implemented day-first timestamp handling, mmol/L to mg/dL conversion, missing-value filtering, and duplicate policies.</w:t>
      </w:r>
    </w:p>
    <w:p>
      <w:pPr>
        <w:pStyle w:val="ListBullet"/>
      </w:pPr>
      <w:r>
        <w:t>Implemented same-timestamp meal-component aggregation and strict exclusion of date-only meals.</w:t>
      </w:r>
    </w:p>
    <w:p>
      <w:pPr>
        <w:pStyle w:val="ListBullet"/>
      </w:pPr>
      <w:r>
        <w:t>Implemented leakage-safe meal windows with configurable history, horizon, grid, interpolation limits, insulin history, and follow-up meal filtering.</w:t>
      </w:r>
    </w:p>
    <w:p>
      <w:pPr>
        <w:pStyle w:val="ListBullet"/>
      </w:pPr>
      <w:r>
        <w:t>Added privacy-safe command-line tools that emit aggregate results by default and do not copy raw data into the repository.</w:t>
      </w:r>
    </w:p>
    <w:p>
      <w:pPr>
        <w:pStyle w:val="ListBullet"/>
      </w:pPr>
      <w:r>
        <w:t>Synchronized the dataset strategy, scientific method, risks, milestone schedule, project specification, repository README, schema note, and implementation report.</w:t>
      </w:r>
    </w:p>
    <w:p>
      <w:pPr>
        <w:pStyle w:val="Heading2"/>
        <w:keepNext/>
      </w:pPr>
      <w:r>
        <w:t>Verification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482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Verification</w:t>
            </w:r>
          </w:p>
        </w:tc>
        <w:tc>
          <w:tcPr>
            <w:tcW w:type="dxa" w:w="5040"/>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Result</w:t>
            </w:r>
          </w:p>
        </w:tc>
      </w:tr>
      <w:tr>
        <w:tc>
          <w:tcPr>
            <w:tcW w:type="dxa" w:w="4824"/>
            <w:vAlign w:val="center"/>
            <w:tcMar>
              <w:top w:w="110" w:type="dxa"/>
              <w:start w:w="120" w:type="dxa"/>
              <w:bottom w:w="110" w:type="dxa"/>
              <w:end w:w="120" w:type="dxa"/>
            </w:tcMar>
          </w:tcPr>
          <w:p>
            <w:pPr>
              <w:spacing w:after="0" w:line="252" w:lineRule="auto"/>
              <w:jc w:val="left"/>
            </w:pPr>
            <w:r>
              <w:rPr>
                <w:rFonts w:ascii="Aptos" w:hAnsi="Aptos"/>
                <w:b w:val="0"/>
                <w:color w:val="000000"/>
                <w:sz w:val="19"/>
              </w:rPr>
              <w:t>Unit test discovery</w:t>
            </w:r>
          </w:p>
        </w:tc>
        <w:tc>
          <w:tcPr>
            <w:tcW w:type="dxa" w:w="5040"/>
            <w:vAlign w:val="center"/>
            <w:tcMar>
              <w:top w:w="110" w:type="dxa"/>
              <w:start w:w="120" w:type="dxa"/>
              <w:bottom w:w="110" w:type="dxa"/>
              <w:end w:w="120" w:type="dxa"/>
            </w:tcMar>
          </w:tcPr>
          <w:p>
            <w:pPr>
              <w:spacing w:after="0" w:line="252" w:lineRule="auto"/>
              <w:jc w:val="left"/>
            </w:pPr>
            <w:r>
              <w:rPr>
                <w:rFonts w:ascii="Aptos" w:hAnsi="Aptos"/>
                <w:b w:val="0"/>
                <w:color w:val="000000"/>
                <w:sz w:val="19"/>
              </w:rPr>
              <w:t>Passed 10 of 10 tests</w:t>
            </w:r>
          </w:p>
        </w:tc>
      </w:tr>
      <w:tr>
        <w:tc>
          <w:tcPr>
            <w:tcW w:type="dxa" w:w="482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Python compilation</w:t>
            </w:r>
          </w:p>
        </w:tc>
        <w:tc>
          <w:tcPr>
            <w:tcW w:type="dxa" w:w="504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Passed for research and tests</w:t>
            </w:r>
          </w:p>
        </w:tc>
      </w:tr>
      <w:tr>
        <w:tc>
          <w:tcPr>
            <w:tcW w:type="dxa" w:w="4824"/>
            <w:vAlign w:val="center"/>
            <w:tcMar>
              <w:top w:w="110" w:type="dxa"/>
              <w:start w:w="120" w:type="dxa"/>
              <w:bottom w:w="110" w:type="dxa"/>
              <w:end w:w="120" w:type="dxa"/>
            </w:tcMar>
          </w:tcPr>
          <w:p>
            <w:pPr>
              <w:spacing w:after="0" w:line="252" w:lineRule="auto"/>
              <w:jc w:val="left"/>
            </w:pPr>
            <w:r>
              <w:rPr>
                <w:rFonts w:ascii="Aptos" w:hAnsi="Aptos"/>
                <w:b w:val="0"/>
                <w:color w:val="000000"/>
                <w:sz w:val="19"/>
              </w:rPr>
              <w:t>Repository skill validation</w:t>
            </w:r>
          </w:p>
        </w:tc>
        <w:tc>
          <w:tcPr>
            <w:tcW w:type="dxa" w:w="5040"/>
            <w:vAlign w:val="center"/>
            <w:tcMar>
              <w:top w:w="110" w:type="dxa"/>
              <w:start w:w="120" w:type="dxa"/>
              <w:bottom w:w="110" w:type="dxa"/>
              <w:end w:w="120" w:type="dxa"/>
            </w:tcMar>
          </w:tcPr>
          <w:p>
            <w:pPr>
              <w:spacing w:after="0" w:line="252" w:lineRule="auto"/>
              <w:jc w:val="left"/>
            </w:pPr>
            <w:r>
              <w:rPr>
                <w:rFonts w:ascii="Aptos" w:hAnsi="Aptos"/>
                <w:b w:val="0"/>
                <w:color w:val="000000"/>
                <w:sz w:val="19"/>
              </w:rPr>
              <w:t>Passed 9 of 9 skill checks</w:t>
            </w:r>
          </w:p>
        </w:tc>
      </w:tr>
      <w:tr>
        <w:tc>
          <w:tcPr>
            <w:tcW w:type="dxa" w:w="482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Real release audit</w:t>
            </w:r>
          </w:p>
        </w:tc>
        <w:tc>
          <w:tcPr>
            <w:tcW w:type="dxa" w:w="504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Passed and matched pinned V1.0.4 provenance</w:t>
            </w:r>
          </w:p>
        </w:tc>
      </w:tr>
      <w:tr>
        <w:tc>
          <w:tcPr>
            <w:tcW w:type="dxa" w:w="4824"/>
            <w:vAlign w:val="center"/>
            <w:tcMar>
              <w:top w:w="110" w:type="dxa"/>
              <w:start w:w="120" w:type="dxa"/>
              <w:bottom w:w="110" w:type="dxa"/>
              <w:end w:w="120" w:type="dxa"/>
            </w:tcMar>
          </w:tcPr>
          <w:p>
            <w:pPr>
              <w:spacing w:after="0" w:line="252" w:lineRule="auto"/>
              <w:jc w:val="left"/>
            </w:pPr>
            <w:r>
              <w:rPr>
                <w:rFonts w:ascii="Aptos" w:hAnsi="Aptos"/>
                <w:b w:val="0"/>
                <w:color w:val="000000"/>
                <w:sz w:val="19"/>
              </w:rPr>
              <w:t>Full strict eligibility scan</w:t>
            </w:r>
          </w:p>
        </w:tc>
        <w:tc>
          <w:tcPr>
            <w:tcW w:type="dxa" w:w="5040"/>
            <w:vAlign w:val="center"/>
            <w:tcMar>
              <w:top w:w="110" w:type="dxa"/>
              <w:start w:w="120" w:type="dxa"/>
              <w:bottom w:w="110" w:type="dxa"/>
              <w:end w:w="120" w:type="dxa"/>
            </w:tcMar>
          </w:tcPr>
          <w:p>
            <w:pPr>
              <w:spacing w:after="0" w:line="252" w:lineRule="auto"/>
              <w:jc w:val="left"/>
            </w:pPr>
            <w:r>
              <w:rPr>
                <w:rFonts w:ascii="Aptos" w:hAnsi="Aptos"/>
                <w:b w:val="0"/>
                <w:color w:val="000000"/>
                <w:sz w:val="19"/>
              </w:rPr>
              <w:t>Passed with 927 windows</w:t>
            </w:r>
          </w:p>
        </w:tc>
      </w:tr>
      <w:tr>
        <w:tc>
          <w:tcPr>
            <w:tcW w:type="dxa" w:w="482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Whitespace and patch validation</w:t>
            </w:r>
          </w:p>
        </w:tc>
        <w:tc>
          <w:tcPr>
            <w:tcW w:type="dxa" w:w="5040"/>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git diff check passed</w:t>
            </w:r>
          </w:p>
        </w:tc>
      </w:tr>
      <w:tr>
        <w:tc>
          <w:tcPr>
            <w:tcW w:type="dxa" w:w="4824"/>
            <w:vAlign w:val="center"/>
            <w:tcMar>
              <w:top w:w="110" w:type="dxa"/>
              <w:start w:w="120" w:type="dxa"/>
              <w:bottom w:w="110" w:type="dxa"/>
              <w:end w:w="120" w:type="dxa"/>
            </w:tcMar>
          </w:tcPr>
          <w:p>
            <w:pPr>
              <w:spacing w:after="0" w:line="252" w:lineRule="auto"/>
              <w:jc w:val="left"/>
            </w:pPr>
            <w:r>
              <w:rPr>
                <w:rFonts w:ascii="Aptos" w:hAnsi="Aptos"/>
                <w:b w:val="0"/>
                <w:color w:val="000000"/>
                <w:sz w:val="19"/>
              </w:rPr>
              <w:t>Graphify refresh</w:t>
            </w:r>
          </w:p>
        </w:tc>
        <w:tc>
          <w:tcPr>
            <w:tcW w:type="dxa" w:w="5040"/>
            <w:vAlign w:val="center"/>
            <w:tcMar>
              <w:top w:w="110" w:type="dxa"/>
              <w:start w:w="120" w:type="dxa"/>
              <w:bottom w:w="110" w:type="dxa"/>
              <w:end w:w="120" w:type="dxa"/>
            </w:tcMar>
          </w:tcPr>
          <w:p>
            <w:pPr>
              <w:spacing w:after="0" w:line="252" w:lineRule="auto"/>
              <w:jc w:val="left"/>
            </w:pPr>
            <w:r>
              <w:rPr>
                <w:rFonts w:ascii="Aptos" w:hAnsi="Aptos"/>
                <w:b w:val="0"/>
                <w:color w:val="000000"/>
                <w:sz w:val="19"/>
              </w:rPr>
              <w:t>Passed with Graphify 0.9.69 in code-only mode</w:t>
            </w:r>
          </w:p>
        </w:tc>
      </w:tr>
    </w:tbl>
    <w:p>
      <w:pPr>
        <w:spacing w:after="0"/>
      </w:pPr>
    </w:p>
    <w:p>
      <w:r>
        <w:t>The synthetic tests cover timestamp ambiguity, missing schema fields, temporal boundaries, future-insulin leakage, follow-up meals, unsafe interpolation, conflicting CGM duplicates, same-time meal aggregation, date-only meals, and aggregate audit counts.</w:t>
      </w:r>
    </w:p>
    <w:p>
      <w:pPr>
        <w:pStyle w:val="Heading1"/>
        <w:keepNext/>
      </w:pPr>
      <w:r>
        <w:t>Milestone 1 Status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671"/>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Milestone 1 item</w:t>
            </w:r>
          </w:p>
        </w:tc>
        <w:tc>
          <w:tcPr>
            <w:tcW w:type="dxa" w:w="194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Status</w:t>
            </w:r>
          </w:p>
        </w:tc>
        <w:tc>
          <w:tcPr>
            <w:tcW w:type="dxa" w:w="424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Evidence or remaining work</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Literature survey and model matrix</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Complete</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Planning pack defines required and exploratory candidates</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T1D-UOM provenance and dataset audit</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Complete</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V1.0.4 pin and quantified audit</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Meal-centered preprocessing</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Complete</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927 strict model-ready windows</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Evaluation and leakage protocol</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Complete for initial slice</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Needs final split freeze and sensitivity analysis</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Common forecast adapter</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Define one contract for persistence and pretrained models</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Persistence baseline pipeline</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Partial</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Descriptive metrics calculated; held-out runner still needed</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Chronos-2 smoke test</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Primary M1 closure criterion</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TimesFM smoke test</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Attempt after Chronos-2 if time permits</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Runtime memory and quantile evidence</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Capture during model smoke tests</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Next.js and FastAPI skeleton</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One dummy end-to-end request required</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Database migration</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Implement documented schema</w:t>
            </w:r>
          </w:p>
        </w:tc>
      </w:tr>
      <w:tr>
        <w:tc>
          <w:tcPr>
            <w:tcW w:type="dxa" w:w="3671"/>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py-mgipsim scenario</w:t>
            </w:r>
          </w:p>
        </w:tc>
        <w:tc>
          <w:tcPr>
            <w:tcW w:type="dxa" w:w="194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Run one reproducible virtual scenario</w:t>
            </w:r>
          </w:p>
        </w:tc>
      </w:tr>
      <w:tr>
        <w:tc>
          <w:tcPr>
            <w:tcW w:type="dxa" w:w="3671"/>
            <w:vAlign w:val="center"/>
            <w:tcMar>
              <w:top w:w="110" w:type="dxa"/>
              <w:start w:w="120" w:type="dxa"/>
              <w:bottom w:w="110" w:type="dxa"/>
              <w:end w:w="120" w:type="dxa"/>
            </w:tcMar>
          </w:tcPr>
          <w:p>
            <w:pPr>
              <w:spacing w:after="0" w:line="252" w:lineRule="auto"/>
              <w:jc w:val="left"/>
            </w:pPr>
            <w:r>
              <w:rPr>
                <w:rFonts w:ascii="Aptos" w:hAnsi="Aptos"/>
                <w:b w:val="0"/>
                <w:color w:val="000000"/>
                <w:sz w:val="19"/>
              </w:rPr>
              <w:t>Milestone presentation artifact</w:t>
            </w:r>
          </w:p>
        </w:tc>
        <w:tc>
          <w:tcPr>
            <w:tcW w:type="dxa" w:w="1944"/>
            <w:vAlign w:val="center"/>
            <w:tcMar>
              <w:top w:w="110" w:type="dxa"/>
              <w:start w:w="120" w:type="dxa"/>
              <w:bottom w:w="110" w:type="dxa"/>
              <w:end w:w="120" w:type="dxa"/>
            </w:tcMar>
          </w:tcPr>
          <w:p>
            <w:pPr>
              <w:spacing w:after="0" w:line="252" w:lineRule="auto"/>
              <w:jc w:val="left"/>
            </w:pPr>
            <w:r>
              <w:rPr>
                <w:rFonts w:ascii="Aptos" w:hAnsi="Aptos"/>
                <w:b w:val="0"/>
                <w:color w:val="000000"/>
                <w:sz w:val="19"/>
              </w:rPr>
              <w:t>Not started</w:t>
            </w:r>
          </w:p>
        </w:tc>
        <w:tc>
          <w:tcPr>
            <w:tcW w:type="dxa" w:w="4248"/>
            <w:vAlign w:val="center"/>
            <w:tcMar>
              <w:top w:w="110" w:type="dxa"/>
              <w:start w:w="120" w:type="dxa"/>
              <w:bottom w:w="110" w:type="dxa"/>
              <w:end w:w="120" w:type="dxa"/>
            </w:tcMar>
          </w:tcPr>
          <w:p>
            <w:pPr>
              <w:spacing w:after="0" w:line="252" w:lineRule="auto"/>
              <w:jc w:val="left"/>
            </w:pPr>
            <w:r>
              <w:rPr>
                <w:rFonts w:ascii="Aptos" w:hAnsi="Aptos"/>
                <w:b w:val="0"/>
                <w:color w:val="000000"/>
                <w:sz w:val="19"/>
              </w:rPr>
              <w:t>Prepare concise advisor and course update</w:t>
            </w:r>
          </w:p>
        </w:tc>
      </w:tr>
    </w:tbl>
    <w:p>
      <w:pPr>
        <w:spacing w:after="0"/>
      </w:pPr>
    </w:p>
    <w:p>
      <w:pPr>
        <w:pStyle w:val="Heading1"/>
        <w:keepNext/>
      </w:pPr>
      <w:r>
        <w:t>Interpretation and Dataset Suitability</w:t>
      </w:r>
    </w:p>
    <w:p>
      <w:r>
        <w:t>T1D-UOM should be used as the primary rich-context dataset because it contains the modalities required for the central scientific question: whether insulin and detailed meal nutrition improve pretrained glucose forecasts. The 927 strict events support paired comparisons because every model and context configuration can be evaluated on the same meal events.</w:t>
      </w:r>
    </w:p>
    <w:p>
      <w:r>
        <w:t>The dataset should not be treated as the only evidence base. Fifteen usable participants are enough for feasibility and within-dataset analysis, but not for claims about the broader T1D population. Participant imbalance is substantial, and only seven participants contribute at least 50 eligible events. External shared-feature validation on AZT1D or HUPA-UCM remains necessary after the core experiment works.</w:t>
      </w:r>
    </w:p>
    <w:p>
      <w:r>
        <w:t>For personalization experiments, the strongest initial subset is the seven participants with at least 50 events, which together contribute 800 of the 927 windows. Results must still be reported across participants so the largest participant does not dominate the conclusion.</w:t>
      </w:r>
    </w:p>
    <w:p>
      <w:pPr>
        <w:pStyle w:val="Heading1"/>
        <w:keepNext/>
      </w:pPr>
      <w:r>
        <w:t>Limitations and Risks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Risk</w:t>
            </w:r>
          </w:p>
        </w:tc>
        <w:tc>
          <w:tcPr>
            <w:tcW w:type="dxa" w:w="338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Current evidence</w:t>
            </w:r>
          </w:p>
        </w:tc>
        <w:tc>
          <w:tcPr>
            <w:tcW w:type="dxa" w:w="388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Required response</w:t>
            </w:r>
          </w:p>
        </w:tc>
      </w:tr>
      <w:tr>
        <w:tc>
          <w:tcPr>
            <w:tcW w:type="dxa" w:w="2592"/>
            <w:vAlign w:val="center"/>
            <w:tcMar>
              <w:top w:w="110" w:type="dxa"/>
              <w:start w:w="120" w:type="dxa"/>
              <w:bottom w:w="110" w:type="dxa"/>
              <w:end w:w="120" w:type="dxa"/>
            </w:tcMar>
          </w:tcPr>
          <w:p>
            <w:pPr>
              <w:spacing w:after="0" w:line="252" w:lineRule="auto"/>
              <w:jc w:val="left"/>
            </w:pPr>
            <w:r>
              <w:rPr>
                <w:rFonts w:ascii="Aptos" w:hAnsi="Aptos"/>
                <w:b w:val="0"/>
                <w:color w:val="000000"/>
                <w:sz w:val="19"/>
              </w:rPr>
              <w:t>Small cohort</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17 total and 15 core participants</w:t>
            </w:r>
          </w:p>
        </w:tc>
        <w:tc>
          <w:tcPr>
            <w:tcW w:type="dxa" w:w="3888"/>
            <w:vAlign w:val="center"/>
            <w:tcMar>
              <w:top w:w="110" w:type="dxa"/>
              <w:start w:w="120" w:type="dxa"/>
              <w:bottom w:w="110" w:type="dxa"/>
              <w:end w:w="120" w:type="dxa"/>
            </w:tcMar>
          </w:tcPr>
          <w:p>
            <w:pPr>
              <w:spacing w:after="0" w:line="252" w:lineRule="auto"/>
              <w:jc w:val="left"/>
            </w:pPr>
            <w:r>
              <w:rPr>
                <w:rFonts w:ascii="Aptos" w:hAnsi="Aptos"/>
                <w:b w:val="0"/>
                <w:color w:val="000000"/>
                <w:sz w:val="19"/>
              </w:rPr>
              <w:t>Inference-first analysis and external validation</w:t>
            </w:r>
          </w:p>
        </w:tc>
      </w:tr>
      <w:tr>
        <w:tc>
          <w:tcPr>
            <w:tcW w:type="dxa" w:w="259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Participant imbalance</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2 to 192 eligible events per person</w:t>
            </w:r>
          </w:p>
        </w:tc>
        <w:tc>
          <w:tcPr>
            <w:tcW w:type="dxa" w:w="388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Per-participant metrics and paired resampling</w:t>
            </w:r>
          </w:p>
        </w:tc>
      </w:tr>
      <w:tr>
        <w:tc>
          <w:tcPr>
            <w:tcW w:type="dxa" w:w="2592"/>
            <w:vAlign w:val="center"/>
            <w:tcMar>
              <w:top w:w="110" w:type="dxa"/>
              <w:start w:w="120" w:type="dxa"/>
              <w:bottom w:w="110" w:type="dxa"/>
              <w:end w:w="120" w:type="dxa"/>
            </w:tcMar>
          </w:tcPr>
          <w:p>
            <w:pPr>
              <w:spacing w:after="0" w:line="252" w:lineRule="auto"/>
              <w:jc w:val="left"/>
            </w:pPr>
            <w:r>
              <w:rPr>
                <w:rFonts w:ascii="Aptos" w:hAnsi="Aptos"/>
                <w:b w:val="0"/>
                <w:color w:val="000000"/>
                <w:sz w:val="19"/>
              </w:rPr>
              <w:t>Self-reported nutrition</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652 nutrition rows have required blanks</w:t>
            </w:r>
          </w:p>
        </w:tc>
        <w:tc>
          <w:tcPr>
            <w:tcW w:type="dxa" w:w="3888"/>
            <w:vAlign w:val="center"/>
            <w:tcMar>
              <w:top w:w="110" w:type="dxa"/>
              <w:start w:w="120" w:type="dxa"/>
              <w:bottom w:w="110" w:type="dxa"/>
              <w:end w:w="120" w:type="dxa"/>
            </w:tcMar>
          </w:tcPr>
          <w:p>
            <w:pPr>
              <w:spacing w:after="0" w:line="252" w:lineRule="auto"/>
              <w:jc w:val="left"/>
            </w:pPr>
            <w:r>
              <w:rPr>
                <w:rFonts w:ascii="Aptos" w:hAnsi="Aptos"/>
                <w:b w:val="0"/>
                <w:color w:val="000000"/>
                <w:sz w:val="19"/>
              </w:rPr>
              <w:t>Filter and run missingness sensitivity analysis</w:t>
            </w:r>
          </w:p>
        </w:tc>
      </w:tr>
      <w:tr>
        <w:tc>
          <w:tcPr>
            <w:tcW w:type="dxa" w:w="259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Timezone uncertainty</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No source timezone offsets</w:t>
            </w:r>
          </w:p>
        </w:tc>
        <w:tc>
          <w:tcPr>
            <w:tcW w:type="dxa" w:w="388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Document DST and cross-source alignment policy</w:t>
            </w:r>
          </w:p>
        </w:tc>
      </w:tr>
      <w:tr>
        <w:tc>
          <w:tcPr>
            <w:tcW w:type="dxa" w:w="2592"/>
            <w:vAlign w:val="center"/>
            <w:tcMar>
              <w:top w:w="110" w:type="dxa"/>
              <w:start w:w="120" w:type="dxa"/>
              <w:bottom w:w="110" w:type="dxa"/>
              <w:end w:w="120" w:type="dxa"/>
            </w:tcMar>
          </w:tcPr>
          <w:p>
            <w:pPr>
              <w:spacing w:after="0" w:line="252" w:lineRule="auto"/>
              <w:jc w:val="left"/>
            </w:pPr>
            <w:r>
              <w:rPr>
                <w:rFonts w:ascii="Aptos" w:hAnsi="Aptos"/>
                <w:b w:val="0"/>
                <w:color w:val="000000"/>
                <w:sz w:val="19"/>
              </w:rPr>
              <w:t>Basal unit ambiguity</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Units may be U or U/hour by insulin type</w:t>
            </w:r>
          </w:p>
        </w:tc>
        <w:tc>
          <w:tcPr>
            <w:tcW w:type="dxa" w:w="3888"/>
            <w:vAlign w:val="center"/>
            <w:tcMar>
              <w:top w:w="110" w:type="dxa"/>
              <w:start w:w="120" w:type="dxa"/>
              <w:bottom w:w="110" w:type="dxa"/>
              <w:end w:w="120" w:type="dxa"/>
            </w:tcMar>
          </w:tcPr>
          <w:p>
            <w:pPr>
              <w:spacing w:after="0" w:line="252" w:lineRule="auto"/>
              <w:jc w:val="left"/>
            </w:pPr>
            <w:r>
              <w:rPr>
                <w:rFonts w:ascii="Aptos" w:hAnsi="Aptos"/>
                <w:b w:val="0"/>
                <w:color w:val="000000"/>
                <w:sz w:val="19"/>
              </w:rPr>
              <w:t>Normalize by insulin kind before model covariates</w:t>
            </w:r>
          </w:p>
        </w:tc>
      </w:tr>
      <w:tr>
        <w:tc>
          <w:tcPr>
            <w:tcW w:type="dxa" w:w="259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Meal label inconsistency</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Rare, combined, unknown, and case variants</w:t>
            </w:r>
          </w:p>
        </w:tc>
        <w:tc>
          <w:tcPr>
            <w:tcW w:type="dxa" w:w="388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Create a documented label normalization map</w:t>
            </w:r>
          </w:p>
        </w:tc>
      </w:tr>
      <w:tr>
        <w:tc>
          <w:tcPr>
            <w:tcW w:type="dxa" w:w="2592"/>
            <w:vAlign w:val="center"/>
            <w:tcMar>
              <w:top w:w="110" w:type="dxa"/>
              <w:start w:w="120" w:type="dxa"/>
              <w:bottom w:w="110" w:type="dxa"/>
              <w:end w:w="120" w:type="dxa"/>
            </w:tcMar>
          </w:tcPr>
          <w:p>
            <w:pPr>
              <w:spacing w:after="0" w:line="252" w:lineRule="auto"/>
              <w:jc w:val="left"/>
            </w:pPr>
            <w:r>
              <w:rPr>
                <w:rFonts w:ascii="Aptos" w:hAnsi="Aptos"/>
                <w:b w:val="0"/>
                <w:color w:val="000000"/>
                <w:sz w:val="19"/>
              </w:rPr>
              <w:t>Window-policy sensitivity</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927 depends on strict filtering</w:t>
            </w:r>
          </w:p>
        </w:tc>
        <w:tc>
          <w:tcPr>
            <w:tcW w:type="dxa" w:w="3888"/>
            <w:vAlign w:val="center"/>
            <w:tcMar>
              <w:top w:w="110" w:type="dxa"/>
              <w:start w:w="120" w:type="dxa"/>
              <w:bottom w:w="110" w:type="dxa"/>
              <w:end w:w="120" w:type="dxa"/>
            </w:tcMar>
          </w:tcPr>
          <w:p>
            <w:pPr>
              <w:spacing w:after="0" w:line="252" w:lineRule="auto"/>
              <w:jc w:val="left"/>
            </w:pPr>
            <w:r>
              <w:rPr>
                <w:rFonts w:ascii="Aptos" w:hAnsi="Aptos"/>
                <w:b w:val="0"/>
                <w:color w:val="000000"/>
                <w:sz w:val="19"/>
              </w:rPr>
              <w:t>Report alternate history and insulin policies</w:t>
            </w:r>
          </w:p>
        </w:tc>
      </w:tr>
      <w:tr>
        <w:tc>
          <w:tcPr>
            <w:tcW w:type="dxa" w:w="2592"/>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No pretrained result yet</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Only persistence is quantified</w:t>
            </w:r>
          </w:p>
        </w:tc>
        <w:tc>
          <w:tcPr>
            <w:tcW w:type="dxa" w:w="388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Run Chronos-2 before claiming model feasibility</w:t>
            </w:r>
          </w:p>
        </w:tc>
      </w:tr>
      <w:tr>
        <w:tc>
          <w:tcPr>
            <w:tcW w:type="dxa" w:w="2592"/>
            <w:vAlign w:val="center"/>
            <w:tcMar>
              <w:top w:w="110" w:type="dxa"/>
              <w:start w:w="120" w:type="dxa"/>
              <w:bottom w:w="110" w:type="dxa"/>
              <w:end w:w="120" w:type="dxa"/>
            </w:tcMar>
          </w:tcPr>
          <w:p>
            <w:pPr>
              <w:spacing w:after="0" w:line="252" w:lineRule="auto"/>
              <w:jc w:val="left"/>
            </w:pPr>
            <w:r>
              <w:rPr>
                <w:rFonts w:ascii="Aptos" w:hAnsi="Aptos"/>
                <w:b w:val="0"/>
                <w:color w:val="000000"/>
                <w:sz w:val="19"/>
              </w:rPr>
              <w:t>Clinical interpretation</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Retrospective public dataset only</w:t>
            </w:r>
          </w:p>
        </w:tc>
        <w:tc>
          <w:tcPr>
            <w:tcW w:type="dxa" w:w="3888"/>
            <w:vAlign w:val="center"/>
            <w:tcMar>
              <w:top w:w="110" w:type="dxa"/>
              <w:start w:w="120" w:type="dxa"/>
              <w:bottom w:w="110" w:type="dxa"/>
              <w:end w:w="120" w:type="dxa"/>
            </w:tcMar>
          </w:tcPr>
          <w:p>
            <w:pPr>
              <w:spacing w:after="0" w:line="252" w:lineRule="auto"/>
              <w:jc w:val="left"/>
            </w:pPr>
            <w:r>
              <w:rPr>
                <w:rFonts w:ascii="Aptos" w:hAnsi="Aptos"/>
                <w:b w:val="0"/>
                <w:color w:val="000000"/>
                <w:sz w:val="19"/>
              </w:rPr>
              <w:t>No dosing, treatment, or clinical validation claims</w:t>
            </w:r>
          </w:p>
        </w:tc>
      </w:tr>
    </w:tbl>
    <w:p>
      <w:pPr>
        <w:spacing w:after="0"/>
      </w:pPr>
    </w:p>
    <w:p>
      <w:pPr>
        <w:pStyle w:val="Heading1"/>
        <w:keepNext/>
      </w:pPr>
      <w:r>
        <w:t>Recommended Next Steps</w:t>
      </w:r>
    </w:p>
    <w:p>
      <w:pPr>
        <w:pStyle w:val="ListNumber"/>
      </w:pPr>
      <w:r>
        <w:t>Freeze the evaluation protocol. Define the chronological per-participant split, the shared event identifiers, and the complete-case subset used for context-length comparisons. The simple 60 20 20 allocation yields 551 training or retrieval events, 180 validation events, and 196 test events, but low-volume participants require an explicit minimum-count rule.</w:t>
      </w:r>
    </w:p>
    <w:p>
      <w:pPr>
        <w:pStyle w:val="ListNumber"/>
      </w:pPr>
      <w:r>
        <w:t>Implement the common ForecastModelAdapter and a reproducible persistence runner. Make forecast values, quantiles, model metadata, load time, inference time, memory, and failure status part of the contract.</w:t>
      </w:r>
    </w:p>
    <w:p>
      <w:pPr>
        <w:pStyle w:val="ListNumber"/>
      </w:pPr>
      <w:r>
        <w:t>Run a Chronos-2 smoke test first. Start with a small deterministic sample, verify 24-step output and quantiles, then run the frozen model on the same held-out events as persistence. Record p50 and p95 latency, peak memory, and failed runs.</w:t>
      </w:r>
    </w:p>
    <w:p>
      <w:pPr>
        <w:pStyle w:val="ListNumber"/>
      </w:pPr>
      <w:r>
        <w:t>Compare Chronos-2 with persistence before adding more models. If the adapter and metrics are stable, add TimesFM as the second required candidate; keep CGMformer exploratory.</w:t>
      </w:r>
    </w:p>
    <w:p>
      <w:pPr>
        <w:pStyle w:val="ListNumber"/>
      </w:pPr>
      <w:r>
        <w:t>Normalize insulin and meal covariates before the context ablation. Resolve basal-dose units by insulin kind and define controlled meal-label categories while retaining raw values outside model inputs.</w:t>
      </w:r>
    </w:p>
    <w:p>
      <w:pPr>
        <w:pStyle w:val="ListNumber"/>
      </w:pPr>
      <w:r>
        <w:t>Create the minimum end-to-end application path. Add the FastAPI and Next.js skeletons, implement one dummy forecast request, and apply an executable database migration that matches the documented schema.</w:t>
      </w:r>
    </w:p>
    <w:p>
      <w:pPr>
        <w:pStyle w:val="ListNumber"/>
      </w:pPr>
      <w:r>
        <w:t>Run one py-mgipsim scenario and capture the reproducible configuration. Use simulation for integration and demonstration, not as real-patient validation.</w:t>
      </w:r>
    </w:p>
    <w:p>
      <w:pPr>
        <w:pStyle w:val="ListNumber"/>
      </w:pPr>
      <w:r>
        <w:t>After the core experiment is stable, add shared-feature external validation with AZT1D or HUPA-UCM and prepare the Milestone 1 presentation around completed evidence, open risks, and advisor decisions.</w:t>
      </w:r>
    </w:p>
    <w:p>
      <w:pPr>
        <w:pStyle w:val="Heading2"/>
        <w:keepNext/>
      </w:pPr>
      <w:r>
        <w:t>Immediate Execution Plan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152"/>
            <w:vAlign w:val="center"/>
            <w:tcMar>
              <w:top w:w="110" w:type="dxa"/>
              <w:start w:w="120" w:type="dxa"/>
              <w:bottom w:w="110" w:type="dxa"/>
              <w:end w:w="120" w:type="dxa"/>
            </w:tcMar>
            <w:shd w:fill="17365D"/>
          </w:tcPr>
          <w:p>
            <w:pPr>
              <w:spacing w:after="0" w:line="252" w:lineRule="auto"/>
              <w:jc w:val="center"/>
            </w:pPr>
            <w:r>
              <w:rPr>
                <w:rFonts w:ascii="Aptos" w:hAnsi="Aptos"/>
                <w:b/>
                <w:color w:val="FFFFFF"/>
                <w:sz w:val="19"/>
              </w:rPr>
              <w:t>Priority</w:t>
            </w:r>
          </w:p>
        </w:tc>
        <w:tc>
          <w:tcPr>
            <w:tcW w:type="dxa" w:w="3384"/>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Deliverable</w:t>
            </w:r>
          </w:p>
        </w:tc>
        <w:tc>
          <w:tcPr>
            <w:tcW w:type="dxa" w:w="5328"/>
            <w:vAlign w:val="center"/>
            <w:tcMar>
              <w:top w:w="110" w:type="dxa"/>
              <w:start w:w="120" w:type="dxa"/>
              <w:bottom w:w="110" w:type="dxa"/>
              <w:end w:w="120" w:type="dxa"/>
            </w:tcMar>
            <w:shd w:fill="17365D"/>
          </w:tcPr>
          <w:p>
            <w:pPr>
              <w:spacing w:after="0" w:line="252" w:lineRule="auto"/>
              <w:jc w:val="left"/>
            </w:pPr>
            <w:r>
              <w:rPr>
                <w:rFonts w:ascii="Aptos" w:hAnsi="Aptos"/>
                <w:b/>
                <w:color w:val="FFFFFF"/>
                <w:sz w:val="19"/>
              </w:rPr>
              <w:t>Acceptance evidence</w:t>
            </w:r>
          </w:p>
        </w:tc>
      </w:tr>
      <w:tr>
        <w:tc>
          <w:tcPr>
            <w:tcW w:type="dxa" w:w="1152"/>
            <w:vAlign w:val="center"/>
            <w:tcMar>
              <w:top w:w="110" w:type="dxa"/>
              <w:start w:w="120" w:type="dxa"/>
              <w:bottom w:w="110" w:type="dxa"/>
              <w:end w:w="120" w:type="dxa"/>
            </w:tcMar>
          </w:tcPr>
          <w:p>
            <w:pPr>
              <w:spacing w:after="0" w:line="252" w:lineRule="auto"/>
              <w:jc w:val="center"/>
            </w:pPr>
            <w:r>
              <w:rPr>
                <w:rFonts w:ascii="Aptos" w:hAnsi="Aptos"/>
                <w:b w:val="0"/>
                <w:color w:val="000000"/>
                <w:sz w:val="19"/>
              </w:rPr>
              <w:t>1</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Evaluation split manifest</w:t>
            </w:r>
          </w:p>
        </w:tc>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No future leakage and non-empty test allocation under the chosen participant rule</w:t>
            </w:r>
          </w:p>
        </w:tc>
      </w:tr>
      <w:tr>
        <w:tc>
          <w:tcPr>
            <w:tcW w:type="dxa" w:w="1152"/>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2</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Adapter plus persistence</w:t>
            </w:r>
          </w:p>
        </w:tc>
        <w:tc>
          <w:tcPr>
            <w:tcW w:type="dxa" w:w="532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24-step forecasts and saved aggregate metrics on the held-out set</w:t>
            </w:r>
          </w:p>
        </w:tc>
      </w:tr>
      <w:tr>
        <w:tc>
          <w:tcPr>
            <w:tcW w:type="dxa" w:w="1152"/>
            <w:vAlign w:val="center"/>
            <w:tcMar>
              <w:top w:w="110" w:type="dxa"/>
              <w:start w:w="120" w:type="dxa"/>
              <w:bottom w:w="110" w:type="dxa"/>
              <w:end w:w="120" w:type="dxa"/>
            </w:tcMar>
          </w:tcPr>
          <w:p>
            <w:pPr>
              <w:spacing w:after="0" w:line="252" w:lineRule="auto"/>
              <w:jc w:val="center"/>
            </w:pPr>
            <w:r>
              <w:rPr>
                <w:rFonts w:ascii="Aptos" w:hAnsi="Aptos"/>
                <w:b w:val="0"/>
                <w:color w:val="000000"/>
                <w:sz w:val="19"/>
              </w:rPr>
              <w:t>3</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Chronos-2 smoke test</w:t>
            </w:r>
          </w:p>
        </w:tc>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Valid quantiles plus latency memory and failure-rate record</w:t>
            </w:r>
          </w:p>
        </w:tc>
      </w:tr>
      <w:tr>
        <w:tc>
          <w:tcPr>
            <w:tcW w:type="dxa" w:w="1152"/>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4</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Model comparison</w:t>
            </w:r>
          </w:p>
        </w:tc>
        <w:tc>
          <w:tcPr>
            <w:tcW w:type="dxa" w:w="532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Paired persistence versus Chronos-2 metrics on identical test events</w:t>
            </w:r>
          </w:p>
        </w:tc>
      </w:tr>
      <w:tr>
        <w:tc>
          <w:tcPr>
            <w:tcW w:type="dxa" w:w="1152"/>
            <w:vAlign w:val="center"/>
            <w:tcMar>
              <w:top w:w="110" w:type="dxa"/>
              <w:start w:w="120" w:type="dxa"/>
              <w:bottom w:w="110" w:type="dxa"/>
              <w:end w:w="120" w:type="dxa"/>
            </w:tcMar>
          </w:tcPr>
          <w:p>
            <w:pPr>
              <w:spacing w:after="0" w:line="252" w:lineRule="auto"/>
              <w:jc w:val="center"/>
            </w:pPr>
            <w:r>
              <w:rPr>
                <w:rFonts w:ascii="Aptos" w:hAnsi="Aptos"/>
                <w:b w:val="0"/>
                <w:color w:val="000000"/>
                <w:sz w:val="19"/>
              </w:rPr>
              <w:t>5</w:t>
            </w:r>
          </w:p>
        </w:tc>
        <w:tc>
          <w:tcPr>
            <w:tcW w:type="dxa" w:w="3384"/>
            <w:vAlign w:val="center"/>
            <w:tcMar>
              <w:top w:w="110" w:type="dxa"/>
              <w:start w:w="120" w:type="dxa"/>
              <w:bottom w:w="110" w:type="dxa"/>
              <w:end w:w="120" w:type="dxa"/>
            </w:tcMar>
          </w:tcPr>
          <w:p>
            <w:pPr>
              <w:spacing w:after="0" w:line="252" w:lineRule="auto"/>
              <w:jc w:val="left"/>
            </w:pPr>
            <w:r>
              <w:rPr>
                <w:rFonts w:ascii="Aptos" w:hAnsi="Aptos"/>
                <w:b w:val="0"/>
                <w:color w:val="000000"/>
                <w:sz w:val="19"/>
              </w:rPr>
              <w:t>App skeleton</w:t>
            </w:r>
          </w:p>
        </w:tc>
        <w:tc>
          <w:tcPr>
            <w:tcW w:type="dxa" w:w="5328"/>
            <w:vAlign w:val="center"/>
            <w:tcMar>
              <w:top w:w="110" w:type="dxa"/>
              <w:start w:w="120" w:type="dxa"/>
              <w:bottom w:w="110" w:type="dxa"/>
              <w:end w:w="120" w:type="dxa"/>
            </w:tcMar>
          </w:tcPr>
          <w:p>
            <w:pPr>
              <w:spacing w:after="0" w:line="252" w:lineRule="auto"/>
              <w:jc w:val="left"/>
            </w:pPr>
            <w:r>
              <w:rPr>
                <w:rFonts w:ascii="Aptos" w:hAnsi="Aptos"/>
                <w:b w:val="0"/>
                <w:color w:val="000000"/>
                <w:sz w:val="19"/>
              </w:rPr>
              <w:t>Browser request reaches FastAPI and displays a dummy forecast</w:t>
            </w:r>
          </w:p>
        </w:tc>
      </w:tr>
      <w:tr>
        <w:tc>
          <w:tcPr>
            <w:tcW w:type="dxa" w:w="1152"/>
            <w:vAlign w:val="center"/>
            <w:tcMar>
              <w:top w:w="110" w:type="dxa"/>
              <w:start w:w="120" w:type="dxa"/>
              <w:bottom w:w="110" w:type="dxa"/>
              <w:end w:w="120" w:type="dxa"/>
            </w:tcMar>
            <w:shd w:fill="F5F8FC"/>
          </w:tcPr>
          <w:p>
            <w:pPr>
              <w:spacing w:after="0" w:line="252" w:lineRule="auto"/>
              <w:jc w:val="center"/>
            </w:pPr>
            <w:r>
              <w:rPr>
                <w:rFonts w:ascii="Aptos" w:hAnsi="Aptos"/>
                <w:b w:val="0"/>
                <w:color w:val="000000"/>
                <w:sz w:val="19"/>
              </w:rPr>
              <w:t>6</w:t>
            </w:r>
          </w:p>
        </w:tc>
        <w:tc>
          <w:tcPr>
            <w:tcW w:type="dxa" w:w="3384"/>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Simulator evidence</w:t>
            </w:r>
          </w:p>
        </w:tc>
        <w:tc>
          <w:tcPr>
            <w:tcW w:type="dxa" w:w="5328"/>
            <w:vAlign w:val="center"/>
            <w:tcMar>
              <w:top w:w="110" w:type="dxa"/>
              <w:start w:w="120" w:type="dxa"/>
              <w:bottom w:w="110" w:type="dxa"/>
              <w:end w:w="120" w:type="dxa"/>
            </w:tcMar>
            <w:shd w:fill="F5F8FC"/>
          </w:tcPr>
          <w:p>
            <w:pPr>
              <w:spacing w:after="0" w:line="252" w:lineRule="auto"/>
              <w:jc w:val="left"/>
            </w:pPr>
            <w:r>
              <w:rPr>
                <w:rFonts w:ascii="Aptos" w:hAnsi="Aptos"/>
                <w:b w:val="0"/>
                <w:color w:val="000000"/>
                <w:sz w:val="19"/>
              </w:rPr>
              <w:t>One reproducible py-mgipsim run documented</w:t>
            </w:r>
          </w:p>
        </w:tc>
      </w:tr>
    </w:tbl>
    <w:p>
      <w:pPr>
        <w:spacing w:after="0"/>
      </w:pPr>
    </w:p>
    <w:p>
      <w:pPr>
        <w:pStyle w:val="Heading1"/>
        <w:keepNext/>
        <w:pageBreakBefore/>
      </w:pPr>
      <w:r>
        <w:t>Advisor Decisions Requested</w:t>
      </w:r>
    </w:p>
    <w:p>
      <w:pPr>
        <w:pStyle w:val="ListBullet"/>
      </w:pPr>
      <w:r>
        <w:t>Approve T1D-UOM V1.0.4 as the primary rich-context retrospective dataset, with AZT1D or HUPA-UCM reserved for external shared-feature validation.</w:t>
      </w:r>
    </w:p>
    <w:p>
      <w:pPr>
        <w:pStyle w:val="ListBullet"/>
      </w:pPr>
      <w:r>
        <w:t>Confirm that Milestone 1 closes when Chronos-2 runs end to end through the common adapter and the minimum app and simulation feasibility checks are complete.</w:t>
      </w:r>
    </w:p>
    <w:p>
      <w:pPr>
        <w:pStyle w:val="ListBullet"/>
      </w:pPr>
      <w:r>
        <w:t>Confirm the required model scope as persistence, Chronos-2, and one TimesFM version, while keeping CGMformer exploratory.</w:t>
      </w:r>
    </w:p>
    <w:p>
      <w:pPr>
        <w:pStyle w:val="ListBullet"/>
      </w:pPr>
      <w:r>
        <w:t>Confirm whether low-volume participants should remain in aggregate model evaluation or be excluded only from personalization analyses under a declared minimum-event threshold.</w:t>
      </w:r>
    </w:p>
    <w:p>
      <w:pPr>
        <w:pStyle w:val="Heading1"/>
        <w:keepNext/>
      </w:pPr>
      <w:r>
        <w:t>References</w:t>
      </w:r>
    </w:p>
    <w:p>
      <w:pPr>
        <w:spacing w:after="60"/>
        <w:ind w:left="403" w:hanging="403"/>
      </w:pPr>
      <w:r>
        <w:t>1.  T1D-UOM V1.0.4 Zenodo record. https://zenodo.org/records/17361905</w:t>
      </w:r>
    </w:p>
    <w:p>
      <w:pPr>
        <w:spacing w:after="60"/>
        <w:ind w:left="403" w:hanging="403"/>
      </w:pPr>
      <w:r>
        <w:t>2.  T1D-UOM data descriptor in Scientific Data. https://www.nature.com/articles/s41597-025-05695-1</w:t>
      </w:r>
    </w:p>
    <w:p>
      <w:pPr>
        <w:spacing w:after="60"/>
        <w:ind w:left="403" w:hanging="403"/>
      </w:pPr>
      <w:r>
        <w:t>3.  Amazon Chronos-2 model card. https://huggingface.co/amazon/chronos-2</w:t>
      </w:r>
    </w:p>
    <w:p>
      <w:pPr>
        <w:spacing w:after="60"/>
        <w:ind w:left="403" w:hanging="403"/>
      </w:pPr>
      <w:r>
        <w:t>4.  Amazon Chronos forecasting repository. https://github.com/amazon-science/chronos-forecasting</w:t>
      </w:r>
    </w:p>
    <w:p>
      <w:pPr>
        <w:spacing w:after="60"/>
        <w:ind w:left="403" w:hanging="403"/>
      </w:pPr>
      <w:r>
        <w:t>5.  GlycoLens model inference and dataset strategy. docs/planning/GlycoLens_02_Model_Inference_and_Dataset_Strategy.md</w:t>
      </w:r>
    </w:p>
    <w:p>
      <w:pPr>
        <w:spacing w:after="60"/>
        <w:ind w:left="403" w:hanging="403"/>
      </w:pPr>
      <w:r>
        <w:t>6.  GlycoLens scientific method and evaluation plan. docs/planning/GlycoLens_05_Scientific_Method_and_Evaluation.md</w:t>
      </w:r>
    </w:p>
    <w:p>
      <w:pPr>
        <w:spacing w:after="60"/>
        <w:ind w:left="403" w:hanging="403"/>
      </w:pPr>
      <w:r>
        <w:t>7.  GlycoLens Milestone 1 implementation report. docs/reports/milestone-1-data-pipeline-implementation.md</w:t>
      </w:r>
    </w:p>
    <w:p>
      <w:pPr>
        <w:pStyle w:val="Heading1"/>
        <w:keepNext/>
      </w:pPr>
      <w:r>
        <w:t>Appendix Metric Notes</w:t>
      </w:r>
    </w:p>
    <w:p>
      <w:pPr>
        <w:pStyle w:val="ListBullet"/>
      </w:pPr>
      <w:r>
        <w:t>A repeated timestamp count is the number of rows beyond the first row at a timestamp, aggregated across audited files.</w:t>
      </w:r>
    </w:p>
    <w:p>
      <w:pPr>
        <w:pStyle w:val="ListBullet"/>
      </w:pPr>
      <w:r>
        <w:t>A conflicting CGM timestamp group contains more than one distinct glucose value at the same timestamp.</w:t>
      </w:r>
    </w:p>
    <w:p>
      <w:pPr>
        <w:pStyle w:val="ListBullet"/>
      </w:pPr>
      <w:r>
        <w:t>First-failure rejection counts depend on rule order and should not be interpreted as independent missingness rates.</w:t>
      </w:r>
    </w:p>
    <w:p>
      <w:pPr>
        <w:pStyle w:val="ListBullet"/>
      </w:pPr>
      <w:r>
        <w:t>The persistence baseline repeats the final observed pre-meal CGM value across the complete two-hour forecast horizon.</w:t>
      </w:r>
    </w:p>
    <w:p>
      <w:pPr>
        <w:pStyle w:val="ListBullet"/>
      </w:pPr>
      <w:r>
        <w:t>The 60 20 20 split totals are a planning calculation using per-participant chronological counts. The split policy must be finalized before benchmark reporting.</w:t>
      </w:r>
    </w:p>
    <w:p>
      <w:pPr>
        <w:pStyle w:val="ListBullet"/>
      </w:pPr>
      <w:r>
        <w:t>All results are retrospective research findings and do not support insulin dosing or clinical treatment decisions.</w:t>
      </w:r>
    </w:p>
    <w:sectPr w:rsidR="00FC693F" w:rsidRPr="0006063C" w:rsidSect="00034616">
      <w:footerReference w:type="default" r:id="rId9"/>
      <w:pgSz w:w="12240" w:h="15840"/>
      <w:pgMar w:top="1123" w:right="1123" w:bottom="1368" w:left="1123"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1"/>
    </w:rPr>
  </w:style>
  <w:style w:type="paragraph" w:styleId="ListBullet2">
    <w:name w:val="List Bullet 2"/>
    <w:basedOn w:val="Normal"/>
    <w:uiPriority w:val="99"/>
    <w:unhideWhenUsed/>
    <w:rsid w:val="00326F90"/>
    <w:pPr>
      <w:numPr>
        <w:numId w:val="2"/>
      </w:numPr>
      <w:spacing w:after="60"/>
      <w:contextualSpacing/>
    </w:pPr>
    <w:rPr>
      <w:rFonts w:ascii="Aptos" w:hAnsi="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GlycoLens Milestone 1 Dataset Audit and Progress Report</dc:title>
  <dc:subject>T1D UOM V1.0.4 feasibility findings and Milestone 1 next steps</dc:subject>
  <dc:creator>Sourav Patil</dc:creator>
  <cp:keywords>GlycoLens, T1D-UOM, Milestone 1, dataset audit, glucose forecasting</cp:keywords>
  <dc:description>generated by python-docx</dc:description>
  <cp:lastModifiedBy/>
  <cp:revision>1</cp:revision>
  <dcterms:created xsi:type="dcterms:W3CDTF">2013-12-23T23:15:00Z</dcterms:created>
  <dcterms:modified xsi:type="dcterms:W3CDTF">2013-12-23T23:15:00Z</dcterms:modified>
  <cp:category/>
</cp:coreProperties>
</file>