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Technologies - Leave Policy</w:t>
      </w:r>
    </w:p>
    <w:p>
      <w:r>
        <w:t>This policy applies to all full-time employees of Northwind Technologies. Part-time employees receive leave on a pro-rata basis.</w:t>
      </w:r>
    </w:p>
    <w:p>
      <w:pPr>
        <w:pStyle w:val="Heading2"/>
      </w:pPr>
      <w:r>
        <w:t>Annual leave</w:t>
      </w:r>
    </w:p>
    <w:p>
      <w:r>
        <w:t>Every full-time employee receives 24 days of paid annual leave per calendar year. Leave must be requested at least 7 days in advance through the HR portal. Requests for more than 10 consecutive days need approval from the department head.</w:t>
      </w:r>
    </w:p>
    <w:p>
      <w:r>
        <w:t>Up to 5 unused annual leave days may be carried forward to the next year. Carried-forward days expire on 31 March.</w:t>
      </w:r>
    </w:p>
    <w:p>
      <w:pPr>
        <w:pStyle w:val="Heading2"/>
      </w:pPr>
      <w:r>
        <w:t>Sick leave</w:t>
      </w:r>
    </w:p>
    <w:p>
      <w:r>
        <w:t>Employees receive 10 days of paid sick leave per year. A medical certificate is required if sick leave extends beyond 3 consecutive days. Sick leave cannot be carried forward.</w:t>
      </w:r>
    </w:p>
    <w:p>
      <w:pPr>
        <w:pStyle w:val="Heading2"/>
      </w:pPr>
      <w:r>
        <w:t>Parental leave</w:t>
      </w:r>
    </w:p>
    <w:p>
      <w:r>
        <w:t>Primary caregivers are entitled to 16 weeks of paid parental leave. Secondary caregivers are entitled to 4 weeks. Parental leave must begin within 6 months of the child's birth or adoption.</w:t>
      </w:r>
    </w:p>
    <w:p>
      <w:pPr>
        <w:pStyle w:val="Heading2"/>
      </w:pPr>
      <w:r>
        <w:t>Leave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Leave type</w:t>
            </w:r>
          </w:p>
        </w:tc>
        <w:tc>
          <w:tcPr>
            <w:tcW w:type="dxa" w:w="2880"/>
          </w:tcPr>
          <w:p>
            <w:r>
              <w:t>Entitlement</w:t>
            </w:r>
          </w:p>
        </w:tc>
        <w:tc>
          <w:tcPr>
            <w:tcW w:type="dxa" w:w="2880"/>
          </w:tcPr>
          <w:p>
            <w:r>
              <w:t>Carry forward</w:t>
            </w:r>
          </w:p>
        </w:tc>
      </w:tr>
      <w:tr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24 days</w:t>
            </w:r>
          </w:p>
        </w:tc>
        <w:tc>
          <w:tcPr>
            <w:tcW w:type="dxa" w:w="2880"/>
          </w:tcPr>
          <w:p>
            <w:r>
              <w:t>Up to 5 days</w:t>
            </w:r>
          </w:p>
        </w:tc>
      </w:tr>
      <w:tr>
        <w:tc>
          <w:tcPr>
            <w:tcW w:type="dxa" w:w="2880"/>
          </w:tcPr>
          <w:p>
            <w:r>
              <w:t>Sick</w:t>
            </w:r>
          </w:p>
        </w:tc>
        <w:tc>
          <w:tcPr>
            <w:tcW w:type="dxa" w:w="2880"/>
          </w:tcPr>
          <w:p>
            <w:r>
              <w:t>10 days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Parental (primary)</w:t>
            </w:r>
          </w:p>
        </w:tc>
        <w:tc>
          <w:tcPr>
            <w:tcW w:type="dxa" w:w="2880"/>
          </w:tcPr>
          <w:p>
            <w:r>
              <w:t>16 weeks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Parental (secondary)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