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00"/>
      </w:pPr>
      <w:r>
        <w:rPr>
          <w:rFonts w:ascii="Arial" w:hAnsi="Arial" w:eastAsia="Arial"/>
          <w:b/>
          <w:color w:val="2E74B5"/>
          <w:sz w:val="20"/>
        </w:rPr>
        <w:t>PORTFOLIO DECISION BRIEF</w:t>
      </w:r>
    </w:p>
    <w:p>
      <w:pPr>
        <w:keepNext/>
        <w:spacing w:before="0" w:after="80"/>
      </w:pPr>
      <w:r>
        <w:rPr>
          <w:rFonts w:ascii="Arial" w:hAnsi="Arial" w:eastAsia="Arial"/>
          <w:b/>
          <w:color w:val="0B2545"/>
          <w:sz w:val="48"/>
        </w:rPr>
        <w:t>Two Projects That Cover the Market</w:t>
        <w:br/>
        <w:t>Without Becoming a Mega-Project</w:t>
      </w:r>
    </w:p>
    <w:p>
      <w:pPr>
        <w:spacing w:before="0" w:after="80"/>
      </w:pPr>
      <w:r>
        <w:rPr>
          <w:rFonts w:ascii="Arial" w:hAnsi="Arial" w:eastAsia="Arial"/>
          <w:color w:val="5C6670"/>
          <w:sz w:val="25"/>
        </w:rPr>
        <w:t>A focused portfolio plan based on seven software and AI engineering postings</w:t>
      </w:r>
    </w:p>
    <w:p>
      <w:pPr>
        <w:spacing w:after="240"/>
      </w:pPr>
      <w:r>
        <w:rPr>
          <w:rFonts w:ascii="Arial" w:hAnsi="Arial" w:eastAsia="Arial"/>
          <w:i/>
          <w:color w:val="5C6670"/>
          <w:sz w:val="19"/>
        </w:rPr>
        <w:t>Prepared 12 August 2026  |  Toronto-focused early-career roles</w:t>
      </w:r>
    </w:p>
    <w:tbl>
      <w:tblPr>
        <w:tblW w:type="dxa" w:w="9360"/>
        <w:tblLayout w:type="fixed"/>
        <w:tblLook w:firstColumn="1" w:firstRow="1" w:lastColumn="0" w:lastRow="0" w:noHBand="0" w:noVBand="1" w:val="04A0"/>
        <w:tblInd w:w="120" w:type="dxa"/>
        <w:tblBorders>
          <w:top w:val="single" w:sz="6" w:space="0" w:color="B8C9DA"/>
          <w:left w:val="single" w:sz="6" w:space="0" w:color="B8C9DA"/>
          <w:bottom w:val="single" w:sz="6" w:space="0" w:color="B8C9DA"/>
          <w:right w:val="single" w:sz="6" w:space="0" w:color="B8C9DA"/>
          <w:insideH w:val="single" w:sz="6" w:space="0" w:color="B8C9DA"/>
          <w:insideV w:val="single" w:sz="6" w:space="0" w:color="B8C9DA"/>
        </w:tblBorders>
      </w:tblPr>
      <w:tblGrid>
        <w:gridCol w:w="9360"/>
      </w:tblGrid>
      <w:tr>
        <w:tc>
          <w:tcPr>
            <w:tcW w:type="dxa" w:w="9360"/>
            <w:vAlign w:val="center"/>
            <w:tcMar>
              <w:top w:w="80" w:type="dxa"/>
              <w:bottom w:w="80" w:type="dxa"/>
              <w:start w:w="120" w:type="dxa"/>
              <w:end w:w="120" w:type="dxa"/>
            </w:tcMar>
            <w:shd w:fill="E8EEF5" w:val="clear"/>
          </w:tcPr>
          <w:p>
            <w:pPr>
              <w:spacing w:before="40" w:after="40" w:line="264" w:lineRule="auto"/>
            </w:pPr>
            <w:r>
              <w:rPr>
                <w:rFonts w:ascii="Arial" w:hAnsi="Arial" w:eastAsia="Arial"/>
                <w:b/>
                <w:color w:val="0B2545"/>
                <w:sz w:val="21"/>
              </w:rPr>
              <w:t xml:space="preserve">Recommendation: </w:t>
            </w:r>
            <w:r>
              <w:rPr>
                <w:rFonts w:ascii="Arial" w:hAnsi="Arial" w:eastAsia="Arial"/>
                <w:color w:val="111111"/>
                <w:sz w:val="21"/>
              </w:rPr>
              <w:t>Build LedgerLab first to prove core engineering depth, then build GroundedOps to prove applied AI judgment. Keep both as small, deployed products with excellent tests and documentation.</w:t>
            </w:r>
          </w:p>
        </w:tc>
      </w:tr>
    </w:tbl>
    <w:p>
      <w:pPr>
        <w:spacing w:after="40" w:before="0"/>
      </w:pPr>
    </w:p>
    <w:p>
      <w:pPr>
        <w:pStyle w:val="Heading1"/>
        <w:keepNext/>
        <w:pageBreakBefore w:val="0"/>
      </w:pPr>
      <w:r>
        <w:rPr>
          <w:rFonts w:ascii="Arial" w:hAnsi="Arial" w:eastAsia="Arial"/>
          <w:b/>
          <w:color w:val="2E74B5"/>
          <w:sz w:val="32"/>
        </w:rPr>
        <w:t>1. The portfolio strategy</w:t>
      </w:r>
    </w:p>
    <w:p>
      <w:r>
        <w:rPr>
          <w:rFonts w:ascii="Arial" w:hAnsi="Arial" w:eastAsia="Arial"/>
          <w:color w:val="111111"/>
          <w:sz w:val="22"/>
        </w:rPr>
        <w:t>The postings split into two overlapping groups: conventional software engineering roles that emphasize APIs, databases, testing, cloud delivery and production reliability; and AI engineering roles that add agents, evaluations, workflow orchestration and human review. One oversized project could touch every keyword, but it would be difficult to finish and even harder to explain clearly in an interview.</w:t>
      </w:r>
    </w:p>
    <w:p>
      <w:r>
        <w:rPr>
          <w:rFonts w:ascii="Arial" w:hAnsi="Arial" w:eastAsia="Arial"/>
          <w:color w:val="111111"/>
          <w:sz w:val="22"/>
        </w:rPr>
        <w:t>The stronger approach is two coherent projects. Each should tell one technical story, use a restrained stack, and include enough production discipline to look like engineering rather than coursework.</w:t>
      </w:r>
    </w:p>
    <w:tbl>
      <w:tblPr>
        <w:tblW w:type="dxa" w:w="9360"/>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1800"/>
        <w:gridCol w:w="3300"/>
        <w:gridCol w:w="3000"/>
        <w:gridCol w:w="1260"/>
      </w:tblGrid>
      <w:tr>
        <w:trPr>
          <w:tblHeader w:val="true"/>
        </w:trPr>
        <w:tc>
          <w:tcPr>
            <w:tcW w:type="dxa" w:w="1800"/>
            <w:shd w:fill="F2F4F7" w:val="clear"/>
            <w:vAlign w:val="center"/>
            <w:tcMar>
              <w:top w:w="80" w:type="dxa"/>
              <w:bottom w:w="80" w:type="dxa"/>
              <w:start w:w="120" w:type="dxa"/>
              <w:end w:w="120" w:type="dxa"/>
            </w:tcMar>
          </w:tcPr>
          <w:p>
            <w:pPr>
              <w:spacing w:before="0" w:after="0" w:line="259" w:lineRule="auto"/>
              <w:jc w:val="left"/>
            </w:pPr>
            <w:r>
              <w:rPr>
                <w:rFonts w:ascii="Arial" w:hAnsi="Arial" w:eastAsia="Arial"/>
                <w:b/>
                <w:color w:val="0B2545"/>
                <w:sz w:val="18"/>
              </w:rPr>
              <w:t>Project</w:t>
            </w:r>
          </w:p>
        </w:tc>
        <w:tc>
          <w:tcPr>
            <w:tcW w:type="dxa" w:w="3300"/>
            <w:shd w:fill="F2F4F7" w:val="clear"/>
            <w:vAlign w:val="center"/>
            <w:tcMar>
              <w:top w:w="80" w:type="dxa"/>
              <w:bottom w:w="80" w:type="dxa"/>
              <w:start w:w="120" w:type="dxa"/>
              <w:end w:w="120" w:type="dxa"/>
            </w:tcMar>
          </w:tcPr>
          <w:p>
            <w:pPr>
              <w:spacing w:before="0" w:after="0" w:line="259" w:lineRule="auto"/>
              <w:jc w:val="left"/>
            </w:pPr>
            <w:r>
              <w:rPr>
                <w:rFonts w:ascii="Arial" w:hAnsi="Arial" w:eastAsia="Arial"/>
                <w:b/>
                <w:color w:val="0B2545"/>
                <w:sz w:val="18"/>
              </w:rPr>
              <w:t>Primary story</w:t>
            </w:r>
          </w:p>
        </w:tc>
        <w:tc>
          <w:tcPr>
            <w:tcW w:type="dxa" w:w="3000"/>
            <w:shd w:fill="F2F4F7" w:val="clear"/>
            <w:vAlign w:val="center"/>
            <w:tcMar>
              <w:top w:w="80" w:type="dxa"/>
              <w:bottom w:w="80" w:type="dxa"/>
              <w:start w:w="120" w:type="dxa"/>
              <w:end w:w="120" w:type="dxa"/>
            </w:tcMar>
          </w:tcPr>
          <w:p>
            <w:pPr>
              <w:spacing w:before="0" w:after="0" w:line="259" w:lineRule="auto"/>
              <w:jc w:val="left"/>
            </w:pPr>
            <w:r>
              <w:rPr>
                <w:rFonts w:ascii="Arial" w:hAnsi="Arial" w:eastAsia="Arial"/>
                <w:b/>
                <w:color w:val="0B2545"/>
                <w:sz w:val="18"/>
              </w:rPr>
              <w:t>Strongest signal</w:t>
            </w:r>
          </w:p>
        </w:tc>
        <w:tc>
          <w:tcPr>
            <w:tcW w:type="dxa" w:w="1260"/>
            <w:shd w:fill="F2F4F7" w:val="clear"/>
            <w:vAlign w:val="center"/>
            <w:tcMar>
              <w:top w:w="80" w:type="dxa"/>
              <w:bottom w:w="80" w:type="dxa"/>
              <w:start w:w="120" w:type="dxa"/>
              <w:end w:w="120" w:type="dxa"/>
            </w:tcMar>
          </w:tcPr>
          <w:p>
            <w:pPr>
              <w:spacing w:before="0" w:after="0" w:line="259" w:lineRule="auto"/>
              <w:jc w:val="left"/>
            </w:pPr>
            <w:r>
              <w:rPr>
                <w:rFonts w:ascii="Arial" w:hAnsi="Arial" w:eastAsia="Arial"/>
                <w:b/>
                <w:color w:val="0B2545"/>
                <w:sz w:val="18"/>
              </w:rPr>
              <w:t>Time box</w:t>
            </w:r>
          </w:p>
        </w:tc>
      </w:tr>
      <w:tr>
        <w:tc>
          <w:tcPr>
            <w:tcW w:type="dxa" w:w="1800"/>
            <w:vAlign w:val="center"/>
            <w:tcMar>
              <w:top w:w="80" w:type="dxa"/>
              <w:bottom w:w="80" w:type="dxa"/>
              <w:start w:w="120" w:type="dxa"/>
              <w:end w:w="120" w:type="dxa"/>
            </w:tcMar>
          </w:tcPr>
          <w:p>
            <w:pPr>
              <w:spacing w:before="0" w:after="0" w:line="259" w:lineRule="auto"/>
              <w:jc w:val="left"/>
            </w:pPr>
            <w:r>
              <w:rPr>
                <w:rFonts w:ascii="Arial" w:hAnsi="Arial" w:eastAsia="Arial"/>
                <w:b/>
                <w:color w:val="111111"/>
                <w:sz w:val="18"/>
              </w:rPr>
              <w:t>LedgerLab</w:t>
            </w:r>
          </w:p>
        </w:tc>
        <w:tc>
          <w:tcPr>
            <w:tcW w:type="dxa" w:w="3300"/>
            <w:vAlign w:val="center"/>
            <w:tcMar>
              <w:top w:w="80" w:type="dxa"/>
              <w:bottom w:w="80" w:type="dxa"/>
              <w:start w:w="120" w:type="dxa"/>
              <w:end w:w="120" w:type="dxa"/>
            </w:tcMar>
          </w:tcPr>
          <w:p>
            <w:pPr>
              <w:spacing w:before="0" w:after="0" w:line="259" w:lineRule="auto"/>
              <w:jc w:val="left"/>
            </w:pPr>
            <w:r>
              <w:rPr>
                <w:rFonts w:ascii="Arial" w:hAnsi="Arial" w:eastAsia="Arial"/>
                <w:b w:val="0"/>
                <w:color w:val="111111"/>
                <w:sz w:val="18"/>
              </w:rPr>
              <w:t>Reliable payment processing and recovery</w:t>
            </w:r>
          </w:p>
        </w:tc>
        <w:tc>
          <w:tcPr>
            <w:tcW w:type="dxa" w:w="3000"/>
            <w:vAlign w:val="center"/>
            <w:tcMar>
              <w:top w:w="80" w:type="dxa"/>
              <w:bottom w:w="80" w:type="dxa"/>
              <w:start w:w="120" w:type="dxa"/>
              <w:end w:w="120" w:type="dxa"/>
            </w:tcMar>
          </w:tcPr>
          <w:p>
            <w:pPr>
              <w:spacing w:before="0" w:after="0" w:line="259" w:lineRule="auto"/>
              <w:jc w:val="left"/>
            </w:pPr>
            <w:r>
              <w:rPr>
                <w:rFonts w:ascii="Arial" w:hAnsi="Arial" w:eastAsia="Arial"/>
                <w:b w:val="0"/>
                <w:color w:val="111111"/>
                <w:sz w:val="18"/>
              </w:rPr>
              <w:t>Backend / full-stack engineering</w:t>
            </w:r>
          </w:p>
        </w:tc>
        <w:tc>
          <w:tcPr>
            <w:tcW w:type="dxa" w:w="1260"/>
            <w:vAlign w:val="center"/>
            <w:tcMar>
              <w:top w:w="80" w:type="dxa"/>
              <w:bottom w:w="80" w:type="dxa"/>
              <w:start w:w="120" w:type="dxa"/>
              <w:end w:w="120" w:type="dxa"/>
            </w:tcMar>
          </w:tcPr>
          <w:p>
            <w:pPr>
              <w:spacing w:before="0" w:after="0" w:line="259" w:lineRule="auto"/>
              <w:jc w:val="left"/>
            </w:pPr>
            <w:r>
              <w:rPr>
                <w:rFonts w:ascii="Arial" w:hAnsi="Arial" w:eastAsia="Arial"/>
                <w:b w:val="0"/>
                <w:color w:val="111111"/>
                <w:sz w:val="18"/>
              </w:rPr>
              <w:t>4-5 weeks</w:t>
            </w:r>
          </w:p>
        </w:tc>
      </w:tr>
      <w:tr>
        <w:tc>
          <w:tcPr>
            <w:tcW w:type="dxa" w:w="1800"/>
            <w:vAlign w:val="center"/>
            <w:tcMar>
              <w:top w:w="80" w:type="dxa"/>
              <w:bottom w:w="80" w:type="dxa"/>
              <w:start w:w="120" w:type="dxa"/>
              <w:end w:w="120" w:type="dxa"/>
            </w:tcMar>
          </w:tcPr>
          <w:p>
            <w:pPr>
              <w:spacing w:before="0" w:after="0" w:line="259" w:lineRule="auto"/>
              <w:jc w:val="left"/>
            </w:pPr>
            <w:r>
              <w:rPr>
                <w:rFonts w:ascii="Arial" w:hAnsi="Arial" w:eastAsia="Arial"/>
                <w:b/>
                <w:color w:val="111111"/>
                <w:sz w:val="18"/>
              </w:rPr>
              <w:t>GroundedOps</w:t>
            </w:r>
          </w:p>
        </w:tc>
        <w:tc>
          <w:tcPr>
            <w:tcW w:type="dxa" w:w="3300"/>
            <w:vAlign w:val="center"/>
            <w:tcMar>
              <w:top w:w="80" w:type="dxa"/>
              <w:bottom w:w="80" w:type="dxa"/>
              <w:start w:w="120" w:type="dxa"/>
              <w:end w:w="120" w:type="dxa"/>
            </w:tcMar>
          </w:tcPr>
          <w:p>
            <w:pPr>
              <w:spacing w:before="0" w:after="0" w:line="259" w:lineRule="auto"/>
              <w:jc w:val="left"/>
            </w:pPr>
            <w:r>
              <w:rPr>
                <w:rFonts w:ascii="Arial" w:hAnsi="Arial" w:eastAsia="Arial"/>
                <w:b w:val="0"/>
                <w:color w:val="111111"/>
                <w:sz w:val="18"/>
              </w:rPr>
              <w:t>Safe AI decisions with evidence and review</w:t>
            </w:r>
          </w:p>
        </w:tc>
        <w:tc>
          <w:tcPr>
            <w:tcW w:type="dxa" w:w="3000"/>
            <w:vAlign w:val="center"/>
            <w:tcMar>
              <w:top w:w="80" w:type="dxa"/>
              <w:bottom w:w="80" w:type="dxa"/>
              <w:start w:w="120" w:type="dxa"/>
              <w:end w:w="120" w:type="dxa"/>
            </w:tcMar>
          </w:tcPr>
          <w:p>
            <w:pPr>
              <w:spacing w:before="0" w:after="0" w:line="259" w:lineRule="auto"/>
              <w:jc w:val="left"/>
            </w:pPr>
            <w:r>
              <w:rPr>
                <w:rFonts w:ascii="Arial" w:hAnsi="Arial" w:eastAsia="Arial"/>
                <w:b w:val="0"/>
                <w:color w:val="111111"/>
                <w:sz w:val="18"/>
              </w:rPr>
              <w:t>Applied AI engineering</w:t>
            </w:r>
          </w:p>
        </w:tc>
        <w:tc>
          <w:tcPr>
            <w:tcW w:type="dxa" w:w="1260"/>
            <w:vAlign w:val="center"/>
            <w:tcMar>
              <w:top w:w="80" w:type="dxa"/>
              <w:bottom w:w="80" w:type="dxa"/>
              <w:start w:w="120" w:type="dxa"/>
              <w:end w:w="120" w:type="dxa"/>
            </w:tcMar>
          </w:tcPr>
          <w:p>
            <w:pPr>
              <w:spacing w:before="0" w:after="0" w:line="259" w:lineRule="auto"/>
              <w:jc w:val="left"/>
            </w:pPr>
            <w:r>
              <w:rPr>
                <w:rFonts w:ascii="Arial" w:hAnsi="Arial" w:eastAsia="Arial"/>
                <w:b w:val="0"/>
                <w:color w:val="111111"/>
                <w:sz w:val="18"/>
              </w:rPr>
              <w:t>3-4 weeks</w:t>
            </w:r>
          </w:p>
        </w:tc>
      </w:tr>
    </w:tbl>
    <w:p>
      <w:pPr>
        <w:pStyle w:val="Heading2"/>
        <w:keepNext/>
        <w:pageBreakBefore w:val="0"/>
      </w:pPr>
      <w:r>
        <w:rPr>
          <w:rFonts w:ascii="Arial" w:hAnsi="Arial" w:eastAsia="Arial"/>
          <w:b/>
          <w:color w:val="2E74B5"/>
          <w:sz w:val="26"/>
        </w:rPr>
        <w:t>What the employers are actually signaling</w:t>
      </w:r>
    </w:p>
    <w:p>
      <w:pPr>
        <w:numPr>
          <w:ilvl w:val="0"/>
          <w:numId w:val="10"/>
        </w:numPr>
      </w:pPr>
      <w:r>
        <w:rPr>
          <w:rFonts w:ascii="Arial" w:hAnsi="Arial" w:eastAsia="Arial"/>
          <w:b/>
          <w:color w:val="111111"/>
          <w:sz w:val="22"/>
        </w:rPr>
        <w:t>Core engineering is the common denominator.</w:t>
      </w:r>
      <w:r>
        <w:rPr>
          <w:rFonts w:ascii="Arial" w:hAnsi="Arial" w:eastAsia="Arial"/>
          <w:color w:val="111111"/>
          <w:sz w:val="22"/>
        </w:rPr>
        <w:t xml:space="preserve"> APIs, databases, testing, debugging, Git, deployment and clear ownership appear throughout the seven roles.</w:t>
      </w:r>
    </w:p>
    <w:p>
      <w:pPr>
        <w:numPr>
          <w:ilvl w:val="0"/>
          <w:numId w:val="10"/>
        </w:numPr>
      </w:pPr>
      <w:r>
        <w:rPr>
          <w:rFonts w:ascii="Arial" w:hAnsi="Arial" w:eastAsia="Arial"/>
          <w:b/>
          <w:color w:val="111111"/>
          <w:sz w:val="22"/>
        </w:rPr>
        <w:t>JavaScript/TypeScript and Python provide the broadest language coverage.</w:t>
      </w:r>
      <w:r>
        <w:rPr>
          <w:rFonts w:ascii="Arial" w:hAnsi="Arial" w:eastAsia="Arial"/>
          <w:color w:val="111111"/>
          <w:sz w:val="22"/>
        </w:rPr>
        <w:t xml:space="preserve"> Java remains valuable for the banking and platform-oriented roles.</w:t>
      </w:r>
    </w:p>
    <w:p>
      <w:pPr>
        <w:numPr>
          <w:ilvl w:val="0"/>
          <w:numId w:val="10"/>
        </w:numPr>
      </w:pPr>
      <w:r>
        <w:rPr>
          <w:rFonts w:ascii="Arial" w:hAnsi="Arial" w:eastAsia="Arial"/>
          <w:b/>
          <w:color w:val="111111"/>
          <w:sz w:val="22"/>
        </w:rPr>
        <w:t>The AI roles care about reliability, not only model calls.</w:t>
      </w:r>
      <w:r>
        <w:rPr>
          <w:rFonts w:ascii="Arial" w:hAnsi="Arial" w:eastAsia="Arial"/>
          <w:color w:val="111111"/>
          <w:sz w:val="22"/>
        </w:rPr>
        <w:t xml:space="preserve"> They emphasize structured workflows, queues, evaluations, observability, security and human recovery paths.</w:t>
      </w:r>
    </w:p>
    <w:p>
      <w:pPr>
        <w:pStyle w:val="Heading1"/>
        <w:keepNext/>
        <w:pageBreakBefore/>
      </w:pPr>
      <w:r>
        <w:rPr>
          <w:rFonts w:ascii="Arial" w:hAnsi="Arial" w:eastAsia="Arial"/>
          <w:b/>
          <w:color w:val="2E74B5"/>
          <w:sz w:val="32"/>
        </w:rPr>
        <w:t>2. Project One - LedgerLab</w:t>
      </w:r>
    </w:p>
    <w:p>
      <w:pPr>
        <w:spacing w:after="200"/>
      </w:pPr>
      <w:r>
        <w:rPr>
          <w:rFonts w:ascii="Arial" w:hAnsi="Arial" w:eastAsia="Arial"/>
          <w:b/>
          <w:color w:val="0B2545"/>
          <w:sz w:val="28"/>
        </w:rPr>
        <w:t>Resilient Payment Operations Sandbox</w:t>
      </w:r>
    </w:p>
    <w:tbl>
      <w:tblPr>
        <w:tblW w:type="dxa" w:w="9360"/>
        <w:tblLayout w:type="fixed"/>
        <w:tblLook w:firstColumn="1" w:firstRow="1" w:lastColumn="0" w:lastRow="0" w:noHBand="0" w:noVBand="1" w:val="04A0"/>
        <w:tblInd w:w="120" w:type="dxa"/>
        <w:tblBorders>
          <w:top w:val="single" w:sz="6" w:space="0" w:color="B8C9DA"/>
          <w:left w:val="single" w:sz="6" w:space="0" w:color="B8C9DA"/>
          <w:bottom w:val="single" w:sz="6" w:space="0" w:color="B8C9DA"/>
          <w:right w:val="single" w:sz="6" w:space="0" w:color="B8C9DA"/>
          <w:insideH w:val="single" w:sz="6" w:space="0" w:color="B8C9DA"/>
          <w:insideV w:val="single" w:sz="6" w:space="0" w:color="B8C9DA"/>
        </w:tblBorders>
      </w:tblPr>
      <w:tblGrid>
        <w:gridCol w:w="9360"/>
      </w:tblGrid>
      <w:tr>
        <w:tc>
          <w:tcPr>
            <w:tcW w:type="dxa" w:w="9360"/>
            <w:vAlign w:val="center"/>
            <w:tcMar>
              <w:top w:w="80" w:type="dxa"/>
              <w:bottom w:w="80" w:type="dxa"/>
              <w:start w:w="120" w:type="dxa"/>
              <w:end w:w="120" w:type="dxa"/>
            </w:tcMar>
            <w:shd w:fill="EAF4EE" w:val="clear"/>
          </w:tcPr>
          <w:p>
            <w:pPr>
              <w:spacing w:before="40" w:after="40" w:line="264" w:lineRule="auto"/>
            </w:pPr>
            <w:r>
              <w:rPr>
                <w:rFonts w:ascii="Arial" w:hAnsi="Arial" w:eastAsia="Arial"/>
                <w:b/>
                <w:color w:val="0B2545"/>
                <w:sz w:val="21"/>
              </w:rPr>
              <w:t xml:space="preserve">Portfolio pitch: </w:t>
            </w:r>
            <w:r>
              <w:rPr>
                <w:rFonts w:ascii="Arial" w:hAnsi="Arial" w:eastAsia="Arial"/>
                <w:color w:val="111111"/>
                <w:sz w:val="21"/>
              </w:rPr>
              <w:t>A simulated payment service that prevents duplicate transfers, records an auditable double-entry ledger, recovers from failed settlement jobs and proves correctness through reconciliation.</w:t>
            </w:r>
          </w:p>
        </w:tc>
      </w:tr>
    </w:tbl>
    <w:p>
      <w:pPr>
        <w:spacing w:after="40" w:before="0"/>
      </w:pPr>
    </w:p>
    <w:p>
      <w:pPr>
        <w:pStyle w:val="Heading2"/>
        <w:keepNext/>
        <w:pageBreakBefore w:val="0"/>
      </w:pPr>
      <w:r>
        <w:rPr>
          <w:rFonts w:ascii="Arial" w:hAnsi="Arial" w:eastAsia="Arial"/>
          <w:b/>
          <w:color w:val="2E74B5"/>
          <w:sz w:val="26"/>
        </w:rPr>
        <w:t>Why this idea is distinctive</w:t>
      </w:r>
    </w:p>
    <w:p>
      <w:r>
        <w:rPr>
          <w:rFonts w:ascii="Arial" w:hAnsi="Arial" w:eastAsia="Arial"/>
          <w:color w:val="111111"/>
          <w:sz w:val="22"/>
        </w:rPr>
        <w:t>Most student finance projects are CRUD dashboards. LedgerLab is different because the demo is about failure and correctness. A reviewer can intentionally trigger a timeout or duplicate request, watch the system recover safely, and then verify that account balances still match the ledger.</w:t>
      </w:r>
    </w:p>
    <w:p>
      <w:pPr>
        <w:spacing w:before="80" w:after="200"/>
        <w:jc w:val="center"/>
      </w:pPr>
      <w:r>
        <w:rPr>
          <w:rFonts w:ascii="Arial" w:hAnsi="Arial" w:eastAsia="Arial"/>
          <w:b/>
          <w:color w:val="1F4D78"/>
          <w:sz w:val="20"/>
        </w:rPr>
        <w:t>Create transfer  -&gt;  validate idempotency  -&gt;  record ledger  -&gt;  settle  -&gt;  reconcile</w:t>
      </w:r>
    </w:p>
    <w:p>
      <w:pPr>
        <w:pStyle w:val="Heading2"/>
        <w:keepNext/>
        <w:pageBreakBefore w:val="0"/>
      </w:pPr>
      <w:r>
        <w:rPr>
          <w:rFonts w:ascii="Arial" w:hAnsi="Arial" w:eastAsia="Arial"/>
          <w:b/>
          <w:color w:val="2E74B5"/>
          <w:sz w:val="26"/>
        </w:rPr>
        <w:t>Must build</w:t>
      </w:r>
    </w:p>
    <w:p>
      <w:pPr>
        <w:numPr>
          <w:ilvl w:val="0"/>
          <w:numId w:val="10"/>
        </w:numPr>
      </w:pPr>
      <w:r>
        <w:rPr>
          <w:rFonts w:ascii="Arial" w:hAnsi="Arial" w:eastAsia="Arial"/>
          <w:color w:val="111111"/>
          <w:sz w:val="22"/>
        </w:rPr>
        <w:t>Synthetic accounts and wallets, plus a transfer REST endpoint that rejects unsafe duplicates using an idempotency key.</w:t>
      </w:r>
    </w:p>
    <w:p>
      <w:pPr>
        <w:numPr>
          <w:ilvl w:val="0"/>
          <w:numId w:val="10"/>
        </w:numPr>
      </w:pPr>
      <w:r>
        <w:rPr>
          <w:rFonts w:ascii="Arial" w:hAnsi="Arial" w:eastAsia="Arial"/>
          <w:color w:val="111111"/>
          <w:sz w:val="22"/>
        </w:rPr>
        <w:t>A double-entry ledger so every movement creates balanced debit and credit entries.</w:t>
      </w:r>
    </w:p>
    <w:p>
      <w:pPr>
        <w:numPr>
          <w:ilvl w:val="0"/>
          <w:numId w:val="10"/>
        </w:numPr>
      </w:pPr>
      <w:r>
        <w:rPr>
          <w:rFonts w:ascii="Arial" w:hAnsi="Arial" w:eastAsia="Arial"/>
          <w:color w:val="111111"/>
          <w:sz w:val="22"/>
        </w:rPr>
        <w:t>A settlement lifecycle and a small operator dashboard showing transfers, failures and the audit trail.</w:t>
      </w:r>
    </w:p>
    <w:p>
      <w:pPr>
        <w:numPr>
          <w:ilvl w:val="0"/>
          <w:numId w:val="10"/>
        </w:numPr>
      </w:pPr>
      <w:r>
        <w:rPr>
          <w:rFonts w:ascii="Arial" w:hAnsi="Arial" w:eastAsia="Arial"/>
          <w:color w:val="111111"/>
          <w:sz w:val="22"/>
        </w:rPr>
        <w:t>Failure injection for one or two controlled cases, followed by a safe retry.</w:t>
      </w:r>
    </w:p>
    <w:p>
      <w:pPr>
        <w:numPr>
          <w:ilvl w:val="0"/>
          <w:numId w:val="10"/>
        </w:numPr>
      </w:pPr>
      <w:r>
        <w:rPr>
          <w:rFonts w:ascii="Arial" w:hAnsi="Arial" w:eastAsia="Arial"/>
          <w:color w:val="111111"/>
          <w:sz w:val="22"/>
        </w:rPr>
        <w:t>A reconciliation job that detects a deliberately introduced mismatch.</w:t>
      </w:r>
    </w:p>
    <w:p>
      <w:pPr>
        <w:numPr>
          <w:ilvl w:val="0"/>
          <w:numId w:val="10"/>
        </w:numPr>
      </w:pPr>
      <w:r>
        <w:rPr>
          <w:rFonts w:ascii="Arial" w:hAnsi="Arial" w:eastAsia="Arial"/>
          <w:color w:val="111111"/>
          <w:sz w:val="22"/>
        </w:rPr>
        <w:t>Unit, integration and concurrency tests, plus a documented cloud deployment.</w:t>
      </w:r>
    </w:p>
    <w:p>
      <w:r>
        <w:rPr>
          <w:rFonts w:ascii="Arial" w:hAnsi="Arial" w:eastAsia="Arial"/>
          <w:b/>
          <w:color w:val="111111"/>
          <w:sz w:val="22"/>
        </w:rPr>
        <w:t>Stack:</w:t>
      </w:r>
      <w:r>
        <w:rPr>
          <w:rFonts w:ascii="Arial" w:hAnsi="Arial" w:eastAsia="Arial"/>
          <w:color w:val="111111"/>
          <w:sz w:val="22"/>
        </w:rPr>
        <w:t xml:space="preserve"> Java 21, Spring Boot, PostgreSQL, a minimal React/TypeScript interface, Docker Compose, GitHub Actions and one cloud. Use TypeScript with Node if learning Java would delay completion.</w:t>
      </w:r>
    </w:p>
    <w:p>
      <w:r>
        <w:rPr>
          <w:rFonts w:ascii="Arial" w:hAnsi="Arial" w:eastAsia="Arial"/>
          <w:b/>
          <w:color w:val="111111"/>
          <w:sz w:val="22"/>
        </w:rPr>
        <w:t>Scope limit:</w:t>
      </w:r>
      <w:r>
        <w:rPr>
          <w:rFonts w:ascii="Arial" w:hAnsi="Arial" w:eastAsia="Arial"/>
          <w:color w:val="111111"/>
          <w:sz w:val="22"/>
        </w:rPr>
        <w:t xml:space="preserve"> no Kafka, Kubernetes, multiple microservices, real payments, fraud model, mobile app or multi-cloud deployment. Use a modular monolith and one worker; add Redis only after the core is polished.</w:t>
      </w:r>
    </w:p>
    <w:p>
      <w:pPr>
        <w:pStyle w:val="Heading2"/>
        <w:keepNext/>
        <w:pageBreakBefore w:val="0"/>
      </w:pPr>
      <w:r>
        <w:rPr>
          <w:rFonts w:ascii="Arial" w:hAnsi="Arial" w:eastAsia="Arial"/>
          <w:b/>
          <w:color w:val="2E74B5"/>
          <w:sz w:val="26"/>
        </w:rPr>
        <w:t>Demo and evidence</w:t>
      </w:r>
    </w:p>
    <w:p>
      <w:r>
        <w:rPr>
          <w:rFonts w:ascii="Arial" w:hAnsi="Arial" w:eastAsia="Arial"/>
          <w:color w:val="111111"/>
          <w:sz w:val="22"/>
        </w:rPr>
        <w:t>Demo duplicate prevention, safe recovery from a settlement failure and reconciliation against one seeded mismatch. Report real results for concurrent requests, test coverage, p95 API latency and recovery scenarios.</w:t>
      </w:r>
    </w:p>
    <w:p>
      <w:pPr>
        <w:pStyle w:val="Heading1"/>
        <w:keepNext/>
        <w:pageBreakBefore/>
      </w:pPr>
      <w:r>
        <w:rPr>
          <w:rFonts w:ascii="Arial" w:hAnsi="Arial" w:eastAsia="Arial"/>
          <w:b/>
          <w:color w:val="2E74B5"/>
          <w:sz w:val="32"/>
        </w:rPr>
        <w:t>3. Project Two - GroundedOps</w:t>
      </w:r>
    </w:p>
    <w:p>
      <w:pPr>
        <w:spacing w:after="200"/>
      </w:pPr>
      <w:r>
        <w:rPr>
          <w:rFonts w:ascii="Arial" w:hAnsi="Arial" w:eastAsia="Arial"/>
          <w:b/>
          <w:color w:val="0B2545"/>
          <w:sz w:val="28"/>
        </w:rPr>
        <w:t>Human-Reviewed AI Case Triage</w:t>
      </w:r>
    </w:p>
    <w:tbl>
      <w:tblPr>
        <w:tblW w:type="dxa" w:w="9360"/>
        <w:tblLayout w:type="fixed"/>
        <w:tblLook w:firstColumn="1" w:firstRow="1" w:lastColumn="0" w:lastRow="0" w:noHBand="0" w:noVBand="1" w:val="04A0"/>
        <w:tblInd w:w="120" w:type="dxa"/>
        <w:tblBorders>
          <w:top w:val="single" w:sz="6" w:space="0" w:color="B8C9DA"/>
          <w:left w:val="single" w:sz="6" w:space="0" w:color="B8C9DA"/>
          <w:bottom w:val="single" w:sz="6" w:space="0" w:color="B8C9DA"/>
          <w:right w:val="single" w:sz="6" w:space="0" w:color="B8C9DA"/>
          <w:insideH w:val="single" w:sz="6" w:space="0" w:color="B8C9DA"/>
          <w:insideV w:val="single" w:sz="6" w:space="0" w:color="B8C9DA"/>
        </w:tblBorders>
      </w:tblPr>
      <w:tblGrid>
        <w:gridCol w:w="9360"/>
      </w:tblGrid>
      <w:tr>
        <w:tc>
          <w:tcPr>
            <w:tcW w:type="dxa" w:w="9360"/>
            <w:vAlign w:val="center"/>
            <w:tcMar>
              <w:top w:w="80" w:type="dxa"/>
              <w:bottom w:w="80" w:type="dxa"/>
              <w:start w:w="120" w:type="dxa"/>
              <w:end w:w="120" w:type="dxa"/>
            </w:tcMar>
            <w:shd w:fill="FFF7E6" w:val="clear"/>
          </w:tcPr>
          <w:p>
            <w:pPr>
              <w:spacing w:before="40" w:after="40" w:line="264" w:lineRule="auto"/>
            </w:pPr>
            <w:r>
              <w:rPr>
                <w:rFonts w:ascii="Arial" w:hAnsi="Arial" w:eastAsia="Arial"/>
                <w:b/>
                <w:color w:val="0B2545"/>
                <w:sz w:val="21"/>
              </w:rPr>
              <w:t xml:space="preserve">Portfolio pitch: </w:t>
            </w:r>
            <w:r>
              <w:rPr>
                <w:rFonts w:ascii="Arial" w:hAnsi="Arial" w:eastAsia="Arial"/>
                <w:color w:val="111111"/>
                <w:sz w:val="21"/>
              </w:rPr>
              <w:t>An AI operations desk that reviews synthetic insurance or support cases, cites the relevant policy, produces a structured recommendation and routes uncertain decisions to a human reviewer.</w:t>
            </w:r>
          </w:p>
        </w:tc>
      </w:tr>
    </w:tbl>
    <w:p>
      <w:pPr>
        <w:spacing w:after="40" w:before="0"/>
      </w:pPr>
    </w:p>
    <w:p>
      <w:pPr>
        <w:pStyle w:val="Heading2"/>
        <w:keepNext/>
        <w:pageBreakBefore w:val="0"/>
      </w:pPr>
      <w:r>
        <w:rPr>
          <w:rFonts w:ascii="Arial" w:hAnsi="Arial" w:eastAsia="Arial"/>
          <w:b/>
          <w:color w:val="2E74B5"/>
          <w:sz w:val="26"/>
        </w:rPr>
        <w:t>Why this idea is distinctive</w:t>
      </w:r>
    </w:p>
    <w:p>
      <w:r>
        <w:rPr>
          <w:rFonts w:ascii="Arial" w:hAnsi="Arial" w:eastAsia="Arial"/>
          <w:color w:val="111111"/>
          <w:sz w:val="22"/>
        </w:rPr>
        <w:t>GroundedOps is not a chatbot. Its main product is a decision workflow with evidence, confidence, review and measurable quality. That maps directly to employers building AI agents for messy, high-stakes operational environments.</w:t>
      </w:r>
    </w:p>
    <w:p>
      <w:pPr>
        <w:spacing w:before="80" w:after="200"/>
        <w:jc w:val="center"/>
      </w:pPr>
      <w:r>
        <w:rPr>
          <w:rFonts w:ascii="Arial" w:hAnsi="Arial" w:eastAsia="Arial"/>
          <w:b/>
          <w:color w:val="1F4D78"/>
          <w:sz w:val="20"/>
        </w:rPr>
        <w:t>Case  -&gt;  retrieve policy  -&gt;  structured recommendation  -&gt;  review if uncertain  -&gt;  evaluate</w:t>
      </w:r>
    </w:p>
    <w:p>
      <w:pPr>
        <w:pStyle w:val="Heading2"/>
        <w:keepNext/>
        <w:pageBreakBefore w:val="0"/>
      </w:pPr>
      <w:r>
        <w:rPr>
          <w:rFonts w:ascii="Arial" w:hAnsi="Arial" w:eastAsia="Arial"/>
          <w:b/>
          <w:color w:val="2E74B5"/>
          <w:sz w:val="26"/>
        </w:rPr>
        <w:t>Must build</w:t>
      </w:r>
    </w:p>
    <w:p>
      <w:pPr>
        <w:numPr>
          <w:ilvl w:val="0"/>
          <w:numId w:val="10"/>
        </w:numPr>
      </w:pPr>
      <w:r>
        <w:rPr>
          <w:rFonts w:ascii="Arial" w:hAnsi="Arial" w:eastAsia="Arial"/>
          <w:color w:val="111111"/>
          <w:sz w:val="22"/>
        </w:rPr>
        <w:t>A small synthetic dataset of support or insurance cases and a short policy handbook.</w:t>
      </w:r>
    </w:p>
    <w:p>
      <w:pPr>
        <w:numPr>
          <w:ilvl w:val="0"/>
          <w:numId w:val="10"/>
        </w:numPr>
      </w:pPr>
      <w:r>
        <w:rPr>
          <w:rFonts w:ascii="Arial" w:hAnsi="Arial" w:eastAsia="Arial"/>
          <w:color w:val="111111"/>
          <w:sz w:val="22"/>
        </w:rPr>
        <w:t>Policy retrieval plus structured output containing decision, rationale, citations, confidence and escalation reason.</w:t>
      </w:r>
    </w:p>
    <w:p>
      <w:pPr>
        <w:numPr>
          <w:ilvl w:val="0"/>
          <w:numId w:val="10"/>
        </w:numPr>
      </w:pPr>
      <w:r>
        <w:rPr>
          <w:rFonts w:ascii="Arial" w:hAnsi="Arial" w:eastAsia="Arial"/>
          <w:color w:val="111111"/>
          <w:sz w:val="22"/>
        </w:rPr>
        <w:t>A review queue where a person can approve, reject or correct the recommendation.</w:t>
      </w:r>
    </w:p>
    <w:p>
      <w:pPr>
        <w:numPr>
          <w:ilvl w:val="0"/>
          <w:numId w:val="10"/>
        </w:numPr>
      </w:pPr>
      <w:r>
        <w:rPr>
          <w:rFonts w:ascii="Arial" w:hAnsi="Arial" w:eastAsia="Arial"/>
          <w:color w:val="111111"/>
          <w:sz w:val="22"/>
        </w:rPr>
        <w:t>An immutable audit trail showing model output, prompt version and reviewer changes.</w:t>
      </w:r>
    </w:p>
    <w:p>
      <w:pPr>
        <w:numPr>
          <w:ilvl w:val="0"/>
          <w:numId w:val="10"/>
        </w:numPr>
      </w:pPr>
      <w:r>
        <w:rPr>
          <w:rFonts w:ascii="Arial" w:hAnsi="Arial" w:eastAsia="Arial"/>
          <w:color w:val="111111"/>
          <w:sz w:val="22"/>
        </w:rPr>
        <w:t>A golden evaluation set of roughly 25-40 cases with expected outcomes and required evidence.</w:t>
      </w:r>
    </w:p>
    <w:p>
      <w:pPr>
        <w:numPr>
          <w:ilvl w:val="0"/>
          <w:numId w:val="10"/>
        </w:numPr>
      </w:pPr>
      <w:r>
        <w:rPr>
          <w:rFonts w:ascii="Arial" w:hAnsi="Arial" w:eastAsia="Arial"/>
          <w:color w:val="111111"/>
          <w:sz w:val="22"/>
        </w:rPr>
        <w:t>An evaluation screen comparing prompt versions, supported by workflow tests and one deployed demo.</w:t>
      </w:r>
    </w:p>
    <w:p>
      <w:r>
        <w:rPr>
          <w:rFonts w:ascii="Arial" w:hAnsi="Arial" w:eastAsia="Arial"/>
          <w:b/>
          <w:color w:val="111111"/>
          <w:sz w:val="22"/>
        </w:rPr>
        <w:t>Stack:</w:t>
      </w:r>
      <w:r>
        <w:rPr>
          <w:rFonts w:ascii="Arial" w:hAnsi="Arial" w:eastAsia="Arial"/>
          <w:color w:val="111111"/>
          <w:sz w:val="22"/>
        </w:rPr>
        <w:t xml:space="preserve"> Python 3.12, FastAPI, PostgreSQL full-text search, a small Next.js/TypeScript interface, one model provider, Pytest, Docker and GitHub Actions. Add pgvector only if evaluation proves it helps.</w:t>
      </w:r>
    </w:p>
    <w:p>
      <w:r>
        <w:rPr>
          <w:rFonts w:ascii="Arial" w:hAnsi="Arial" w:eastAsia="Arial"/>
          <w:b/>
          <w:color w:val="111111"/>
          <w:sz w:val="22"/>
        </w:rPr>
        <w:t>Scope limit:</w:t>
      </w:r>
      <w:r>
        <w:rPr>
          <w:rFonts w:ascii="Arial" w:hAnsi="Arial" w:eastAsia="Arial"/>
          <w:color w:val="111111"/>
          <w:sz w:val="22"/>
        </w:rPr>
        <w:t xml:space="preserve"> no multi-agent swarm, fine-tuning, multiple model vendors, real personal data or compliance claims. Browser automation may be one optional stretch feature.</w:t>
      </w:r>
    </w:p>
    <w:p>
      <w:pPr>
        <w:pStyle w:val="Heading2"/>
        <w:keepNext/>
        <w:pageBreakBefore w:val="0"/>
      </w:pPr>
      <w:r>
        <w:rPr>
          <w:rFonts w:ascii="Arial" w:hAnsi="Arial" w:eastAsia="Arial"/>
          <w:b/>
          <w:color w:val="2E74B5"/>
          <w:sz w:val="26"/>
        </w:rPr>
        <w:t>Demo and evidence</w:t>
      </w:r>
    </w:p>
    <w:p>
      <w:r>
        <w:rPr>
          <w:rFonts w:ascii="Arial" w:hAnsi="Arial" w:eastAsia="Arial"/>
          <w:color w:val="111111"/>
          <w:sz w:val="22"/>
        </w:rPr>
        <w:t>Compare an obvious case with an ambiguous one, correct the latter in the review queue and run two prompt versions. Report task accuracy, citation precision, escalation rate, latency and cost per case.</w:t>
      </w:r>
    </w:p>
    <w:p>
      <w:pPr>
        <w:pStyle w:val="Heading1"/>
        <w:keepNext/>
        <w:pageBreakBefore/>
      </w:pPr>
      <w:r>
        <w:rPr>
          <w:rFonts w:ascii="Arial" w:hAnsi="Arial" w:eastAsia="Arial"/>
          <w:b/>
          <w:color w:val="2E74B5"/>
          <w:sz w:val="32"/>
        </w:rPr>
        <w:t>4. Why the pair works</w:t>
      </w:r>
    </w:p>
    <w:p>
      <w:r>
        <w:rPr>
          <w:rFonts w:ascii="Arial" w:hAnsi="Arial" w:eastAsia="Arial"/>
          <w:color w:val="111111"/>
          <w:sz w:val="22"/>
        </w:rPr>
        <w:t>The projects share just enough infrastructure to accelerate development, while telling different technical stories. Reusing React, PostgreSQL, Docker and GitHub Actions is efficient; the core backend and engineering challenge remain distinct.</w:t>
      </w:r>
    </w:p>
    <w:tbl>
      <w:tblPr>
        <w:tblW w:type="dxa" w:w="9360"/>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100"/>
        <w:gridCol w:w="3630"/>
        <w:gridCol w:w="3630"/>
      </w:tblGrid>
      <w:tr>
        <w:trPr>
          <w:tblHeader w:val="true"/>
        </w:trPr>
        <w:tc>
          <w:tcPr>
            <w:tcW w:type="dxa" w:w="2100"/>
            <w:shd w:fill="F2F4F7" w:val="clear"/>
            <w:vAlign w:val="center"/>
            <w:tcMar>
              <w:top w:w="80" w:type="dxa"/>
              <w:bottom w:w="80" w:type="dxa"/>
              <w:start w:w="120" w:type="dxa"/>
              <w:end w:w="120" w:type="dxa"/>
            </w:tcMar>
          </w:tcPr>
          <w:p>
            <w:pPr>
              <w:spacing w:before="0" w:after="0" w:line="259" w:lineRule="auto"/>
              <w:jc w:val="left"/>
            </w:pPr>
            <w:r>
              <w:rPr>
                <w:rFonts w:ascii="Arial" w:hAnsi="Arial" w:eastAsia="Arial"/>
                <w:b/>
                <w:color w:val="0B2545"/>
                <w:sz w:val="18"/>
              </w:rPr>
              <w:t>Signal</w:t>
            </w:r>
          </w:p>
        </w:tc>
        <w:tc>
          <w:tcPr>
            <w:tcW w:type="dxa" w:w="3630"/>
            <w:shd w:fill="F2F4F7" w:val="clear"/>
            <w:vAlign w:val="center"/>
            <w:tcMar>
              <w:top w:w="80" w:type="dxa"/>
              <w:bottom w:w="80" w:type="dxa"/>
              <w:start w:w="120" w:type="dxa"/>
              <w:end w:w="120" w:type="dxa"/>
            </w:tcMar>
          </w:tcPr>
          <w:p>
            <w:pPr>
              <w:spacing w:before="0" w:after="0" w:line="259" w:lineRule="auto"/>
              <w:jc w:val="left"/>
            </w:pPr>
            <w:r>
              <w:rPr>
                <w:rFonts w:ascii="Arial" w:hAnsi="Arial" w:eastAsia="Arial"/>
                <w:b/>
                <w:color w:val="0B2545"/>
                <w:sz w:val="18"/>
              </w:rPr>
              <w:t>LedgerLab proves</w:t>
            </w:r>
          </w:p>
        </w:tc>
        <w:tc>
          <w:tcPr>
            <w:tcW w:type="dxa" w:w="3630"/>
            <w:shd w:fill="F2F4F7" w:val="clear"/>
            <w:vAlign w:val="center"/>
            <w:tcMar>
              <w:top w:w="80" w:type="dxa"/>
              <w:bottom w:w="80" w:type="dxa"/>
              <w:start w:w="120" w:type="dxa"/>
              <w:end w:w="120" w:type="dxa"/>
            </w:tcMar>
          </w:tcPr>
          <w:p>
            <w:pPr>
              <w:spacing w:before="0" w:after="0" w:line="259" w:lineRule="auto"/>
              <w:jc w:val="left"/>
            </w:pPr>
            <w:r>
              <w:rPr>
                <w:rFonts w:ascii="Arial" w:hAnsi="Arial" w:eastAsia="Arial"/>
                <w:b/>
                <w:color w:val="0B2545"/>
                <w:sz w:val="18"/>
              </w:rPr>
              <w:t>GroundedOps proves</w:t>
            </w:r>
          </w:p>
        </w:tc>
      </w:tr>
      <w:tr>
        <w:tc>
          <w:tcPr>
            <w:tcW w:type="dxa" w:w="2100"/>
            <w:vAlign w:val="center"/>
            <w:tcMar>
              <w:top w:w="80" w:type="dxa"/>
              <w:bottom w:w="80" w:type="dxa"/>
              <w:start w:w="120" w:type="dxa"/>
              <w:end w:w="120" w:type="dxa"/>
            </w:tcMar>
          </w:tcPr>
          <w:p>
            <w:pPr>
              <w:spacing w:before="0" w:after="0" w:line="259" w:lineRule="auto"/>
              <w:jc w:val="left"/>
            </w:pPr>
            <w:r>
              <w:rPr>
                <w:rFonts w:ascii="Arial" w:hAnsi="Arial" w:eastAsia="Arial"/>
                <w:b/>
                <w:color w:val="111111"/>
                <w:sz w:val="18"/>
              </w:rPr>
              <w:t>Backend depth</w:t>
            </w:r>
          </w:p>
        </w:tc>
        <w:tc>
          <w:tcPr>
            <w:tcW w:type="dxa" w:w="3630"/>
            <w:vAlign w:val="center"/>
            <w:tcMar>
              <w:top w:w="80" w:type="dxa"/>
              <w:bottom w:w="80" w:type="dxa"/>
              <w:start w:w="120" w:type="dxa"/>
              <w:end w:w="120" w:type="dxa"/>
            </w:tcMar>
          </w:tcPr>
          <w:p>
            <w:pPr>
              <w:spacing w:before="0" w:after="0" w:line="259" w:lineRule="auto"/>
              <w:jc w:val="left"/>
            </w:pPr>
            <w:r>
              <w:rPr>
                <w:rFonts w:ascii="Arial" w:hAnsi="Arial" w:eastAsia="Arial"/>
                <w:b w:val="0"/>
                <w:color w:val="111111"/>
                <w:sz w:val="18"/>
              </w:rPr>
              <w:t>Transactions, invariants, API design</w:t>
            </w:r>
          </w:p>
        </w:tc>
        <w:tc>
          <w:tcPr>
            <w:tcW w:type="dxa" w:w="3630"/>
            <w:vAlign w:val="center"/>
            <w:tcMar>
              <w:top w:w="80" w:type="dxa"/>
              <w:bottom w:w="80" w:type="dxa"/>
              <w:start w:w="120" w:type="dxa"/>
              <w:end w:w="120" w:type="dxa"/>
            </w:tcMar>
          </w:tcPr>
          <w:p>
            <w:pPr>
              <w:spacing w:before="0" w:after="0" w:line="259" w:lineRule="auto"/>
              <w:jc w:val="left"/>
            </w:pPr>
            <w:r>
              <w:rPr>
                <w:rFonts w:ascii="Arial" w:hAnsi="Arial" w:eastAsia="Arial"/>
                <w:b w:val="0"/>
                <w:color w:val="111111"/>
                <w:sz w:val="18"/>
              </w:rPr>
              <w:t>Structured workflows and retrieval</w:t>
            </w:r>
          </w:p>
        </w:tc>
      </w:tr>
      <w:tr>
        <w:tc>
          <w:tcPr>
            <w:tcW w:type="dxa" w:w="2100"/>
            <w:vAlign w:val="center"/>
            <w:tcMar>
              <w:top w:w="80" w:type="dxa"/>
              <w:bottom w:w="80" w:type="dxa"/>
              <w:start w:w="120" w:type="dxa"/>
              <w:end w:w="120" w:type="dxa"/>
            </w:tcMar>
          </w:tcPr>
          <w:p>
            <w:pPr>
              <w:spacing w:before="0" w:after="0" w:line="259" w:lineRule="auto"/>
              <w:jc w:val="left"/>
            </w:pPr>
            <w:r>
              <w:rPr>
                <w:rFonts w:ascii="Arial" w:hAnsi="Arial" w:eastAsia="Arial"/>
                <w:b/>
                <w:color w:val="111111"/>
                <w:sz w:val="18"/>
              </w:rPr>
              <w:t>Reliability</w:t>
            </w:r>
          </w:p>
        </w:tc>
        <w:tc>
          <w:tcPr>
            <w:tcW w:type="dxa" w:w="3630"/>
            <w:vAlign w:val="center"/>
            <w:tcMar>
              <w:top w:w="80" w:type="dxa"/>
              <w:bottom w:w="80" w:type="dxa"/>
              <w:start w:w="120" w:type="dxa"/>
              <w:end w:w="120" w:type="dxa"/>
            </w:tcMar>
          </w:tcPr>
          <w:p>
            <w:pPr>
              <w:spacing w:before="0" w:after="0" w:line="259" w:lineRule="auto"/>
              <w:jc w:val="left"/>
            </w:pPr>
            <w:r>
              <w:rPr>
                <w:rFonts w:ascii="Arial" w:hAnsi="Arial" w:eastAsia="Arial"/>
                <w:b w:val="0"/>
                <w:color w:val="111111"/>
                <w:sz w:val="18"/>
              </w:rPr>
              <w:t>Idempotency, retry and reconciliation</w:t>
            </w:r>
          </w:p>
        </w:tc>
        <w:tc>
          <w:tcPr>
            <w:tcW w:type="dxa" w:w="3630"/>
            <w:vAlign w:val="center"/>
            <w:tcMar>
              <w:top w:w="80" w:type="dxa"/>
              <w:bottom w:w="80" w:type="dxa"/>
              <w:start w:w="120" w:type="dxa"/>
              <w:end w:w="120" w:type="dxa"/>
            </w:tcMar>
          </w:tcPr>
          <w:p>
            <w:pPr>
              <w:spacing w:before="0" w:after="0" w:line="259" w:lineRule="auto"/>
              <w:jc w:val="left"/>
            </w:pPr>
            <w:r>
              <w:rPr>
                <w:rFonts w:ascii="Arial" w:hAnsi="Arial" w:eastAsia="Arial"/>
                <w:b w:val="0"/>
                <w:color w:val="111111"/>
                <w:sz w:val="18"/>
              </w:rPr>
              <w:t>Confidence, escalation and audit</w:t>
            </w:r>
          </w:p>
        </w:tc>
      </w:tr>
      <w:tr>
        <w:tc>
          <w:tcPr>
            <w:tcW w:type="dxa" w:w="2100"/>
            <w:vAlign w:val="center"/>
            <w:tcMar>
              <w:top w:w="80" w:type="dxa"/>
              <w:bottom w:w="80" w:type="dxa"/>
              <w:start w:w="120" w:type="dxa"/>
              <w:end w:w="120" w:type="dxa"/>
            </w:tcMar>
          </w:tcPr>
          <w:p>
            <w:pPr>
              <w:spacing w:before="0" w:after="0" w:line="259" w:lineRule="auto"/>
              <w:jc w:val="left"/>
            </w:pPr>
            <w:r>
              <w:rPr>
                <w:rFonts w:ascii="Arial" w:hAnsi="Arial" w:eastAsia="Arial"/>
                <w:b/>
                <w:color w:val="111111"/>
                <w:sz w:val="18"/>
              </w:rPr>
              <w:t>Data</w:t>
            </w:r>
          </w:p>
        </w:tc>
        <w:tc>
          <w:tcPr>
            <w:tcW w:type="dxa" w:w="3630"/>
            <w:vAlign w:val="center"/>
            <w:tcMar>
              <w:top w:w="80" w:type="dxa"/>
              <w:bottom w:w="80" w:type="dxa"/>
              <w:start w:w="120" w:type="dxa"/>
              <w:end w:w="120" w:type="dxa"/>
            </w:tcMar>
          </w:tcPr>
          <w:p>
            <w:pPr>
              <w:spacing w:before="0" w:after="0" w:line="259" w:lineRule="auto"/>
              <w:jc w:val="left"/>
            </w:pPr>
            <w:r>
              <w:rPr>
                <w:rFonts w:ascii="Arial" w:hAnsi="Arial" w:eastAsia="Arial"/>
                <w:b w:val="0"/>
                <w:color w:val="111111"/>
                <w:sz w:val="18"/>
              </w:rPr>
              <w:t>Relational modeling and integrity</w:t>
            </w:r>
          </w:p>
        </w:tc>
        <w:tc>
          <w:tcPr>
            <w:tcW w:type="dxa" w:w="3630"/>
            <w:vAlign w:val="center"/>
            <w:tcMar>
              <w:top w:w="80" w:type="dxa"/>
              <w:bottom w:w="80" w:type="dxa"/>
              <w:start w:w="120" w:type="dxa"/>
              <w:end w:w="120" w:type="dxa"/>
            </w:tcMar>
          </w:tcPr>
          <w:p>
            <w:pPr>
              <w:spacing w:before="0" w:after="0" w:line="259" w:lineRule="auto"/>
              <w:jc w:val="left"/>
            </w:pPr>
            <w:r>
              <w:rPr>
                <w:rFonts w:ascii="Arial" w:hAnsi="Arial" w:eastAsia="Arial"/>
                <w:b w:val="0"/>
                <w:color w:val="111111"/>
                <w:sz w:val="18"/>
              </w:rPr>
              <w:t>Search, evidence and evaluation sets</w:t>
            </w:r>
          </w:p>
        </w:tc>
      </w:tr>
      <w:tr>
        <w:tc>
          <w:tcPr>
            <w:tcW w:type="dxa" w:w="2100"/>
            <w:vAlign w:val="center"/>
            <w:tcMar>
              <w:top w:w="80" w:type="dxa"/>
              <w:bottom w:w="80" w:type="dxa"/>
              <w:start w:w="120" w:type="dxa"/>
              <w:end w:w="120" w:type="dxa"/>
            </w:tcMar>
          </w:tcPr>
          <w:p>
            <w:pPr>
              <w:spacing w:before="0" w:after="0" w:line="259" w:lineRule="auto"/>
              <w:jc w:val="left"/>
            </w:pPr>
            <w:r>
              <w:rPr>
                <w:rFonts w:ascii="Arial" w:hAnsi="Arial" w:eastAsia="Arial"/>
                <w:b/>
                <w:color w:val="111111"/>
                <w:sz w:val="18"/>
              </w:rPr>
              <w:t>Quality</w:t>
            </w:r>
          </w:p>
        </w:tc>
        <w:tc>
          <w:tcPr>
            <w:tcW w:type="dxa" w:w="3630"/>
            <w:vAlign w:val="center"/>
            <w:tcMar>
              <w:top w:w="80" w:type="dxa"/>
              <w:bottom w:w="80" w:type="dxa"/>
              <w:start w:w="120" w:type="dxa"/>
              <w:end w:w="120" w:type="dxa"/>
            </w:tcMar>
          </w:tcPr>
          <w:p>
            <w:pPr>
              <w:spacing w:before="0" w:after="0" w:line="259" w:lineRule="auto"/>
              <w:jc w:val="left"/>
            </w:pPr>
            <w:r>
              <w:rPr>
                <w:rFonts w:ascii="Arial" w:hAnsi="Arial" w:eastAsia="Arial"/>
                <w:b w:val="0"/>
                <w:color w:val="111111"/>
                <w:sz w:val="18"/>
              </w:rPr>
              <w:t>Unit, integration and concurrency tests</w:t>
            </w:r>
          </w:p>
        </w:tc>
        <w:tc>
          <w:tcPr>
            <w:tcW w:type="dxa" w:w="3630"/>
            <w:vAlign w:val="center"/>
            <w:tcMar>
              <w:top w:w="80" w:type="dxa"/>
              <w:bottom w:w="80" w:type="dxa"/>
              <w:start w:w="120" w:type="dxa"/>
              <w:end w:w="120" w:type="dxa"/>
            </w:tcMar>
          </w:tcPr>
          <w:p>
            <w:pPr>
              <w:spacing w:before="0" w:after="0" w:line="259" w:lineRule="auto"/>
              <w:jc w:val="left"/>
            </w:pPr>
            <w:r>
              <w:rPr>
                <w:rFonts w:ascii="Arial" w:hAnsi="Arial" w:eastAsia="Arial"/>
                <w:b w:val="0"/>
                <w:color w:val="111111"/>
                <w:sz w:val="18"/>
              </w:rPr>
              <w:t>Golden tests and prompt regression</w:t>
            </w:r>
          </w:p>
        </w:tc>
      </w:tr>
      <w:tr>
        <w:tc>
          <w:tcPr>
            <w:tcW w:type="dxa" w:w="2100"/>
            <w:vAlign w:val="center"/>
            <w:tcMar>
              <w:top w:w="80" w:type="dxa"/>
              <w:bottom w:w="80" w:type="dxa"/>
              <w:start w:w="120" w:type="dxa"/>
              <w:end w:w="120" w:type="dxa"/>
            </w:tcMar>
          </w:tcPr>
          <w:p>
            <w:pPr>
              <w:spacing w:before="0" w:after="0" w:line="259" w:lineRule="auto"/>
              <w:jc w:val="left"/>
            </w:pPr>
            <w:r>
              <w:rPr>
                <w:rFonts w:ascii="Arial" w:hAnsi="Arial" w:eastAsia="Arial"/>
                <w:b/>
                <w:color w:val="111111"/>
                <w:sz w:val="18"/>
              </w:rPr>
              <w:t>Languages</w:t>
            </w:r>
          </w:p>
        </w:tc>
        <w:tc>
          <w:tcPr>
            <w:tcW w:type="dxa" w:w="3630"/>
            <w:vAlign w:val="center"/>
            <w:tcMar>
              <w:top w:w="80" w:type="dxa"/>
              <w:bottom w:w="80" w:type="dxa"/>
              <w:start w:w="120" w:type="dxa"/>
              <w:end w:w="120" w:type="dxa"/>
            </w:tcMar>
          </w:tcPr>
          <w:p>
            <w:pPr>
              <w:spacing w:before="0" w:after="0" w:line="259" w:lineRule="auto"/>
              <w:jc w:val="left"/>
            </w:pPr>
            <w:r>
              <w:rPr>
                <w:rFonts w:ascii="Arial" w:hAnsi="Arial" w:eastAsia="Arial"/>
                <w:b w:val="0"/>
                <w:color w:val="111111"/>
                <w:sz w:val="18"/>
              </w:rPr>
              <w:t>Java or Node, plus TypeScript</w:t>
            </w:r>
          </w:p>
        </w:tc>
        <w:tc>
          <w:tcPr>
            <w:tcW w:type="dxa" w:w="3630"/>
            <w:vAlign w:val="center"/>
            <w:tcMar>
              <w:top w:w="80" w:type="dxa"/>
              <w:bottom w:w="80" w:type="dxa"/>
              <w:start w:w="120" w:type="dxa"/>
              <w:end w:w="120" w:type="dxa"/>
            </w:tcMar>
          </w:tcPr>
          <w:p>
            <w:pPr>
              <w:spacing w:before="0" w:after="0" w:line="259" w:lineRule="auto"/>
              <w:jc w:val="left"/>
            </w:pPr>
            <w:r>
              <w:rPr>
                <w:rFonts w:ascii="Arial" w:hAnsi="Arial" w:eastAsia="Arial"/>
                <w:b w:val="0"/>
                <w:color w:val="111111"/>
                <w:sz w:val="18"/>
              </w:rPr>
              <w:t>Python, plus TypeScript</w:t>
            </w:r>
          </w:p>
        </w:tc>
      </w:tr>
      <w:tr>
        <w:tc>
          <w:tcPr>
            <w:tcW w:type="dxa" w:w="2100"/>
            <w:vAlign w:val="center"/>
            <w:tcMar>
              <w:top w:w="80" w:type="dxa"/>
              <w:bottom w:w="80" w:type="dxa"/>
              <w:start w:w="120" w:type="dxa"/>
              <w:end w:w="120" w:type="dxa"/>
            </w:tcMar>
          </w:tcPr>
          <w:p>
            <w:pPr>
              <w:spacing w:before="0" w:after="0" w:line="259" w:lineRule="auto"/>
              <w:jc w:val="left"/>
            </w:pPr>
            <w:r>
              <w:rPr>
                <w:rFonts w:ascii="Arial" w:hAnsi="Arial" w:eastAsia="Arial"/>
                <w:b/>
                <w:color w:val="111111"/>
                <w:sz w:val="18"/>
              </w:rPr>
              <w:t>Target roles</w:t>
            </w:r>
          </w:p>
        </w:tc>
        <w:tc>
          <w:tcPr>
            <w:tcW w:type="dxa" w:w="3630"/>
            <w:vAlign w:val="center"/>
            <w:tcMar>
              <w:top w:w="80" w:type="dxa"/>
              <w:bottom w:w="80" w:type="dxa"/>
              <w:start w:w="120" w:type="dxa"/>
              <w:end w:w="120" w:type="dxa"/>
            </w:tcMar>
          </w:tcPr>
          <w:p>
            <w:pPr>
              <w:spacing w:before="0" w:after="0" w:line="259" w:lineRule="auto"/>
              <w:jc w:val="left"/>
            </w:pPr>
            <w:r>
              <w:rPr>
                <w:rFonts w:ascii="Arial" w:hAnsi="Arial" w:eastAsia="Arial"/>
                <w:b w:val="0"/>
                <w:color w:val="111111"/>
                <w:sz w:val="18"/>
              </w:rPr>
              <w:t>Stripe, Scotiabank, BMO and general SWE</w:t>
            </w:r>
          </w:p>
        </w:tc>
        <w:tc>
          <w:tcPr>
            <w:tcW w:type="dxa" w:w="3630"/>
            <w:vAlign w:val="center"/>
            <w:tcMar>
              <w:top w:w="80" w:type="dxa"/>
              <w:bottom w:w="80" w:type="dxa"/>
              <w:start w:w="120" w:type="dxa"/>
              <w:end w:w="120" w:type="dxa"/>
            </w:tcMar>
          </w:tcPr>
          <w:p>
            <w:pPr>
              <w:spacing w:before="0" w:after="0" w:line="259" w:lineRule="auto"/>
              <w:jc w:val="left"/>
            </w:pPr>
            <w:r>
              <w:rPr>
                <w:rFonts w:ascii="Arial" w:hAnsi="Arial" w:eastAsia="Arial"/>
                <w:b w:val="0"/>
                <w:color w:val="111111"/>
                <w:sz w:val="18"/>
              </w:rPr>
              <w:t>Magical, Applied Systems and Symplistic.ai</w:t>
            </w:r>
          </w:p>
        </w:tc>
      </w:tr>
    </w:tbl>
    <w:p>
      <w:pPr>
        <w:pStyle w:val="Heading2"/>
        <w:keepNext/>
        <w:pageBreakBefore w:val="0"/>
      </w:pPr>
      <w:r>
        <w:rPr>
          <w:rFonts w:ascii="Arial" w:hAnsi="Arial" w:eastAsia="Arial"/>
          <w:b/>
          <w:color w:val="2E74B5"/>
          <w:sz w:val="26"/>
        </w:rPr>
        <w:t>Recommended nine-week build order</w:t>
      </w:r>
    </w:p>
    <w:p>
      <w:pPr>
        <w:numPr>
          <w:ilvl w:val="0"/>
          <w:numId w:val="12"/>
        </w:numPr>
      </w:pPr>
      <w:r>
        <w:rPr>
          <w:rFonts w:ascii="Arial" w:hAnsi="Arial" w:eastAsia="Arial"/>
          <w:b/>
          <w:color w:val="111111"/>
          <w:sz w:val="22"/>
        </w:rPr>
        <w:t>Weeks 1-2 - Ledger core:</w:t>
      </w:r>
      <w:r>
        <w:rPr>
          <w:rFonts w:ascii="Arial" w:hAnsi="Arial" w:eastAsia="Arial"/>
          <w:color w:val="111111"/>
          <w:sz w:val="22"/>
        </w:rPr>
        <w:t xml:space="preserve"> schema, transfer API, balanced entries and automated tests.</w:t>
      </w:r>
    </w:p>
    <w:p>
      <w:pPr>
        <w:numPr>
          <w:ilvl w:val="0"/>
          <w:numId w:val="12"/>
        </w:numPr>
      </w:pPr>
      <w:r>
        <w:rPr>
          <w:rFonts w:ascii="Arial" w:hAnsi="Arial" w:eastAsia="Arial"/>
          <w:b/>
          <w:color w:val="111111"/>
          <w:sz w:val="22"/>
        </w:rPr>
        <w:t>Weeks 3-4 - Reliability and UI:</w:t>
      </w:r>
      <w:r>
        <w:rPr>
          <w:rFonts w:ascii="Arial" w:hAnsi="Arial" w:eastAsia="Arial"/>
          <w:color w:val="111111"/>
          <w:sz w:val="22"/>
        </w:rPr>
        <w:t xml:space="preserve"> settlement states, failure injection, reconciliation and operator dashboard.</w:t>
      </w:r>
    </w:p>
    <w:p>
      <w:pPr>
        <w:numPr>
          <w:ilvl w:val="0"/>
          <w:numId w:val="12"/>
        </w:numPr>
      </w:pPr>
      <w:r>
        <w:rPr>
          <w:rFonts w:ascii="Arial" w:hAnsi="Arial" w:eastAsia="Arial"/>
          <w:b/>
          <w:color w:val="111111"/>
          <w:sz w:val="22"/>
        </w:rPr>
        <w:t>Week 5 - LedgerLab polish:</w:t>
      </w:r>
      <w:r>
        <w:rPr>
          <w:rFonts w:ascii="Arial" w:hAnsi="Arial" w:eastAsia="Arial"/>
          <w:color w:val="111111"/>
          <w:sz w:val="22"/>
        </w:rPr>
        <w:t xml:space="preserve"> cloud deployment, load test, architecture note and short demo video.</w:t>
      </w:r>
    </w:p>
    <w:p>
      <w:pPr>
        <w:numPr>
          <w:ilvl w:val="0"/>
          <w:numId w:val="12"/>
        </w:numPr>
      </w:pPr>
      <w:r>
        <w:rPr>
          <w:rFonts w:ascii="Arial" w:hAnsi="Arial" w:eastAsia="Arial"/>
          <w:b/>
          <w:color w:val="111111"/>
          <w:sz w:val="22"/>
        </w:rPr>
        <w:t>Weeks 6-7 - Grounded workflow:</w:t>
      </w:r>
      <w:r>
        <w:rPr>
          <w:rFonts w:ascii="Arial" w:hAnsi="Arial" w:eastAsia="Arial"/>
          <w:color w:val="111111"/>
          <w:sz w:val="22"/>
        </w:rPr>
        <w:t xml:space="preserve"> case ingestion, policy retrieval, structured output and reviewer queue.</w:t>
      </w:r>
    </w:p>
    <w:p>
      <w:pPr>
        <w:numPr>
          <w:ilvl w:val="0"/>
          <w:numId w:val="12"/>
        </w:numPr>
      </w:pPr>
      <w:r>
        <w:rPr>
          <w:rFonts w:ascii="Arial" w:hAnsi="Arial" w:eastAsia="Arial"/>
          <w:b/>
          <w:color w:val="111111"/>
          <w:sz w:val="22"/>
        </w:rPr>
        <w:t>Week 8 - Evaluation:</w:t>
      </w:r>
      <w:r>
        <w:rPr>
          <w:rFonts w:ascii="Arial" w:hAnsi="Arial" w:eastAsia="Arial"/>
          <w:color w:val="111111"/>
          <w:sz w:val="22"/>
        </w:rPr>
        <w:t xml:space="preserve"> golden cases, prompt comparison, audit history and metrics.</w:t>
      </w:r>
    </w:p>
    <w:p>
      <w:pPr>
        <w:numPr>
          <w:ilvl w:val="0"/>
          <w:numId w:val="12"/>
        </w:numPr>
      </w:pPr>
      <w:r>
        <w:rPr>
          <w:rFonts w:ascii="Arial" w:hAnsi="Arial" w:eastAsia="Arial"/>
          <w:b/>
          <w:color w:val="111111"/>
          <w:sz w:val="22"/>
        </w:rPr>
        <w:t>Week 9 - Portfolio packaging:</w:t>
      </w:r>
      <w:r>
        <w:rPr>
          <w:rFonts w:ascii="Arial" w:hAnsi="Arial" w:eastAsia="Arial"/>
          <w:color w:val="111111"/>
          <w:sz w:val="22"/>
        </w:rPr>
        <w:t xml:space="preserve"> deployment, screenshots, README refinement and resume bullets using real measurements.</w:t>
      </w:r>
    </w:p>
    <w:p>
      <w:pPr>
        <w:pStyle w:val="Heading2"/>
        <w:keepNext/>
        <w:pageBreakBefore w:val="0"/>
      </w:pPr>
      <w:r>
        <w:rPr>
          <w:rFonts w:ascii="Arial" w:hAnsi="Arial" w:eastAsia="Arial"/>
          <w:b/>
          <w:color w:val="2E74B5"/>
          <w:sz w:val="26"/>
        </w:rPr>
        <w:t>Scope gates</w:t>
      </w:r>
    </w:p>
    <w:p>
      <w:pPr>
        <w:numPr>
          <w:ilvl w:val="0"/>
          <w:numId w:val="10"/>
        </w:numPr>
      </w:pPr>
      <w:r>
        <w:rPr>
          <w:rFonts w:ascii="Arial" w:hAnsi="Arial" w:eastAsia="Arial"/>
          <w:color w:val="111111"/>
          <w:sz w:val="22"/>
        </w:rPr>
        <w:t>A stretch feature enters the plan only after the must-build demo works end to end.</w:t>
      </w:r>
    </w:p>
    <w:p>
      <w:pPr>
        <w:numPr>
          <w:ilvl w:val="0"/>
          <w:numId w:val="10"/>
        </w:numPr>
      </w:pPr>
      <w:r>
        <w:rPr>
          <w:rFonts w:ascii="Arial" w:hAnsi="Arial" w:eastAsia="Arial"/>
          <w:color w:val="111111"/>
          <w:sz w:val="22"/>
        </w:rPr>
        <w:t>Each project gets one cloud, one database and one primary backend framework.</w:t>
      </w:r>
    </w:p>
    <w:p>
      <w:pPr>
        <w:numPr>
          <w:ilvl w:val="0"/>
          <w:numId w:val="10"/>
        </w:numPr>
      </w:pPr>
      <w:r>
        <w:rPr>
          <w:rFonts w:ascii="Arial" w:hAnsi="Arial" w:eastAsia="Arial"/>
          <w:color w:val="111111"/>
          <w:sz w:val="22"/>
        </w:rPr>
        <w:t>A feature that cannot be demonstrated in five minutes is probably not required for version one.</w:t>
      </w:r>
    </w:p>
    <w:p>
      <w:pPr>
        <w:numPr>
          <w:ilvl w:val="0"/>
          <w:numId w:val="10"/>
        </w:numPr>
      </w:pPr>
      <w:r>
        <w:rPr>
          <w:rFonts w:ascii="Arial" w:hAnsi="Arial" w:eastAsia="Arial"/>
          <w:color w:val="111111"/>
          <w:sz w:val="22"/>
        </w:rPr>
        <w:t>Polish beats breadth: deployment, tests, documentation and measured results are part of the product.</w:t>
      </w:r>
    </w:p>
    <w:p>
      <w:pPr>
        <w:pStyle w:val="Heading1"/>
        <w:keepNext/>
        <w:pageBreakBefore/>
      </w:pPr>
      <w:r>
        <w:rPr>
          <w:rFonts w:ascii="Arial" w:hAnsi="Arial" w:eastAsia="Arial"/>
          <w:b/>
          <w:color w:val="2E74B5"/>
          <w:sz w:val="32"/>
        </w:rPr>
        <w:t>5. Portfolio packaging</w:t>
      </w:r>
    </w:p>
    <w:p>
      <w:r>
        <w:rPr>
          <w:rFonts w:ascii="Arial" w:hAnsi="Arial" w:eastAsia="Arial"/>
          <w:color w:val="111111"/>
          <w:sz w:val="22"/>
        </w:rPr>
        <w:t>A hiring manager should understand each project in under two minutes, and a technical interviewer should be able to go deeper for twenty minutes. Package both repositories consistently.</w:t>
      </w:r>
    </w:p>
    <w:p>
      <w:pPr>
        <w:pStyle w:val="Heading2"/>
        <w:keepNext/>
        <w:pageBreakBefore w:val="0"/>
      </w:pPr>
      <w:r>
        <w:rPr>
          <w:rFonts w:ascii="Arial" w:hAnsi="Arial" w:eastAsia="Arial"/>
          <w:b/>
          <w:color w:val="2E74B5"/>
          <w:sz w:val="26"/>
        </w:rPr>
        <w:t>Repository checklist</w:t>
      </w:r>
    </w:p>
    <w:p>
      <w:pPr>
        <w:numPr>
          <w:ilvl w:val="0"/>
          <w:numId w:val="10"/>
        </w:numPr>
      </w:pPr>
      <w:r>
        <w:rPr>
          <w:rFonts w:ascii="Arial" w:hAnsi="Arial" w:eastAsia="Arial"/>
          <w:color w:val="111111"/>
          <w:sz w:val="22"/>
        </w:rPr>
        <w:t>A concise README beginning with the user problem and one-sentence technical story.</w:t>
      </w:r>
    </w:p>
    <w:p>
      <w:pPr>
        <w:numPr>
          <w:ilvl w:val="0"/>
          <w:numId w:val="10"/>
        </w:numPr>
      </w:pPr>
      <w:r>
        <w:rPr>
          <w:rFonts w:ascii="Arial" w:hAnsi="Arial" w:eastAsia="Arial"/>
          <w:color w:val="111111"/>
          <w:sz w:val="22"/>
        </w:rPr>
        <w:t>A small architecture diagram plus two or three documented engineering tradeoffs.</w:t>
      </w:r>
    </w:p>
    <w:p>
      <w:pPr>
        <w:numPr>
          <w:ilvl w:val="0"/>
          <w:numId w:val="10"/>
        </w:numPr>
      </w:pPr>
      <w:r>
        <w:rPr>
          <w:rFonts w:ascii="Arial" w:hAnsi="Arial" w:eastAsia="Arial"/>
          <w:color w:val="111111"/>
          <w:sz w:val="22"/>
        </w:rPr>
        <w:t>A one-command local setup with seeded synthetic data.</w:t>
      </w:r>
    </w:p>
    <w:p>
      <w:pPr>
        <w:numPr>
          <w:ilvl w:val="0"/>
          <w:numId w:val="10"/>
        </w:numPr>
      </w:pPr>
      <w:r>
        <w:rPr>
          <w:rFonts w:ascii="Arial" w:hAnsi="Arial" w:eastAsia="Arial"/>
          <w:color w:val="111111"/>
          <w:sz w:val="22"/>
        </w:rPr>
        <w:t>A live demo or recorded backup demo following the five-minute script.</w:t>
      </w:r>
    </w:p>
    <w:p>
      <w:pPr>
        <w:numPr>
          <w:ilvl w:val="0"/>
          <w:numId w:val="10"/>
        </w:numPr>
      </w:pPr>
      <w:r>
        <w:rPr>
          <w:rFonts w:ascii="Arial" w:hAnsi="Arial" w:eastAsia="Arial"/>
          <w:color w:val="111111"/>
          <w:sz w:val="22"/>
        </w:rPr>
        <w:t>API documentation, automated tests and a visible CI result.</w:t>
      </w:r>
    </w:p>
    <w:p>
      <w:pPr>
        <w:numPr>
          <w:ilvl w:val="0"/>
          <w:numId w:val="10"/>
        </w:numPr>
      </w:pPr>
      <w:r>
        <w:rPr>
          <w:rFonts w:ascii="Arial" w:hAnsi="Arial" w:eastAsia="Arial"/>
          <w:color w:val="111111"/>
          <w:sz w:val="22"/>
        </w:rPr>
        <w:t>A reproducible benchmark or evaluation report, followed by honest limitations.</w:t>
      </w:r>
    </w:p>
    <w:p>
      <w:pPr>
        <w:pStyle w:val="Heading2"/>
        <w:keepNext/>
        <w:pageBreakBefore w:val="0"/>
      </w:pPr>
      <w:r>
        <w:rPr>
          <w:rFonts w:ascii="Arial" w:hAnsi="Arial" w:eastAsia="Arial"/>
          <w:b/>
          <w:color w:val="2E74B5"/>
          <w:sz w:val="26"/>
        </w:rPr>
        <w:t>Resume positioning</w:t>
      </w:r>
    </w:p>
    <w:p>
      <w:r>
        <w:rPr>
          <w:rFonts w:ascii="Arial" w:hAnsi="Arial" w:eastAsia="Arial"/>
          <w:color w:val="111111"/>
          <w:sz w:val="22"/>
        </w:rPr>
        <w:t>For LedgerLab, emphasize data integrity, idempotency, failure recovery, testing and measured throughput. For GroundedOps, emphasize grounded decisions, evaluation design, human escalation, auditability and measured model quality. Use numbers only after measuring the finished systems.</w:t>
      </w:r>
    </w:p>
    <w:p>
      <w:pPr>
        <w:pStyle w:val="Heading2"/>
        <w:keepNext/>
        <w:pageBreakBefore w:val="0"/>
      </w:pPr>
      <w:r>
        <w:rPr>
          <w:rFonts w:ascii="Arial" w:hAnsi="Arial" w:eastAsia="Arial"/>
          <w:b/>
          <w:color w:val="2E74B5"/>
          <w:sz w:val="26"/>
        </w:rPr>
        <w:t>If there is time for only one project</w:t>
      </w:r>
    </w:p>
    <w:tbl>
      <w:tblPr>
        <w:tblW w:type="dxa" w:w="9360"/>
        <w:tblLayout w:type="fixed"/>
        <w:tblLook w:firstColumn="1" w:firstRow="1" w:lastColumn="0" w:lastRow="0" w:noHBand="0" w:noVBand="1" w:val="04A0"/>
        <w:tblInd w:w="120" w:type="dxa"/>
        <w:tblBorders>
          <w:top w:val="single" w:sz="6" w:space="0" w:color="B8C9DA"/>
          <w:left w:val="single" w:sz="6" w:space="0" w:color="B8C9DA"/>
          <w:bottom w:val="single" w:sz="6" w:space="0" w:color="B8C9DA"/>
          <w:right w:val="single" w:sz="6" w:space="0" w:color="B8C9DA"/>
          <w:insideH w:val="single" w:sz="6" w:space="0" w:color="B8C9DA"/>
          <w:insideV w:val="single" w:sz="6" w:space="0" w:color="B8C9DA"/>
        </w:tblBorders>
      </w:tblPr>
      <w:tblGrid>
        <w:gridCol w:w="9360"/>
      </w:tblGrid>
      <w:tr>
        <w:tc>
          <w:tcPr>
            <w:tcW w:type="dxa" w:w="9360"/>
            <w:vAlign w:val="center"/>
            <w:tcMar>
              <w:top w:w="80" w:type="dxa"/>
              <w:bottom w:w="80" w:type="dxa"/>
              <w:start w:w="120" w:type="dxa"/>
              <w:end w:w="120" w:type="dxa"/>
            </w:tcMar>
            <w:shd w:fill="EAF4EE" w:val="clear"/>
          </w:tcPr>
          <w:p>
            <w:pPr>
              <w:spacing w:before="40" w:after="40" w:line="264" w:lineRule="auto"/>
            </w:pPr>
            <w:r>
              <w:rPr>
                <w:rFonts w:ascii="Arial" w:hAnsi="Arial" w:eastAsia="Arial"/>
                <w:b/>
                <w:color w:val="0B2545"/>
                <w:sz w:val="21"/>
              </w:rPr>
              <w:t xml:space="preserve">Choose LedgerLab </w:t>
            </w:r>
            <w:r>
              <w:rPr>
                <w:rFonts w:ascii="Arial" w:hAnsi="Arial" w:eastAsia="Arial"/>
                <w:color w:val="111111"/>
                <w:sz w:val="21"/>
              </w:rPr>
              <w:t>if the current portfolio lacks a serious backend project or the application list is mostly general software, banking and platform roles.</w:t>
            </w:r>
          </w:p>
        </w:tc>
      </w:tr>
    </w:tbl>
    <w:p>
      <w:pPr>
        <w:spacing w:after="40" w:before="0"/>
      </w:pPr>
    </w:p>
    <w:tbl>
      <w:tblPr>
        <w:tblW w:type="dxa" w:w="9360"/>
        <w:tblLayout w:type="fixed"/>
        <w:tblLook w:firstColumn="1" w:firstRow="1" w:lastColumn="0" w:lastRow="0" w:noHBand="0" w:noVBand="1" w:val="04A0"/>
        <w:tblInd w:w="120" w:type="dxa"/>
        <w:tblBorders>
          <w:top w:val="single" w:sz="6" w:space="0" w:color="B8C9DA"/>
          <w:left w:val="single" w:sz="6" w:space="0" w:color="B8C9DA"/>
          <w:bottom w:val="single" w:sz="6" w:space="0" w:color="B8C9DA"/>
          <w:right w:val="single" w:sz="6" w:space="0" w:color="B8C9DA"/>
          <w:insideH w:val="single" w:sz="6" w:space="0" w:color="B8C9DA"/>
          <w:insideV w:val="single" w:sz="6" w:space="0" w:color="B8C9DA"/>
        </w:tblBorders>
      </w:tblPr>
      <w:tblGrid>
        <w:gridCol w:w="9360"/>
      </w:tblGrid>
      <w:tr>
        <w:tc>
          <w:tcPr>
            <w:tcW w:type="dxa" w:w="9360"/>
            <w:vAlign w:val="center"/>
            <w:tcMar>
              <w:top w:w="80" w:type="dxa"/>
              <w:bottom w:w="80" w:type="dxa"/>
              <w:start w:w="120" w:type="dxa"/>
              <w:end w:w="120" w:type="dxa"/>
            </w:tcMar>
            <w:shd w:fill="FFF7E6" w:val="clear"/>
          </w:tcPr>
          <w:p>
            <w:pPr>
              <w:spacing w:before="40" w:after="40" w:line="264" w:lineRule="auto"/>
            </w:pPr>
            <w:r>
              <w:rPr>
                <w:rFonts w:ascii="Arial" w:hAnsi="Arial" w:eastAsia="Arial"/>
                <w:b/>
                <w:color w:val="0B2545"/>
                <w:sz w:val="21"/>
              </w:rPr>
              <w:t xml:space="preserve">Choose GroundedOps </w:t>
            </w:r>
            <w:r>
              <w:rPr>
                <w:rFonts w:ascii="Arial" w:hAnsi="Arial" w:eastAsia="Arial"/>
                <w:color w:val="111111"/>
                <w:sz w:val="21"/>
              </w:rPr>
              <w:t>if a solid deployed full-stack project already exists and the immediate applications are mainly AI-agent or applied AI roles.</w:t>
            </w:r>
          </w:p>
        </w:tc>
      </w:tr>
    </w:tbl>
    <w:p>
      <w:pPr>
        <w:spacing w:after="40" w:before="0"/>
      </w:pPr>
    </w:p>
    <w:p>
      <w:pPr>
        <w:pStyle w:val="Heading2"/>
        <w:keepNext/>
        <w:pageBreakBefore w:val="0"/>
      </w:pPr>
      <w:r>
        <w:rPr>
          <w:rFonts w:ascii="Arial" w:hAnsi="Arial" w:eastAsia="Arial"/>
          <w:b/>
          <w:color w:val="2E74B5"/>
          <w:sz w:val="26"/>
        </w:rPr>
        <w:t>Final decision</w:t>
      </w:r>
    </w:p>
    <w:p>
      <w:r>
        <w:rPr>
          <w:rFonts w:ascii="Arial" w:hAnsi="Arial" w:eastAsia="Arial"/>
          <w:color w:val="111111"/>
          <w:sz w:val="22"/>
        </w:rPr>
        <w:t>The best broad-market sequence is LedgerLab first and GroundedOps second. Together, they show that you can build dependable software and use AI responsibly without forcing every technology into one artificial system.</w:t>
      </w:r>
    </w:p>
    <w:p>
      <w:pPr>
        <w:pStyle w:val="Heading2"/>
        <w:keepNext/>
        <w:pageBreakBefore w:val="0"/>
      </w:pPr>
      <w:r>
        <w:rPr>
          <w:rFonts w:ascii="Arial" w:hAnsi="Arial" w:eastAsia="Arial"/>
          <w:b/>
          <w:color w:val="2E74B5"/>
          <w:sz w:val="26"/>
        </w:rPr>
        <w:t>Source postings reviewed</w:t>
      </w:r>
    </w:p>
    <w:p>
      <w:pPr>
        <w:spacing w:after="40" w:line="240" w:lineRule="auto"/>
        <w:ind w:left="259"/>
      </w:pPr>
      <w:hyperlink r:id="rId11">
        <w:r>
          <w:rPr>
            <w:rFonts w:ascii="Arial" w:hAnsi="Arial"/>
            <w:color w:val="2E74B5"/>
            <w:u w:val="single"/>
            <w:sz w:val="19"/>
          </w:rPr>
          <w:t>Helic &amp; Co - Junior Software Developer</w:t>
        </w:r>
      </w:hyperlink>
    </w:p>
    <w:p>
      <w:pPr>
        <w:spacing w:after="40" w:line="240" w:lineRule="auto"/>
        <w:ind w:left="259"/>
      </w:pPr>
      <w:hyperlink r:id="rId12">
        <w:r>
          <w:rPr>
            <w:rFonts w:ascii="Arial" w:hAnsi="Arial"/>
            <w:color w:val="2E74B5"/>
            <w:u w:val="single"/>
            <w:sz w:val="19"/>
          </w:rPr>
          <w:t>Scotiabank - Junior Software Engineer</w:t>
        </w:r>
      </w:hyperlink>
    </w:p>
    <w:p>
      <w:pPr>
        <w:spacing w:after="40" w:line="240" w:lineRule="auto"/>
        <w:ind w:left="259"/>
      </w:pPr>
      <w:hyperlink r:id="rId13">
        <w:r>
          <w:rPr>
            <w:rFonts w:ascii="Arial" w:hAnsi="Arial"/>
            <w:color w:val="2E74B5"/>
            <w:u w:val="single"/>
            <w:sz w:val="19"/>
          </w:rPr>
          <w:t>Stripe - Software Engineer, New Grad</w:t>
        </w:r>
      </w:hyperlink>
    </w:p>
    <w:p>
      <w:pPr>
        <w:spacing w:after="40" w:line="240" w:lineRule="auto"/>
        <w:ind w:left="259"/>
      </w:pPr>
      <w:hyperlink r:id="rId14">
        <w:r>
          <w:rPr>
            <w:rFonts w:ascii="Arial" w:hAnsi="Arial"/>
            <w:color w:val="2E74B5"/>
            <w:u w:val="single"/>
            <w:sz w:val="19"/>
          </w:rPr>
          <w:t>BMO - Software Developer, New or Recent Graduate</w:t>
        </w:r>
      </w:hyperlink>
    </w:p>
    <w:p>
      <w:pPr>
        <w:spacing w:after="40" w:line="240" w:lineRule="auto"/>
        <w:ind w:left="259"/>
      </w:pPr>
      <w:hyperlink r:id="rId15">
        <w:r>
          <w:rPr>
            <w:rFonts w:ascii="Arial" w:hAnsi="Arial"/>
            <w:color w:val="2E74B5"/>
            <w:u w:val="single"/>
            <w:sz w:val="19"/>
          </w:rPr>
          <w:t>Magical - New Grad Software Engineer</w:t>
        </w:r>
      </w:hyperlink>
    </w:p>
    <w:p>
      <w:pPr>
        <w:spacing w:after="40" w:line="240" w:lineRule="auto"/>
        <w:ind w:left="259"/>
      </w:pPr>
      <w:hyperlink r:id="rId16">
        <w:r>
          <w:rPr>
            <w:rFonts w:ascii="Arial" w:hAnsi="Arial"/>
            <w:color w:val="2E74B5"/>
            <w:u w:val="single"/>
            <w:sz w:val="19"/>
          </w:rPr>
          <w:t>Applied Systems - Associate AI Engineer / AI Engineer</w:t>
        </w:r>
      </w:hyperlink>
    </w:p>
    <w:p>
      <w:pPr>
        <w:spacing w:after="40" w:line="240" w:lineRule="auto"/>
        <w:ind w:left="259"/>
      </w:pPr>
      <w:hyperlink r:id="rId17">
        <w:r>
          <w:rPr>
            <w:rFonts w:ascii="Arial" w:hAnsi="Arial"/>
            <w:color w:val="2E74B5"/>
            <w:u w:val="single"/>
            <w:sz w:val="19"/>
          </w:rPr>
          <w:t>Symplistic.ai - AI Software Developer</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eastAsia="Arial"/>
        <w:color w:val="5C6670"/>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Arial" w:hAnsi="Arial" w:eastAsia="Arial"/>
        <w:b/>
        <w:color w:val="5C6670"/>
        <w:sz w:val="17"/>
      </w:rPr>
      <w:t>PORTFOLIO PROJECT STRATEGY</w:t>
    </w:r>
    <w:r>
      <w:rPr>
        <w:rFonts w:ascii="Arial" w:hAnsi="Arial" w:eastAsia="Arial"/>
        <w:color w:val="5C6670"/>
        <w:sz w:val="17"/>
      </w:rPr>
      <w:tab/>
      <w:t>Decision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spacing w:after="160" w:line="280" w:lineRule="auto"/>
      </w:pPr>
      <w:rPr>
        <w:rFonts w:ascii="Arial" w:hAnsi="Arial"/>
      </w:rPr>
    </w:lvl>
  </w:abstract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Arial" w:hAnsi="Arial" w:eastAsia="Arial"/>
      <w:b w:val="0"/>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40" w:lineRule="auto"/>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40" w:lineRule="auto"/>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40" w:lineRule="auto"/>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inkedin.com/jobs/view/4452464549/" TargetMode="External"/><Relationship Id="rId12" Type="http://schemas.openxmlformats.org/officeDocument/2006/relationships/hyperlink" Target="https://www.linkedin.com/jobs/view/4444604369/" TargetMode="External"/><Relationship Id="rId13" Type="http://schemas.openxmlformats.org/officeDocument/2006/relationships/hyperlink" Target="https://www.linkedin.com/jobs/view/4427645247/" TargetMode="External"/><Relationship Id="rId14" Type="http://schemas.openxmlformats.org/officeDocument/2006/relationships/hyperlink" Target="https://www.linkedin.com/jobs/view/4447208550/" TargetMode="External"/><Relationship Id="rId15" Type="http://schemas.openxmlformats.org/officeDocument/2006/relationships/hyperlink" Target="https://www.linkedin.com/jobs/view/4439581522/" TargetMode="External"/><Relationship Id="rId16" Type="http://schemas.openxmlformats.org/officeDocument/2006/relationships/hyperlink" Target="https://www.linkedin.com/jobs/view/4437587249/" TargetMode="External"/><Relationship Id="rId17" Type="http://schemas.openxmlformats.org/officeDocument/2006/relationships/hyperlink" Target="https://www.linkedin.com/jobs/view/44334679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Project Strategy</dc:title>
  <dc:subject>Two focused project ideas based on software and AI engineering job postings</dc:subject>
  <dc:creator/>
  <cp:keywords>portfolio, software engineering, AI engineering, project strategy</cp:keywords>
  <dc:description>generated by python-docx</dc:description>
  <cp:lastModifiedBy/>
  <cp:revision>1</cp:revision>
  <dcterms:created xsi:type="dcterms:W3CDTF">2013-12-23T23:15:00Z</dcterms:created>
  <dcterms:modified xsi:type="dcterms:W3CDTF">2013-12-23T23:15:00Z</dcterms:modified>
  <cp:category/>
</cp:coreProperties>
</file>