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i w:val="0"/>
          <w:color w:val="315F82"/>
          <w:sz w:val="18"/>
        </w:rPr>
        <w:t>PRODUCT DESIGN SPECIFICATION</w:t>
      </w:r>
    </w:p>
    <w:p>
      <w:pPr>
        <w:pStyle w:val="Title"/>
        <w:keepNext/>
      </w:pPr>
      <w:r>
        <w:rPr>
          <w:rFonts w:ascii="Calibri" w:hAnsi="Calibri"/>
          <w:b/>
          <w:i w:val="0"/>
          <w:color w:val="132438"/>
          <w:sz w:val="52"/>
        </w:rPr>
        <w:t>RoleImpact Low-Fidelity Wireframes</w:t>
      </w:r>
    </w:p>
    <w:p>
      <w:pPr>
        <w:pStyle w:val="Subtitle"/>
      </w:pPr>
      <w:r>
        <w:rPr>
          <w:rFonts w:ascii="Calibri" w:hAnsi="Calibri"/>
          <w:b w:val="0"/>
          <w:i w:val="0"/>
          <w:color w:val="5F6B78"/>
          <w:sz w:val="26"/>
        </w:rPr>
        <w:t>Six-screen interaction model for the Access Change Impact Simulator</w:t>
      </w:r>
    </w:p>
    <w:p>
      <w:pPr>
        <w:spacing w:after="40"/>
      </w:pPr>
      <w:r>
        <w:rPr>
          <w:rFonts w:ascii="Calibri" w:hAnsi="Calibri"/>
          <w:b/>
          <w:i w:val="0"/>
          <w:color w:val="132438"/>
          <w:sz w:val="20"/>
        </w:rPr>
        <w:t xml:space="preserve">Version: </w:t>
      </w:r>
      <w:r>
        <w:rPr>
          <w:rFonts w:ascii="Calibri" w:hAnsi="Calibri"/>
          <w:b w:val="0"/>
          <w:i w:val="0"/>
          <w:color w:val="132438"/>
          <w:sz w:val="20"/>
        </w:rPr>
        <w:t>v1.0</w:t>
      </w:r>
    </w:p>
    <w:p>
      <w:pPr>
        <w:spacing w:after="40"/>
      </w:pPr>
      <w:r>
        <w:rPr>
          <w:rFonts w:ascii="Calibri" w:hAnsi="Calibri"/>
          <w:b/>
          <w:i w:val="0"/>
          <w:color w:val="132438"/>
          <w:sz w:val="20"/>
        </w:rPr>
        <w:t xml:space="preserve">Date: </w:t>
      </w:r>
      <w:r>
        <w:rPr>
          <w:rFonts w:ascii="Calibri" w:hAnsi="Calibri"/>
          <w:b w:val="0"/>
          <w:i w:val="0"/>
          <w:color w:val="132438"/>
          <w:sz w:val="20"/>
        </w:rPr>
        <w:t>August 12, 2026</w:t>
      </w:r>
    </w:p>
    <w:p>
      <w:pPr>
        <w:spacing w:after="40"/>
      </w:pPr>
      <w:r>
        <w:rPr>
          <w:rFonts w:ascii="Calibri" w:hAnsi="Calibri"/>
          <w:b/>
          <w:i w:val="0"/>
          <w:color w:val="132438"/>
          <w:sz w:val="20"/>
        </w:rPr>
        <w:t xml:space="preserve">Status: </w:t>
      </w:r>
      <w:r>
        <w:rPr>
          <w:rFonts w:ascii="Calibri" w:hAnsi="Calibri"/>
          <w:b w:val="0"/>
          <w:i w:val="0"/>
          <w:color w:val="132438"/>
          <w:sz w:val="20"/>
        </w:rPr>
        <w:t>Approved PRD converted into build-ready screen structure</w:t>
      </w:r>
    </w:p>
    <w:p>
      <w:pPr>
        <w:spacing w:before="160" w:after="240"/>
        <w:pBdr>
          <w:bottom w:val="single" w:sz="20" w:space="7" w:color="315F82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0F5" w:val="clear"/>
            <w:tcBorders>
              <w:start w:val="single" w:sz="26" w:color="315F82"/>
            </w:tcBorders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315F82"/>
                <w:sz w:val="21"/>
              </w:rPr>
              <w:t xml:space="preserve">Design intent: </w:t>
            </w:r>
            <w:r>
              <w:rPr>
                <w:rFonts w:ascii="Calibri" w:hAnsi="Calibri"/>
                <w:b w:val="0"/>
                <w:i w:val="0"/>
                <w:color w:val="132438"/>
                <w:sz w:val="21"/>
              </w:rPr>
              <w:t>Business consequences lead; relationship graphs support the explanation. Every destructive-looking action is explicitly framed as a read-only simulation against Harborline Commerce baseline v1.</w:t>
            </w:r>
          </w:p>
        </w:tc>
      </w:tr>
    </w:tbl>
    <w:p>
      <w:pPr>
        <w:spacing w:after="20"/>
      </w:pPr>
    </w:p>
    <w:p>
      <w:pPr>
        <w:pStyle w:val="Heading1"/>
      </w:pPr>
      <w:r>
        <w:t>1. Experience model</w:t>
      </w:r>
    </w:p>
    <w:p>
      <w:r>
        <w:rPr>
          <w:rFonts w:ascii="Calibri" w:hAnsi="Calibri"/>
          <w:b/>
          <w:i w:val="0"/>
          <w:color w:val="132438"/>
          <w:sz w:val="21"/>
        </w:rPr>
        <w:t xml:space="preserve">Primary path: </w:t>
      </w:r>
      <w:r>
        <w:rPr>
          <w:rFonts w:ascii="Calibri" w:hAnsi="Calibri"/>
          <w:b w:val="0"/>
          <w:i w:val="0"/>
          <w:color w:val="132438"/>
          <w:sz w:val="21"/>
        </w:rPr>
        <w:t>Dashboard → New Simulation → Review Proposal → Run Analysis → Results → Test Recommendation → Save Scenario</w:t>
      </w:r>
    </w:p>
    <w:p>
      <w:pPr>
        <w:pStyle w:val="Heading2"/>
      </w:pPr>
      <w:r>
        <w:t>Interaction decisions locked for implementation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32438"/>
          <w:sz w:val="20"/>
        </w:rPr>
        <w:t>Use one persistent product shell: Dashboard, Explorer, and Simulations. Entity details and results are contextual views within that shell.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32438"/>
          <w:sz w:val="20"/>
        </w:rPr>
        <w:t>Keep New Simulation to one focused page with three visible steps and an explicit safe-simulation notice.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32438"/>
          <w:sz w:val="20"/>
        </w:rPr>
        <w:t>Place Business Impact before Technical Impact on Results; the graph follows the human-readable explanation path.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32438"/>
          <w:sz w:val="20"/>
        </w:rPr>
        <w:t>Treat Test This Recommendation as part of the public MVP demo because it completes the approved user story and proves scenario isolation.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32438"/>
          <w:sz w:val="20"/>
        </w:rPr>
        <w:t>Defer report export to the next milestone; keep Save Scenario in the MVP and preserve the report API boundary for later.</w:t>
      </w:r>
    </w:p>
    <w:p>
      <w:pPr>
        <w:pStyle w:val="Heading2"/>
      </w:pPr>
      <w:r>
        <w:t>Responsive behavior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32438"/>
          <w:sz w:val="20"/>
        </w:rPr>
        <w:t>Primary design target: 1280–1440 px laptop. At 736 px, the side navigation becomes a horizontal band and content stacks. At 360 px, all cards become single-column; the graph remains scrollable and the written conclusion remains complete.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32438"/>
          <w:sz w:val="20"/>
        </w:rPr>
        <w:t>Mobile is not a core MVP requirement, but narrow layouts must not clip actions or hide the textual graph equivalent.</w:t>
      </w:r>
    </w:p>
    <w:p>
      <w:r>
        <w:br w:type="page"/>
      </w:r>
    </w:p>
    <w:p>
      <w:pPr>
        <w:pStyle w:val="Heading1"/>
      </w:pPr>
      <w:r>
        <w:t>1. Dashboard</w:t>
      </w:r>
    </w:p>
    <w:p>
      <w:r>
        <w:drawing>
          <wp:inline xmlns:a="http://schemas.openxmlformats.org/drawingml/2006/main" xmlns:pic="http://schemas.openxmlformats.org/drawingml/2006/picture">
            <wp:extent cx="5870448" cy="3995166"/>
            <wp:docPr id="1" name="Picture 1" title="RoleImpact Dashboard wireframe" descr="Show organizational health, existing fragility, and recent scenario evidence before the user starts a simul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99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Calibri" w:hAnsi="Calibri"/>
          <w:b w:val="0"/>
          <w:i/>
          <w:color w:val="5F6B78"/>
          <w:sz w:val="17"/>
        </w:rPr>
        <w:t>Wireframe 1 — Dashboard (low fidelity; layout and hierarchy only)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Show organizational health, existing fragility, and recent scenario evidence before the user starts a simulation.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Primary action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New Simulation.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Core data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Entity counts, workflow statuses, single-person dependencies, recent simulations.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Key behavior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Workflow and dependency rows open focused Explorer views; recent scenarios open saved Results.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States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Loading skeletons, empty history, organization-load failure, no existing dependency risk.</w:t>
            </w:r>
          </w:p>
        </w:tc>
      </w:tr>
    </w:tbl>
    <w:p>
      <w:r>
        <w:br w:type="page"/>
      </w:r>
    </w:p>
    <w:p>
      <w:pPr>
        <w:pStyle w:val="Heading1"/>
      </w:pPr>
      <w:r>
        <w:t>2. Organization Explorer</w:t>
      </w:r>
    </w:p>
    <w:p>
      <w:r>
        <w:drawing>
          <wp:inline xmlns:a="http://schemas.openxmlformats.org/drawingml/2006/main" xmlns:pic="http://schemas.openxmlformats.org/drawingml/2006/picture">
            <wp:extent cx="5870448" cy="3995166"/>
            <wp:docPr id="2" name="Picture 2" title="RoleImpact Organization Explorer wireframe" descr="Search entities and understand the relationship chain around an employee, role, app, permission, or workfl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r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99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Calibri" w:hAnsi="Calibri"/>
          <w:b w:val="0"/>
          <w:i/>
          <w:color w:val="5F6B78"/>
          <w:sz w:val="17"/>
        </w:rPr>
        <w:t>Wireframe 2 — Organization Explorer (low fidelity; layout and hierarchy only)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Search entities and understand the relationship chain around an employee, role, app, permission, or workflow.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Primary action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Open full details or begin a contextual simulation.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Core data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Filterable entity list, affected-path graph, selected entity summary.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Key behavior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Selecting a node updates the side panel; default graph is filtered to decision-relevant paths.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Accessibility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The side panel and ordered relationship list provide the same information as the graph.</w:t>
            </w:r>
          </w:p>
        </w:tc>
      </w:tr>
    </w:tbl>
    <w:p>
      <w:r>
        <w:br w:type="page"/>
      </w:r>
    </w:p>
    <w:p>
      <w:pPr>
        <w:pStyle w:val="Heading1"/>
      </w:pPr>
      <w:r>
        <w:t>3. Entity Details</w:t>
      </w:r>
    </w:p>
    <w:p>
      <w:r>
        <w:drawing>
          <wp:inline xmlns:a="http://schemas.openxmlformats.org/drawingml/2006/main" xmlns:pic="http://schemas.openxmlformats.org/drawingml/2006/picture">
            <wp:extent cx="5870448" cy="3995166"/>
            <wp:docPr id="3" name="Picture 3" title="RoleImpact Entity Details wireframe" descr="Explain current effective access and business coverage before the user proposes a chan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99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Calibri" w:hAnsi="Calibri"/>
          <w:b w:val="0"/>
          <w:i/>
          <w:color w:val="5F6B78"/>
          <w:sz w:val="17"/>
        </w:rPr>
        <w:t>Wireframe 3 — Entity Details (low fidelity; layout and hierarchy only)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Explain current effective access and business coverage before the user proposes a change.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Primary action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Simulate a Change with the entity preselected.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Core data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Status, team, region, shift, roles, effective permissions, applications, workflow steps, access origins.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Key behavior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Tabs switch access perspectives; every effective permission can reveal its role-assignment origin.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States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Inactive employee, no effective access, conflicting data marked inconclusive.</w:t>
            </w:r>
          </w:p>
        </w:tc>
      </w:tr>
    </w:tbl>
    <w:p>
      <w:r>
        <w:br w:type="page"/>
      </w:r>
    </w:p>
    <w:p>
      <w:pPr>
        <w:pStyle w:val="Heading1"/>
      </w:pPr>
      <w:r>
        <w:t>4. New Simulation</w:t>
      </w:r>
    </w:p>
    <w:p>
      <w:r>
        <w:drawing>
          <wp:inline xmlns:a="http://schemas.openxmlformats.org/drawingml/2006/main" xmlns:pic="http://schemas.openxmlformats.org/drawingml/2006/picture">
            <wp:extent cx="5870448" cy="3995166"/>
            <wp:docPr id="4" name="Picture 4" title="RoleImpact New Simulation wireframe" descr="Collect one supported change and let the reviewer confirm the exact current-state relationships before analys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99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Calibri" w:hAnsi="Calibri"/>
          <w:b w:val="0"/>
          <w:i/>
          <w:color w:val="5F6B78"/>
          <w:sz w:val="17"/>
        </w:rPr>
        <w:t>Wireframe 4 — New Simulation (low fidelity; layout and hierarchy only)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Collect one supported change and let the reviewer confirm the exact current-state relationships before analysis.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Primary action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Run Impact Analysis.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Change types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Offboard employee; Revoke role from employee; Remove permission from role.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Validation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Targets must exist in baseline v1; role must be assigned; permission must belong to the selected role; contradictory input returns a field error.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Safety cue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Persistent statement that the baseline is immutable and no real access is modified.</w:t>
            </w:r>
          </w:p>
        </w:tc>
      </w:tr>
    </w:tbl>
    <w:p>
      <w:r>
        <w:br w:type="page"/>
      </w:r>
    </w:p>
    <w:p>
      <w:pPr>
        <w:pStyle w:val="Heading1"/>
      </w:pPr>
      <w:r>
        <w:t>5. Simulation Results</w:t>
      </w:r>
    </w:p>
    <w:p>
      <w:r>
        <w:drawing>
          <wp:inline xmlns:a="http://schemas.openxmlformats.org/drawingml/2006/main" xmlns:pic="http://schemas.openxmlformats.org/drawingml/2006/picture">
            <wp:extent cx="5870448" cy="3995166"/>
            <wp:docPr id="5" name="Picture 5" title="RoleImpact Simulation Results wireframe" descr="Support an approve/reject/revise decision with a plain-language verdict and traceable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99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Calibri" w:hAnsi="Calibri"/>
          <w:b w:val="0"/>
          <w:i/>
          <w:color w:val="5F6B78"/>
          <w:sz w:val="17"/>
        </w:rPr>
        <w:t>Wireframe 5 — Simulation Results (low fidelity; layout and hierarchy only)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Support an approve/reject/revise decision with a plain-language verdict and traceable evidence.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Primary action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Test This Recommendation; Save Scenario is secondary.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Hierarchy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Verdict → business impact → explanation path → focused graph → technical impact → safe mitigation.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Graph semantics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Unchanged relationships are neutral; removed relationships are dashed red; blocked/degraded conclusions are labeled in text.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No recommendation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Show unmet constraints and state that no safe automatic recommendation exists.</w:t>
            </w:r>
          </w:p>
        </w:tc>
      </w:tr>
    </w:tbl>
    <w:p>
      <w:r>
        <w:br w:type="page"/>
      </w:r>
    </w:p>
    <w:p>
      <w:pPr>
        <w:pStyle w:val="Heading1"/>
      </w:pPr>
      <w:r>
        <w:t>6. Scenario History</w:t>
      </w:r>
    </w:p>
    <w:p>
      <w:r>
        <w:drawing>
          <wp:inline xmlns:a="http://schemas.openxmlformats.org/drawingml/2006/main" xmlns:pic="http://schemas.openxmlformats.org/drawingml/2006/picture">
            <wp:extent cx="5870448" cy="3995166"/>
            <wp:docPr id="6" name="Picture 6" title="RoleImpact Scenario History wireframe" descr="Preserve audit evidence and reopen original or recommendation-test branch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99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Calibri" w:hAnsi="Calibri"/>
          <w:b w:val="0"/>
          <w:i/>
          <w:color w:val="5F6B78"/>
          <w:sz w:val="17"/>
        </w:rPr>
        <w:t>Wireframe 6 — Scenario History (low fidelity; layout and hierarchy only)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Preserve audit evidence and reopen original or recommendation-test branches.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Primary action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Open a saved result; New Simulation remains available.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Core data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Name, change, target, verdict, branch count, run timestamp, optional reviewer notes.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Key behavior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Reopen is P0; duplicate and compare can follow after the first complete vertical slice.</w:t>
            </w:r>
          </w:p>
        </w:tc>
      </w:tr>
      <w:tr>
        <w:trPr>
          <w:cantSplit/>
        </w:trPr>
        <w:tc>
          <w:tcPr>
            <w:tcW w:type="dxa" w:w="1800"/>
            <w:shd w:fill="E9F0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/>
                <w:i w:val="0"/>
                <w:color w:val="234963"/>
                <w:sz w:val="18"/>
              </w:rPr>
              <w:t>Empty state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Explain what gets saved and offer New Simulation.</w:t>
            </w:r>
          </w:p>
        </w:tc>
      </w:tr>
    </w:tbl>
    <w:p>
      <w:r>
        <w:br w:type="page"/>
      </w:r>
    </w:p>
    <w:p>
      <w:pPr>
        <w:pStyle w:val="Heading1"/>
      </w:pPr>
      <w:r>
        <w:t>7. Cross-screen states and acceptance notes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  <w:shd w:fill="E9F0F5" w:val="clear"/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/>
                <w:i w:val="0"/>
                <w:color w:val="132438"/>
                <w:sz w:val="18"/>
              </w:rPr>
              <w:t>State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  <w:shd w:fill="E9F0F5" w:val="clear"/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/>
                <w:i w:val="0"/>
                <w:color w:val="132438"/>
                <w:sz w:val="18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Loading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Use local skeletons; retain screen heading and do not replace results with a full-page spinner.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Invalid 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Return an inconclusive analysis with the invalid entity/rule IDs. Never infer missing organizational facts.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No material impact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Show severity Low or None, preserve the technical diff, and state that workflows remain operational.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No recommendation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List unmet prerequisites and explain why every candidate was excluded.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Save conflict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Scenario result is immutable; name and reviewer notes may be updated with optimistic concurrency.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Graph fallback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D6DDE4"/>
              <w:start w:val="single" w:sz="5" w:space="0" w:color="D6DDE4"/>
              <w:bottom w:val="single" w:sz="5" w:space="0" w:color="D6DDE4"/>
              <w:end w:val="single" w:sz="5" w:space="0" w:color="D6DDE4"/>
            </w:tcBorders>
          </w:tcPr>
          <w:p>
            <w:pPr>
              <w:spacing w:before="0" w:after="0" w:line="254" w:lineRule="auto"/>
            </w:pPr>
            <w:r>
              <w:rPr>
                <w:rFonts w:ascii="Calibri" w:hAnsi="Calibri"/>
                <w:b w:val="0"/>
                <w:i w:val="0"/>
                <w:color w:val="132438"/>
                <w:sz w:val="18"/>
              </w:rPr>
              <w:t>Every graph has a textual relationship path and impact list for keyboard and screen-reader use.</w:t>
            </w:r>
          </w:p>
        </w:tc>
      </w:tr>
    </w:tbl>
    <w:p>
      <w:pPr>
        <w:pStyle w:val="Heading2"/>
      </w:pPr>
      <w:r>
        <w:t>Screen-level acceptance checklist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32438"/>
          <w:sz w:val="20"/>
        </w:rPr>
        <w:t>Primary Priya Sharma scenario can be completed in under three minutes without documentation.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32438"/>
          <w:sz w:val="20"/>
        </w:rPr>
        <w:t>Each screen has visible focus, keyboard-reachable controls, and a meaningful page heading.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32438"/>
          <w:sz w:val="20"/>
        </w:rPr>
        <w:t>No simulation action changes baseline data; baseline version is visible at proposal and result time.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32438"/>
          <w:sz w:val="20"/>
        </w:rPr>
        <w:t>Results remain understandable with the graph hidden.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32438"/>
          <w:sz w:val="20"/>
        </w:rPr>
        <w:t>At common laptop widths, no key control or result requires horizontal page scrolling.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8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/>
        <w:i w:val="0"/>
        <w:color w:val="5F6B78"/>
        <w:sz w:val="17"/>
      </w:rPr>
      <w:t xml:space="preserve">ROLEIMPACT  •  </w:t>
    </w:r>
    <w:r>
      <w:rPr>
        <w:rFonts w:ascii="Calibri" w:hAnsi="Calibri"/>
        <w:b w:val="0"/>
        <w:i w:val="0"/>
        <w:color w:val="5F6B78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7" w:color="D6DDE4"/>
      </w:pBdr>
    </w:pPr>
    <w:r>
      <w:rPr>
        <w:rFonts w:ascii="Calibri" w:hAnsi="Calibri"/>
        <w:b/>
        <w:i w:val="0"/>
        <w:color w:val="5F6B78"/>
        <w:sz w:val="17"/>
      </w:rPr>
      <w:t>ROLEIMPACT — LOW-FIDELITY WIREFRAMES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324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15F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15F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349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324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F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RoleImpact Low-Fidelity Wireframes v1.0</dc:title>
  <dc:subject>RoleImpact product design</dc:subject>
  <dc:creator>RoleImpact project</dc:creator>
  <cp:keywords>RoleImpact, wireframes, technical design, access impact simulator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