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color w:val="1F4E79"/>
        </w:rPr>
        <w:t>Flowchart-Aligned Research Brief for Claude</w:t>
      </w:r>
    </w:p>
    <w:p>
      <w:pPr>
        <w:spacing w:after="40"/>
        <w:jc w:val="center"/>
      </w:pPr>
      <w:r>
        <w:rPr>
          <w:b/>
          <w:sz w:val="26"/>
        </w:rPr>
        <w:t>Vehicle-Aware Dynamic Alternative Path Planning for Dhaka</w:t>
      </w:r>
    </w:p>
    <w:p>
      <w:pPr>
        <w:spacing w:after="160"/>
        <w:jc w:val="center"/>
      </w:pPr>
      <w:r>
        <w:rPr>
          <w:i/>
          <w:sz w:val="21"/>
        </w:rPr>
        <w:t>Revised to match the detailed combined supervisor flowchart more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Key instruction for Claude: </w:t>
            </w:r>
            <w:r>
              <w:t>if any prose sentence conflicts with the supervisor flowchart, the flowchart should be treated as the authoritative control logic.</w:t>
            </w:r>
          </w:p>
        </w:tc>
      </w:tr>
    </w:tbl>
    <w:p>
      <w:pPr>
        <w:spacing w:after="40"/>
      </w:pPr>
    </w:p>
    <w:p>
      <w:pPr>
        <w:pStyle w:val="Heading1"/>
        <w:spacing w:after="80"/>
      </w:pPr>
      <w:r>
        <w:rPr>
          <w:b w:val="0"/>
          <w:i w:val="0"/>
        </w:rPr>
        <w:t>1. Compliance verdict</w:t>
      </w:r>
    </w:p>
    <w:p>
      <w:pPr>
        <w:spacing w:after="100"/>
      </w:pPr>
      <w:r>
        <w:rPr>
          <w:b w:val="0"/>
          <w:i w:val="0"/>
        </w:rPr>
        <w:t>The earlier brief and prompt were directionally aligned with the research idea, but they did not mirror the detailed supervisor flowchart box-for-box. The main issue was compression: several control-logic decisions from the original improved-ACO flow were described at a high level instead of being kept explicit.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Area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Earlier brief / prompt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Needed to match the flowchart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Top-level initialization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Mostly present, but not fully ordered around the original boxes.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Keep separate boxes for loading data, computing R_i(t), validating S-D pairs, classifying edges, and defining category-wise access rules.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Step A: detailed improved-ACO loop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Partly compressed into generic “stable-state planning” language.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Explicitly preserve Phase 1 initial pathfinding, pool generation, dynamic monitoring, trigger condition, candidate newtour, accept/reject decision, traverse-next-segment, reached-endpoint check, and save-pair-result logic.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Step B: combined optimization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Present at a conceptual level.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Explicitly retain combined iterations, shared-edge frequency-based weight increase, per-pair rerun, pool-ranking updates, iteration statistics, and the stabilization threshold.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Step C: disruption response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Present at a conceptual level.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Explicitly retain detection of blocked edges, affected current positions, case-selection logic, case-wise comparison metrics, and post-event updates to pools plus network state.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b w:val="0"/>
          <w:i w:val="0"/>
        </w:rPr>
        <w:t>2. Flowchart-aligned workflow that Claude should follow</w:t>
      </w:r>
    </w:p>
    <w:p>
      <w:pPr>
        <w:pStyle w:val="Heading2"/>
        <w:spacing w:after="80"/>
      </w:pPr>
      <w:r>
        <w:rPr>
          <w:b w:val="0"/>
          <w:i w:val="0"/>
        </w:rPr>
        <w:t>2.1 Top-level initialization</w:t>
      </w:r>
    </w:p>
    <w:p>
      <w:pPr>
        <w:spacing w:after="40"/>
        <w:ind w:left="360"/>
      </w:pPr>
      <w:r>
        <w:t>• Load config, map data, S-D pairs, predefined bus corridors, and disruption priors.</w:t>
      </w:r>
    </w:p>
    <w:p>
      <w:pPr>
        <w:spacing w:after="40"/>
        <w:ind w:left="360"/>
      </w:pPr>
      <w:r>
        <w:t>• Compute initial road condition factors using R_i(t) = d_i × (1 + C_i).</w:t>
      </w:r>
    </w:p>
    <w:p>
      <w:pPr>
        <w:spacing w:after="40"/>
        <w:ind w:left="360"/>
      </w:pPr>
      <w:r>
        <w:t>• Validate S-D pairs and build vehicle-feasible graph(s).</w:t>
      </w:r>
    </w:p>
    <w:p>
      <w:pPr>
        <w:spacing w:after="40"/>
        <w:ind w:left="360"/>
      </w:pPr>
      <w:r>
        <w:t>• Classify each edge by road type (main / link / sub / mini), width, road condition, and historical fragility.</w:t>
      </w:r>
    </w:p>
    <w:p>
      <w:pPr>
        <w:spacing w:after="40"/>
        <w:ind w:left="360"/>
      </w:pPr>
      <w:r>
        <w:t>• Define category-wise access rules for truck, bus, private car / microbus, and rickshaw / van / bike.</w:t>
      </w:r>
    </w:p>
    <w:p>
      <w:pPr>
        <w:pStyle w:val="Heading2"/>
        <w:spacing w:after="80"/>
      </w:pPr>
      <w:r>
        <w:rPr>
          <w:b w:val="0"/>
          <w:i w:val="0"/>
        </w:rPr>
        <w:t>2.2 Step A: independent optimization plus steady-state pool preparation</w:t>
      </w:r>
    </w:p>
    <w:p>
      <w:pPr>
        <w:spacing w:after="80"/>
      </w:pPr>
      <w:r>
        <w:rPr>
          <w:b/>
        </w:rPr>
        <w:t>For each S-D pair and vehicle category, independently:</w:t>
      </w:r>
    </w:p>
    <w:p>
      <w:pPr>
        <w:spacing w:after="40"/>
        <w:ind w:left="360"/>
      </w:pPr>
      <w:r>
        <w:t>• Create a feasible subgraph after route-width and access filtering.</w:t>
      </w:r>
    </w:p>
    <w:p>
      <w:pPr>
        <w:spacing w:after="40"/>
        <w:ind w:left="360"/>
      </w:pPr>
      <w:r>
        <w:t>• Run Phase 1 initial pathfinding with improved ACO using fixed α, β, ρ and road-condition factor R_i(t) instead of only static distance wherever supported.</w:t>
      </w:r>
    </w:p>
    <w:p>
      <w:pPr>
        <w:spacing w:after="40"/>
        <w:ind w:left="360"/>
      </w:pPr>
      <w:r>
        <w:t>• Generate the initial stable besttour.</w:t>
      </w:r>
    </w:p>
    <w:p>
      <w:pPr>
        <w:spacing w:after="40"/>
        <w:ind w:left="360"/>
      </w:pPr>
      <w:r>
        <w:t>• Generate a pair-level pool P(s,d,v) of exactly five feasible alternative paths, ranked from best to worst.</w:t>
      </w:r>
    </w:p>
    <w:p>
      <w:pPr>
        <w:spacing w:after="40"/>
        <w:ind w:left="360"/>
      </w:pPr>
      <w:r>
        <w:t>• Perform dynamic monitoring over time: update R_i(t), local congestion, and pool feasibility.</w:t>
      </w:r>
    </w:p>
    <w:p>
      <w:pPr>
        <w:spacing w:after="40"/>
        <w:ind w:left="360"/>
      </w:pPr>
      <w:r>
        <w:t>• Apply the trigger condition explicitly: a threshold change in ΔR_i, a blocked edge, or infeasibility of the current besttour / pooled candidates.</w:t>
      </w:r>
    </w:p>
    <w:p>
      <w:pPr>
        <w:spacing w:after="40"/>
        <w:ind w:left="360"/>
      </w:pPr>
      <w:r>
        <w:t>• If there is no trigger, proceed on the existing besttour and keep the current pool order.</w:t>
      </w:r>
    </w:p>
    <w:p>
      <w:pPr>
        <w:spacing w:after="40"/>
        <w:ind w:left="360"/>
      </w:pPr>
      <w:r>
        <w:t>• If there is a trigger, re-plan on the vehicle-feasible graph and/or query the pool, then compute a candidate newtour.</w:t>
      </w:r>
    </w:p>
    <w:p>
      <w:pPr>
        <w:spacing w:after="40"/>
        <w:ind w:left="360"/>
      </w:pPr>
      <w:r>
        <w:t>• Evaluate whether the newtour is better and still feasible; preserve category constraints and the original cost-so-far logic rather than replacing it with a vague summary.</w:t>
      </w:r>
    </w:p>
    <w:p>
      <w:pPr>
        <w:spacing w:after="40"/>
        <w:ind w:left="360"/>
      </w:pPr>
      <w:r>
        <w:t>• If accepted, update the besttour, update the pool ranking, and update the running path-cost state.</w:t>
      </w:r>
    </w:p>
    <w:p>
      <w:pPr>
        <w:spacing w:after="40"/>
        <w:ind w:left="360"/>
      </w:pPr>
      <w:r>
        <w:t>• Traverse the next road segment along the selected tour, check whether the endpoint is reached, and then save the pair result with stable route, pair-level pool, and metadata.</w:t>
      </w:r>
    </w:p>
    <w:p>
      <w:pPr>
        <w:pStyle w:val="Heading2"/>
        <w:spacing w:after="80"/>
      </w:pPr>
      <w:r>
        <w:rPr>
          <w:b w:val="0"/>
          <w:i w:val="0"/>
        </w:rPr>
        <w:t>2.3 Step B: combined route optimization plus network-level pool</w:t>
      </w:r>
    </w:p>
    <w:p>
      <w:pPr>
        <w:spacing w:after="40"/>
        <w:ind w:left="360"/>
      </w:pPr>
      <w:r>
        <w:t>• If combined_opt is enabled, iterate over combined iteration k.</w:t>
      </w:r>
    </w:p>
    <w:p>
      <w:pPr>
        <w:spacing w:after="40"/>
        <w:ind w:left="360"/>
      </w:pPr>
      <w:r>
        <w:t>• Apply aggregate traffic on shared edges using frequency-based weight increase while keeping category restrictions active.</w:t>
      </w:r>
    </w:p>
    <w:p>
      <w:pPr>
        <w:spacing w:after="40"/>
        <w:ind w:left="360"/>
      </w:pPr>
      <w:r>
        <w:t>• For each S-D pair, rerun the single-pair logic as needed and update pair-pool ranking if the ranking changes.</w:t>
      </w:r>
    </w:p>
    <w:p>
      <w:pPr>
        <w:spacing w:after="40"/>
        <w:ind w:left="360"/>
      </w:pPr>
      <w:r>
        <w:t>• Compute iteration statistics including avg_cost, cost_change %, route_changes, and pool_changes.</w:t>
      </w:r>
    </w:p>
    <w:p>
      <w:pPr>
        <w:spacing w:after="40"/>
        <w:ind w:left="360"/>
      </w:pPr>
      <w:r>
        <w:t>• Continue until the stability test is satisfied, with cost_change below the configured threshold (5% by default).</w:t>
      </w:r>
    </w:p>
    <w:p>
      <w:pPr>
        <w:spacing w:after="40"/>
        <w:ind w:left="360"/>
      </w:pPr>
      <w:r>
        <w:t>• Save the combined stable network, shared-edge usage, and network-level pool information.</w:t>
      </w:r>
    </w:p>
    <w:p>
      <w:pPr>
        <w:pStyle w:val="Heading2"/>
        <w:spacing w:after="80"/>
      </w:pPr>
      <w:r>
        <w:rPr>
          <w:b w:val="0"/>
          <w:i w:val="0"/>
        </w:rPr>
        <w:t>2.4 Step C: online disruption response and case comparison</w:t>
      </w:r>
    </w:p>
    <w:p>
      <w:pPr>
        <w:spacing w:after="40"/>
        <w:ind w:left="360"/>
      </w:pPr>
      <w:r>
        <w:t>• Real-time monitoring must detect sudden block, broken link, protest, or emergency closure.</w:t>
      </w:r>
    </w:p>
    <w:p>
      <w:pPr>
        <w:spacing w:after="40"/>
        <w:ind w:left="360"/>
      </w:pPr>
      <w:r>
        <w:t>• Identify the blocked edge(s), all affected S-D pairs, affected current positions, and vehicle category.</w:t>
      </w:r>
    </w:p>
    <w:p>
      <w:pPr>
        <w:spacing w:after="40"/>
        <w:ind w:left="360"/>
      </w:pPr>
      <w:r>
        <w:t>• Run Case 1: source-based reroute after removing blocked edge(s) from the feasible graph.</w:t>
      </w:r>
    </w:p>
    <w:p>
      <w:pPr>
        <w:spacing w:after="40"/>
        <w:ind w:left="360"/>
      </w:pPr>
      <w:r>
        <w:t>• Run Case 2: current-position reroute after increasing weights around the blocked / congested area.</w:t>
      </w:r>
    </w:p>
    <w:p>
      <w:pPr>
        <w:spacing w:after="40"/>
        <w:ind w:left="360"/>
      </w:pPr>
      <w:r>
        <w:t>• Run Case 3: proposed pool-based reroute using the precomputed pool, removing infeasible pooled paths, selecting the best remaining candidate, and repairing or refreshing the pool only if needed.</w:t>
      </w:r>
    </w:p>
    <w:p>
      <w:pPr>
        <w:spacing w:after="40"/>
        <w:ind w:left="360"/>
      </w:pPr>
      <w:r>
        <w:t>• Compare Cases 1, 2, and 3 by online reroute iterations, online computation time, computation-power / energy proxy, reroute success, and final path cost.</w:t>
      </w:r>
    </w:p>
    <w:p>
      <w:pPr>
        <w:spacing w:after="40"/>
        <w:ind w:left="360"/>
      </w:pPr>
      <w:r>
        <w:t>• Treat the expected benefit of Case 3 as a hypothesis to be validated experimentally, not as a completed result.</w:t>
      </w:r>
    </w:p>
    <w:p>
      <w:pPr>
        <w:spacing w:after="40"/>
        <w:ind w:left="360"/>
      </w:pPr>
      <w:r>
        <w:t>• After the disruption event, update pair-level pools and the combined network state, then save final stabilized routes, updated pools, and the comparison report.</w:t>
      </w:r>
    </w:p>
    <w:p>
      <w:pPr>
        <w:pStyle w:val="Heading1"/>
        <w:spacing w:after="80"/>
      </w:pPr>
      <w:r>
        <w:rPr>
          <w:b w:val="0"/>
          <w:i w:val="0"/>
        </w:rPr>
        <w:t>3. Vehicle and route modeling to keep in the data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Vehicle category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Main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Link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Sub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Mini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Cat-1: Truck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Yes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Conditional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No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No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Cat-2: Bus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Predefined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Predefined / Conditional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No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No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Cat-3: Private car / Microbus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Yes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Yes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Conditional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Conditional</w:t>
            </w:r>
          </w:p>
        </w:tc>
      </w:tr>
      <w:tr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</w:rPr>
              <w:t>Cat-4: Rickshaw / Van / Bike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Yes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Yes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Yes</w:t>
            </w:r>
          </w:p>
        </w:tc>
        <w:tc>
          <w:tcPr>
            <w:tcW w:type="dxa" w:w="19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Yes</w:t>
            </w:r>
          </w:p>
        </w:tc>
      </w:tr>
    </w:tbl>
    <w:p>
      <w:pPr>
        <w:spacing w:after="100"/>
      </w:pPr>
      <w:r>
        <w:rPr>
          <w:b w:val="0"/>
          <w:i w:val="0"/>
        </w:rPr>
        <w:t>The actual implementation should keep the thresholds configurable through data or config files. High-risk links such as Shahbagh or Science Lab should be treated only as illustrative examples of configurable disruption-prior fields, not as hard-coded claims.</w:t>
      </w:r>
    </w:p>
    <w:p>
      <w:pPr>
        <w:pStyle w:val="Heading1"/>
        <w:spacing w:after="80"/>
      </w:pPr>
      <w:r>
        <w:rPr>
          <w:b w:val="0"/>
          <w:i w:val="0"/>
        </w:rPr>
        <w:t>4. Output files and experiment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Output / experiment item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20" w:after="20"/>
              <w:jc w:val="left"/>
            </w:pPr>
            <w:r>
              <w:rPr>
                <w:b/>
                <w:color w:val="1F4E79"/>
              </w:rPr>
              <w:t>Purpose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pair_stable_routes.csv / pair_metadata.csv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Stable best routes and pair-level metadata after Step A.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pair_pools.json or csv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Five ranked alternative paths for each (s, d, vehicle category).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network_pool_analysis.txt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Shared-edge usage and network-level pool information after Step B.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disruption_events.csv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Configured sudden-block / broken-link / protest events.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case1_results.csv / case2_results.csv / case3_results.csv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Case-wise online reroute measurements for all affected pairs and categories.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case_comparison_summary.csv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Direct comparison of iterations, time, power proxy, success, and path cost.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reroute logs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Traceability for the online reroute logic in each case.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updated research notes and flowchart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t>Documentation that matches the implemented logic.</w:t>
            </w:r>
          </w:p>
        </w:tc>
      </w:tr>
    </w:tbl>
    <w:p>
      <w:pPr>
        <w:pStyle w:val="Heading1"/>
        <w:spacing w:after="80"/>
      </w:pPr>
      <w:r>
        <w:rPr>
          <w:b w:val="0"/>
          <w:i w:val="0"/>
        </w:rPr>
        <w:t>5. Research wording to keep academically careful</w:t>
      </w:r>
    </w:p>
    <w:p>
      <w:pPr>
        <w:spacing w:after="80"/>
      </w:pPr>
      <w:r>
        <w:rPr>
          <w:i/>
        </w:rPr>
        <w:t xml:space="preserve">Use wording such as </w:t>
      </w:r>
      <w:r>
        <w:t xml:space="preserve">“proposed method,” “expected to reduce online rerouting cost,” “to be validated experimentally,” </w:t>
      </w:r>
      <w:r>
        <w:t>“category-wise feasible rerouting,” and “pair-level and network-level resilience.”</w:t>
      </w:r>
    </w:p>
    <w:p>
      <w:pPr>
        <w:spacing w:after="120"/>
      </w:pPr>
      <w:r>
        <w:rPr>
          <w:b w:val="0"/>
          <w:i w:val="0"/>
        </w:rPr>
        <w:t>Do not state that Case 3 is already superior unless the experiments on all required pairs and categories actually show that result.</w:t>
      </w:r>
    </w:p>
    <w:p>
      <w:pPr>
        <w:pStyle w:val="Heading1"/>
        <w:spacing w:after="80"/>
      </w:pPr>
      <w:r>
        <w:rPr>
          <w:b w:val="0"/>
          <w:i w:val="0"/>
        </w:rPr>
        <w:t>6. Final instruction for Claude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Use the repository as the implementation baseline, but keep the detailed supervisor flowchart as the authoritative workflow. </w:t>
            </w:r>
            <w:r>
              <w:t>That means the response, architecture, code plan, and generated artifacts should be organized around Step A, Step B, and Step C exactly as described above.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5A5A5A"/>
          <w:sz w:val="18"/>
        </w:rPr>
        <w:t>Prepared as a flowchart-aligned revision for Claude / supervisor discussion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