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Antigravity / Claude Opus Execution Brief</w:t>
      </w:r>
    </w:p>
    <w:p>
      <w:pPr>
        <w:jc w:val="center"/>
      </w:pPr>
      <w:r>
        <w:rPr>
          <w:i/>
          <w:sz w:val="22"/>
        </w:rPr>
        <w:t>Flowchart-aligned prompt updated for local-workspace execution in weekly_update_10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center"/>
            <w:shd w:fill="EAF2F8"/>
          </w:tcPr>
          <w:p>
            <w:pPr>
              <w:spacing w:after="40" w:before="20"/>
            </w:pPr>
            <w:r>
              <w:rPr>
                <w:rFonts w:ascii="Aptos" w:hAnsi="Aptos"/>
                <w:b/>
                <w:sz w:val="20"/>
              </w:rPr>
              <w:t>Authoritative rule: use the detailed combined supervisor flowchart as the primary control logic. Use the local weekly_update_10 workspace as the main implementation source. Do not begin by browsing GitHub when the local folder is already available.</w:t>
            </w:r>
          </w:p>
        </w:tc>
      </w:tr>
    </w:tbl>
    <w:p>
      <w:pPr>
        <w:pStyle w:val="Heading1"/>
      </w:pPr>
      <w:r>
        <w:t>1. Local execution rule</w:t>
      </w:r>
    </w:p>
    <w:p>
      <w:pPr>
        <w:pStyle w:val="ListBullet"/>
      </w:pPr>
      <w:r>
        <w:t>The repository URL remains a provenance reference to the original project structure.</w:t>
      </w:r>
    </w:p>
    <w:p>
      <w:pPr>
        <w:pStyle w:val="ListBullet"/>
      </w:pPr>
      <w:r>
        <w:t>Because Antigravity is already opened inside the local machine workspace, the weekly_update_10 directory should be treated as the authoritative working copy.</w:t>
      </w:r>
    </w:p>
    <w:p>
      <w:pPr>
        <w:pStyle w:val="ListBullet"/>
      </w:pPr>
      <w:r>
        <w:t>The agent should inspect the local folder and local files first, then implement against that local structure.</w:t>
      </w:r>
    </w:p>
    <w:p>
      <w:pPr>
        <w:pStyle w:val="ListBullet"/>
      </w:pPr>
      <w:r>
        <w:t>The GitHub page should not be the primary place to search unless a file is missing locally and that absence is explicitly noted.</w:t>
      </w:r>
    </w:p>
    <w:p>
      <w:pPr>
        <w:pStyle w:val="Heading1"/>
      </w:pPr>
      <w:r>
        <w:t>2. Baseline reference and working-source 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40" w:before="20"/>
            </w:pPr>
            <w:r>
              <w:rPr>
                <w:rFonts w:ascii="Aptos" w:hAnsi="Aptos"/>
                <w:sz w:val="20"/>
              </w:rPr>
              <w:t>Item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40" w:before="20"/>
            </w:pPr>
            <w:r>
              <w:rPr>
                <w:rFonts w:ascii="Aptos" w:hAnsi="Aptos"/>
                <w:sz w:val="20"/>
              </w:rPr>
              <w:t>Instruction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sz w:val="20"/>
              </w:rPr>
              <w:t>Reference repo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sz w:val="20"/>
              </w:rPr>
              <w:t>https://github.com/souravdebnath109/Thesis/tree/main/weekly_update_10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sz w:val="20"/>
              </w:rPr>
              <w:t>Actual working source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sz w:val="20"/>
              </w:rPr>
              <w:t>Local weekly_update_10 folder already present in the Antigravity workspace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sz w:val="20"/>
              </w:rPr>
              <w:t>Search priority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sz w:val="20"/>
              </w:rPr>
              <w:t>Local files first, local folder structure first, local implementation first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sz w:val="20"/>
              </w:rPr>
              <w:t>Remote usage rule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sz w:val="20"/>
              </w:rPr>
              <w:t>Use remote reference only if a needed file is missing locally and that gap is stated clearly</w:t>
            </w:r>
          </w:p>
        </w:tc>
      </w:tr>
    </w:tbl>
    <w:p>
      <w:pPr>
        <w:pStyle w:val="Heading1"/>
      </w:pPr>
      <w:r>
        <w:t>3. Non-negotiable working style</w:t>
      </w:r>
    </w:p>
    <w:p>
      <w:pPr>
        <w:pStyle w:val="ListBullet"/>
      </w:pPr>
      <w:r>
        <w:t>Do not make unsupported claims.</w:t>
      </w:r>
    </w:p>
    <w:p>
      <w:pPr>
        <w:pStyle w:val="ListBullet"/>
      </w:pPr>
      <w:r>
        <w:t>If something is an assumption, label it clearly as an assumption.</w:t>
      </w:r>
    </w:p>
    <w:p>
      <w:pPr>
        <w:pStyle w:val="ListBullet"/>
      </w:pPr>
      <w:r>
        <w:t>Do not claim Case 3 is better unless experiments show it.</w:t>
      </w:r>
    </w:p>
    <w:p>
      <w:pPr>
        <w:pStyle w:val="ListBullet"/>
      </w:pPr>
      <w:r>
        <w:t>Keep reproducibility and configuration support wherever possible.</w:t>
      </w:r>
    </w:p>
    <w:p>
      <w:pPr>
        <w:pStyle w:val="ListBullet"/>
      </w:pPr>
      <w:r>
        <w:t>Preserve the original improved ACO plus combined optimization backbone while extending it into a vehicle-aware, blockage-aware, pool-based rerouting framework.</w:t>
      </w:r>
    </w:p>
    <w:p>
      <w:pPr>
        <w:pStyle w:val="Heading1"/>
      </w:pPr>
      <w:r>
        <w:t>4. Research context</w:t>
      </w:r>
    </w:p>
    <w:p>
      <w:pPr>
        <w:pStyle w:val="ListBullet"/>
      </w:pPr>
      <w:r>
        <w:t>The revised question is how quickly vehicles can be rerouted through category-wise feasible alternative paths when a route is suddenly blocked, a link is broken, or a protest closes a road in an unplanned megacity such as Dhaka.</w:t>
      </w:r>
    </w:p>
    <w:p>
      <w:pPr>
        <w:pStyle w:val="ListBullet"/>
      </w:pPr>
      <w:r>
        <w:t>The model must account for road hierarchy, route width, road condition, vehicle-category feasibility, pair-level routing, combined network behavior, sudden disruption handling, and comparison of three online rerouting cases.</w:t>
      </w:r>
    </w:p>
    <w:p>
      <w:pPr>
        <w:pStyle w:val="Heading1"/>
      </w:pPr>
      <w:r>
        <w:t>5. Vehicle categories and access logic</w:t>
      </w:r>
    </w:p>
    <w:p>
      <w:pPr>
        <w:pStyle w:val="ListBullet"/>
      </w:pPr>
      <w:r>
        <w:t>Category 1: Truck.</w:t>
      </w:r>
    </w:p>
    <w:p>
      <w:pPr>
        <w:pStyle w:val="ListBullet"/>
      </w:pPr>
      <w:r>
        <w:t>Category 2: Bus, restricted to predefined corridors or allowed bus roads.</w:t>
      </w:r>
    </w:p>
    <w:p>
      <w:pPr>
        <w:pStyle w:val="ListBullet"/>
      </w:pPr>
      <w:r>
        <w:t>Category 3: Private car and Microbus.</w:t>
      </w:r>
    </w:p>
    <w:p>
      <w:pPr>
        <w:pStyle w:val="ListBullet"/>
      </w:pPr>
      <w:r>
        <w:t>Category 4: Rickshaw, Van, and Bike.</w:t>
      </w:r>
    </w:p>
    <w:p>
      <w:pPr>
        <w:pStyle w:val="ListBullet"/>
      </w:pPr>
      <w:r>
        <w:t>Truck and bus cannot use every route type; bus must respect predefined corridors; private car and microbus can use more routes than truck and bus but still not every route; rickshaw, van, and bike can use all route types unless explicit restrictions are configured.</w:t>
      </w:r>
    </w:p>
    <w:p>
      <w:pPr>
        <w:pStyle w:val="Heading1"/>
      </w:pPr>
      <w:r>
        <w:t>6. Flowchart-aligned control logic</w:t>
      </w:r>
    </w:p>
    <w:p>
      <w:pPr>
        <w:pStyle w:val="ListBullet"/>
      </w:pPr>
      <w:r>
        <w:t>Top-level order: load config and inputs; compute initial R_i(t); validate S-D pairs and build vehicle-feasible graphs; classify each edge; define category-wise access rules.</w:t>
      </w:r>
    </w:p>
    <w:p>
      <w:pPr>
        <w:pStyle w:val="ListBullet"/>
      </w:pPr>
      <w:r>
        <w:t>Step A must explicitly preserve: feasible subgraph creation, improved ACO initial pathfinding, besttour creation, pair-pool generation, dynamic monitoring, trigger condition, candidate newtour, accept or reject logic, traverse-next-segment, reached-endpoint check, and save-pair-result logic.</w:t>
      </w:r>
    </w:p>
    <w:p>
      <w:pPr>
        <w:pStyle w:val="ListBullet"/>
      </w:pPr>
      <w:r>
        <w:t>Step B must explicitly preserve: combined iteration k, shared-edge aggregate traffic, frequency-based weight updates, per-pair reruns, pool ranking updates, iteration statistics, stabilization check, and saving the combined network plus pool information.</w:t>
      </w:r>
    </w:p>
    <w:p>
      <w:pPr>
        <w:pStyle w:val="ListBullet"/>
      </w:pPr>
      <w:r>
        <w:t>Step C must explicitly preserve: disruption detection, affected-edge and affected-pair identification, Case 1 vs Case 2 vs Case 3 comparison, online metrics, hypothesis wording, and post-event updates to pools plus network state.</w:t>
      </w:r>
    </w:p>
    <w:p>
      <w:pPr>
        <w:pStyle w:val="Heading1"/>
      </w:pPr>
      <w:r>
        <w:t>7. Required schema extensions and outputs</w:t>
      </w:r>
    </w:p>
    <w:p>
      <w:pPr>
        <w:pStyle w:val="ListBullet"/>
      </w:pPr>
      <w:r>
        <w:t>Each edge should support at least road_class, width, road_condition, allowed vehicle categories or category-wise minimum width, optional bus corridor flag, optional disruption prior, and any additional fields needed to preserve the R_i(t)-based logic.</w:t>
      </w:r>
    </w:p>
    <w:p>
      <w:pPr>
        <w:pStyle w:val="ListBullet"/>
      </w:pPr>
      <w:r>
        <w:t>Expected outputs include pair_stable_routes.csv, pair_pools.json or csv, pair_metadata.csv, network_pool_analysis.txt, disruption_events.csv, case1_results.csv, case2_results.csv, case3_results.csv, case_comparison_summary.csv, reroute logs, updated flowchart, and updated research notes.</w:t>
      </w:r>
    </w:p>
    <w:p>
      <w:pPr>
        <w:pStyle w:val="ListBullet"/>
      </w:pPr>
      <w:r>
        <w:t>If hardware power cannot be measured directly, use a clearly labeled proxy such as CPU process time or a fixed-platform energy proxy under controlled assumptions.</w:t>
      </w:r>
    </w:p>
    <w:p>
      <w:pPr>
        <w:pStyle w:val="Heading1"/>
      </w:pPr>
      <w:r>
        <w:t>8. Ordered response expected from Claude</w:t>
      </w:r>
    </w:p>
    <w:p>
      <w:pPr>
        <w:pStyle w:val="ListBullet"/>
      </w:pPr>
      <w:r>
        <w:t>Step 1: summarize the current local weekly_update_10 repository structure and existing logic.</w:t>
      </w:r>
    </w:p>
    <w:p>
      <w:pPr>
        <w:pStyle w:val="ListBullet"/>
      </w:pPr>
      <w:r>
        <w:t>Step 2: propose the revised architecture.</w:t>
      </w:r>
    </w:p>
    <w:p>
      <w:pPr>
        <w:pStyle w:val="ListBullet"/>
      </w:pPr>
      <w:r>
        <w:t>Step 3: specify data schema changes.</w:t>
      </w:r>
    </w:p>
    <w:p>
      <w:pPr>
        <w:pStyle w:val="ListBullet"/>
      </w:pPr>
      <w:r>
        <w:t>Step 4: implement or draft code changes carefully.</w:t>
      </w:r>
    </w:p>
    <w:p>
      <w:pPr>
        <w:pStyle w:val="ListBullet"/>
      </w:pPr>
      <w:r>
        <w:t>Step 5: provide the revised flowchart.</w:t>
      </w:r>
    </w:p>
    <w:p>
      <w:pPr>
        <w:pStyle w:val="ListBullet"/>
      </w:pPr>
      <w:r>
        <w:t>Step 6: provide the experiment plan.</w:t>
      </w:r>
    </w:p>
    <w:p>
      <w:pPr>
        <w:pStyle w:val="ListBullet"/>
      </w:pPr>
      <w:r>
        <w:t>Step 7: explain why Case 3 is expected to reduce online rerouting cost while keeping that statement as a hypothesis until measured.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center"/>
            <w:shd w:fill="E2F0D9"/>
          </w:tcPr>
          <w:p>
            <w:pPr>
              <w:spacing w:after="40" w:before="20"/>
            </w:pPr>
            <w:r>
              <w:rPr>
                <w:rFonts w:ascii="Aptos" w:hAnsi="Aptos"/>
                <w:b/>
                <w:sz w:val="20"/>
              </w:rPr>
              <w:t>Final instruction to Claude: work from the local weekly_update_10 folder already present in the Antigravity workspace. Do not start by searching GitHub. Follow the detailed supervisor flowchart exactly, preserve the original fine-grained ACO logic, and treat Case 3 as a proposed method whose advantage must be validated experimentally.</w:t>
            </w:r>
          </w:p>
        </w:tc>
      </w:tr>
    </w:tbl>
    <w:p>
      <w:pPr>
        <w:jc w:val="right"/>
      </w:pPr>
      <w:r>
        <w:rPr>
          <w:i/>
          <w:sz w:val="18"/>
        </w:rPr>
        <w:t>Prepared as a local-workspace revision for Claude / supervisor discussion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