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F1D1D"/>
          <w:sz w:val="36"/>
          <w:szCs w:val="36"/>
        </w:rPr>
        <w:t xml:space="preserve">CREDIT MEMORANDUM</w:t>
      </w:r>
    </w:p>
    <w:p>
      <w:pPr>
        <w:spacing w:after="60"/>
      </w:pPr>
      <w:r>
        <w:rPr>
          <w:color w:val="595959"/>
          <w:sz w:val="24"/>
          <w:szCs w:val="24"/>
        </w:rPr>
        <w:t xml:space="preserve">Tata Motors Group (Consolidated) - Indicative Internal Credit Assessment</w:t>
      </w:r>
    </w:p>
    <w:p>
      <w:pPr>
        <w:spacing w:after="300"/>
      </w:pPr>
      <w:r>
        <w:rPr>
          <w:i/>
          <w:iCs/>
          <w:color w:val="595959"/>
          <w:sz w:val="20"/>
          <w:szCs w:val="20"/>
        </w:rPr>
        <w:t xml:space="preserve">Prepared: April 2026  |  Period under review: FY2021-FY2025 (Consolidated)</w:t>
      </w:r>
    </w:p>
    <w:p>
      <w:pPr>
        <w:pStyle w:val="Heading1"/>
        <w:spacing w:after="120" w:before="240"/>
      </w:pPr>
      <w:r>
        <w:t xml:space="preserve">1. Purpose &amp; Scope</w:t>
      </w:r>
    </w:p>
    <w:p>
      <w:pPr>
        <w:spacing w:after="140"/>
      </w:pPr>
      <w:r>
        <w:rPr>
          <w:b w:val="false"/>
          <w:bCs w:val="false"/>
          <w:i w:val="false"/>
          <w:iCs w:val="false"/>
        </w:rPr>
        <w:t xml:space="preserve">This memorandum assesses the credit profile of the Tata Motors group on a consolidated basis (Jaguar Land Rover, Indian commercial vehicles and Indian passenger vehicles) over FY2021-FY2025, to form an indicative internal view of repayment capacity and lending risk. It is a personal / academic credit-analysis exercise built from public financial data, not a bank or rating-agency work product, and should not be relied upon as investment or lending advice.</w:t>
      </w:r>
    </w:p>
    <w:p>
      <w:pPr>
        <w:spacing w:after="140"/>
      </w:pPr>
      <w:r>
        <w:rPr>
          <w:b w:val="false"/>
          <w:bCs w:val="false"/>
          <w:i w:val="false"/>
          <w:iCs w:val="false"/>
        </w:rPr>
        <w:t xml:space="preserve">On 1 October 2025, the group demerged: the commercial-vehicle business was carved out into a newly listed 'Tata Motors Ltd' (formerly TML Commercial Vehicles Ltd), while passenger vehicles and JLR continue under the entity now listed as 'Tata Motors Passenger Vehicles Ltd'. The financials reviewed here (FY2021-FY2025) predate that split and reflect the combined group as it was structured and rated throughout the period.</w:t>
      </w:r>
    </w:p>
    <w:p>
      <w:pPr>
        <w:pStyle w:val="Heading1"/>
        <w:spacing w:after="120" w:before="240"/>
      </w:pPr>
      <w:r>
        <w:t xml:space="preserve">2. Business &amp; Industry Risk</w:t>
      </w:r>
    </w:p>
    <w:p>
      <w:pPr>
        <w:pStyle w:val="ListParagraph"/>
        <w:numPr>
          <w:ilvl w:val="0"/>
          <w:numId w:val="1"/>
        </w:numPr>
        <w:spacing w:after="80"/>
      </w:pPr>
      <w:r>
        <w:t xml:space="preserve">Global automotive OEM spanning passenger vehicles, commercial vehicles, and premium/luxury (JLR); exposure to India, UK, Europe, North America and China.</w:t>
      </w:r>
    </w:p>
    <w:p>
      <w:pPr>
        <w:pStyle w:val="ListParagraph"/>
        <w:numPr>
          <w:ilvl w:val="0"/>
          <w:numId w:val="1"/>
        </w:numPr>
        <w:spacing w:after="80"/>
      </w:pPr>
      <w:r>
        <w:t xml:space="preserve">Industry risk: capital-intensive, cyclical demand, exposed to commodity input cost inflation, semiconductor/supply-chain disruption (as seen FY21-FY22), and a structural shift toward EVs requiring sustained capex.</w:t>
      </w:r>
    </w:p>
    <w:p>
      <w:pPr>
        <w:pStyle w:val="ListParagraph"/>
        <w:numPr>
          <w:ilvl w:val="0"/>
          <w:numId w:val="1"/>
        </w:numPr>
        <w:spacing w:after="80"/>
      </w:pPr>
      <w:r>
        <w:t xml:space="preserve">Competitive position: #1 commercial vehicle maker in India; JLR gives global premium-brand diversification but adds FX, tariff and geopolitical exposure (evident in FY26 developments including a cyber incident affecting JLR operations).</w:t>
      </w:r>
    </w:p>
    <w:p>
      <w:pPr>
        <w:pStyle w:val="Heading1"/>
        <w:spacing w:after="120" w:before="240"/>
      </w:pPr>
      <w:r>
        <w:t xml:space="preserve">3. Financial Risk Assessment (FY2021-FY2025)</w:t>
      </w:r>
    </w:p>
    <w:tbl>
      <w:tblPr>
        <w:tblW w:type="dxa" w:w="100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gridCol w:w="100"/>
        <w:gridCol w:w="100"/>
      </w:tblGrid>
      <w:tr>
        <w:trPr>
          <w:tblHeader/>
        </w:trPr>
        <w:tc>
          <w:tcPr>
            <w:tcW w:type="dxa" w:w="3200"/>
            <w:shd w:fill="7F1D1D" w:val="clear"/>
          </w:tcPr>
          <w:p>
            <w:pPr>
              <w:jc w:val="left"/>
            </w:pPr>
            <w:r>
              <w:rPr>
                <w:b/>
                <w:bCs/>
                <w:color w:val="FFFFFF"/>
                <w:sz w:val="20"/>
                <w:szCs w:val="20"/>
              </w:rPr>
              <w:t xml:space="preserve">Ratio</w:t>
            </w:r>
          </w:p>
        </w:tc>
        <w:tc>
          <w:tcPr>
            <w:tcW w:type="dxa" w:w="1400"/>
            <w:shd w:fill="7F1D1D" w:val="clear"/>
          </w:tcPr>
          <w:p>
            <w:pPr>
              <w:jc w:val="center"/>
            </w:pPr>
            <w:r>
              <w:rPr>
                <w:b/>
                <w:bCs/>
                <w:color w:val="FFFFFF"/>
                <w:sz w:val="20"/>
                <w:szCs w:val="20"/>
              </w:rPr>
              <w:t xml:space="preserve">FY2021</w:t>
            </w:r>
          </w:p>
        </w:tc>
        <w:tc>
          <w:tcPr>
            <w:tcW w:type="dxa" w:w="1400"/>
            <w:shd w:fill="7F1D1D" w:val="clear"/>
          </w:tcPr>
          <w:p>
            <w:pPr>
              <w:jc w:val="center"/>
            </w:pPr>
            <w:r>
              <w:rPr>
                <w:b/>
                <w:bCs/>
                <w:color w:val="FFFFFF"/>
                <w:sz w:val="20"/>
                <w:szCs w:val="20"/>
              </w:rPr>
              <w:t xml:space="preserve">FY2022</w:t>
            </w:r>
          </w:p>
        </w:tc>
        <w:tc>
          <w:tcPr>
            <w:tcW w:type="dxa" w:w="1400"/>
            <w:shd w:fill="7F1D1D" w:val="clear"/>
          </w:tcPr>
          <w:p>
            <w:pPr>
              <w:jc w:val="center"/>
            </w:pPr>
            <w:r>
              <w:rPr>
                <w:b/>
                <w:bCs/>
                <w:color w:val="FFFFFF"/>
                <w:sz w:val="20"/>
                <w:szCs w:val="20"/>
              </w:rPr>
              <w:t xml:space="preserve">FY2023</w:t>
            </w:r>
          </w:p>
        </w:tc>
        <w:tc>
          <w:tcPr>
            <w:tcW w:type="dxa" w:w="1400"/>
            <w:shd w:fill="7F1D1D" w:val="clear"/>
          </w:tcPr>
          <w:p>
            <w:pPr>
              <w:jc w:val="center"/>
            </w:pPr>
            <w:r>
              <w:rPr>
                <w:b/>
                <w:bCs/>
                <w:color w:val="FFFFFF"/>
                <w:sz w:val="20"/>
                <w:szCs w:val="20"/>
              </w:rPr>
              <w:t xml:space="preserve">FY2024</w:t>
            </w:r>
          </w:p>
        </w:tc>
        <w:tc>
          <w:tcPr>
            <w:tcW w:type="dxa" w:w="1400"/>
            <w:shd w:fill="7F1D1D" w:val="clear"/>
          </w:tcPr>
          <w:p>
            <w:pPr>
              <w:jc w:val="center"/>
            </w:pPr>
            <w:r>
              <w:rPr>
                <w:b/>
                <w:bCs/>
                <w:color w:val="FFFFFF"/>
                <w:sz w:val="20"/>
                <w:szCs w:val="20"/>
              </w:rPr>
              <w:t xml:space="preserve">FY2025</w:t>
            </w:r>
          </w:p>
        </w:tc>
      </w:tr>
      <w:tr>
        <w:tc>
          <w:tcPr>
            <w:tcW w:type="dxa" w:w="3200"/>
          </w:tcPr>
          <w:p>
            <w:pPr>
              <w:jc w:val="left"/>
            </w:pPr>
            <w:r>
              <w:rPr>
                <w:b/>
                <w:bCs/>
                <w:color w:val="000000"/>
                <w:sz w:val="20"/>
                <w:szCs w:val="20"/>
              </w:rPr>
              <w:t xml:space="preserve">Debt-to-Equity (x)</w:t>
            </w:r>
          </w:p>
        </w:tc>
        <w:tc>
          <w:tcPr>
            <w:tcW w:type="dxa" w:w="1400"/>
          </w:tcPr>
          <w:p>
            <w:pPr>
              <w:jc w:val="center"/>
            </w:pPr>
            <w:r>
              <w:rPr>
                <w:b w:val="false"/>
                <w:bCs w:val="false"/>
                <w:color w:val="000000"/>
                <w:sz w:val="20"/>
                <w:szCs w:val="20"/>
              </w:rPr>
              <w:t xml:space="preserve">2.57</w:t>
            </w:r>
          </w:p>
        </w:tc>
        <w:tc>
          <w:tcPr>
            <w:tcW w:type="dxa" w:w="1400"/>
          </w:tcPr>
          <w:p>
            <w:pPr>
              <w:jc w:val="center"/>
            </w:pPr>
            <w:r>
              <w:rPr>
                <w:b w:val="false"/>
                <w:bCs w:val="false"/>
                <w:color w:val="000000"/>
                <w:sz w:val="20"/>
                <w:szCs w:val="20"/>
              </w:rPr>
              <w:t xml:space="preserve">3.29</w:t>
            </w:r>
          </w:p>
        </w:tc>
        <w:tc>
          <w:tcPr>
            <w:tcW w:type="dxa" w:w="1400"/>
          </w:tcPr>
          <w:p>
            <w:pPr>
              <w:jc w:val="center"/>
            </w:pPr>
            <w:r>
              <w:rPr>
                <w:b w:val="false"/>
                <w:bCs w:val="false"/>
                <w:color w:val="000000"/>
                <w:sz w:val="20"/>
                <w:szCs w:val="20"/>
              </w:rPr>
              <w:t xml:space="preserve">2.96</w:t>
            </w:r>
          </w:p>
        </w:tc>
        <w:tc>
          <w:tcPr>
            <w:tcW w:type="dxa" w:w="1400"/>
          </w:tcPr>
          <w:p>
            <w:pPr>
              <w:jc w:val="center"/>
            </w:pPr>
            <w:r>
              <w:rPr>
                <w:b w:val="false"/>
                <w:bCs w:val="false"/>
                <w:color w:val="000000"/>
                <w:sz w:val="20"/>
                <w:szCs w:val="20"/>
              </w:rPr>
              <w:t xml:space="preserve">1.26</w:t>
            </w:r>
          </w:p>
        </w:tc>
        <w:tc>
          <w:tcPr>
            <w:tcW w:type="dxa" w:w="1400"/>
          </w:tcPr>
          <w:p>
            <w:pPr>
              <w:jc w:val="center"/>
            </w:pPr>
            <w:r>
              <w:rPr>
                <w:b w:val="false"/>
                <w:bCs w:val="false"/>
                <w:color w:val="000000"/>
                <w:sz w:val="20"/>
                <w:szCs w:val="20"/>
              </w:rPr>
              <w:t xml:space="preserve">0.62</w:t>
            </w:r>
          </w:p>
        </w:tc>
      </w:tr>
      <w:tr>
        <w:tc>
          <w:tcPr>
            <w:tcW w:type="dxa" w:w="3200"/>
          </w:tcPr>
          <w:p>
            <w:pPr>
              <w:jc w:val="left"/>
            </w:pPr>
            <w:r>
              <w:rPr>
                <w:b/>
                <w:bCs/>
                <w:color w:val="000000"/>
                <w:sz w:val="20"/>
                <w:szCs w:val="20"/>
              </w:rPr>
              <w:t xml:space="preserve">Interest Coverage (x)</w:t>
            </w:r>
          </w:p>
        </w:tc>
        <w:tc>
          <w:tcPr>
            <w:tcW w:type="dxa" w:w="1400"/>
          </w:tcPr>
          <w:p>
            <w:pPr>
              <w:jc w:val="center"/>
            </w:pPr>
            <w:r>
              <w:rPr>
                <w:b w:val="false"/>
                <w:bCs w:val="false"/>
                <w:color w:val="000000"/>
                <w:sz w:val="20"/>
                <w:szCs w:val="20"/>
              </w:rPr>
              <w:t xml:space="preserve">1.08</w:t>
            </w:r>
          </w:p>
        </w:tc>
        <w:tc>
          <w:tcPr>
            <w:tcW w:type="dxa" w:w="1400"/>
          </w:tcPr>
          <w:p>
            <w:pPr>
              <w:jc w:val="center"/>
            </w:pPr>
            <w:r>
              <w:rPr>
                <w:b w:val="false"/>
                <w:bCs w:val="false"/>
                <w:color w:val="000000"/>
                <w:sz w:val="20"/>
                <w:szCs w:val="20"/>
              </w:rPr>
              <w:t xml:space="preserve">-0.01</w:t>
            </w:r>
          </w:p>
        </w:tc>
        <w:tc>
          <w:tcPr>
            <w:tcW w:type="dxa" w:w="1400"/>
          </w:tcPr>
          <w:p>
            <w:pPr>
              <w:jc w:val="center"/>
            </w:pPr>
            <w:r>
              <w:rPr>
                <w:b w:val="false"/>
                <w:bCs w:val="false"/>
                <w:color w:val="000000"/>
                <w:sz w:val="20"/>
                <w:szCs w:val="20"/>
              </w:rPr>
              <w:t xml:space="preserve">0.68</w:t>
            </w:r>
          </w:p>
        </w:tc>
        <w:tc>
          <w:tcPr>
            <w:tcW w:type="dxa" w:w="1400"/>
          </w:tcPr>
          <w:p>
            <w:pPr>
              <w:jc w:val="center"/>
            </w:pPr>
            <w:r>
              <w:rPr>
                <w:b w:val="false"/>
                <w:bCs w:val="false"/>
                <w:color w:val="000000"/>
                <w:sz w:val="20"/>
                <w:szCs w:val="20"/>
              </w:rPr>
              <w:t xml:space="preserve">4.03</w:t>
            </w:r>
          </w:p>
        </w:tc>
        <w:tc>
          <w:tcPr>
            <w:tcW w:type="dxa" w:w="1400"/>
          </w:tcPr>
          <w:p>
            <w:pPr>
              <w:jc w:val="center"/>
            </w:pPr>
            <w:r>
              <w:rPr>
                <w:b w:val="false"/>
                <w:bCs w:val="false"/>
                <w:color w:val="000000"/>
                <w:sz w:val="20"/>
                <w:szCs w:val="20"/>
              </w:rPr>
              <w:t xml:space="preserve">6.47</w:t>
            </w:r>
          </w:p>
        </w:tc>
      </w:tr>
      <w:tr>
        <w:tc>
          <w:tcPr>
            <w:tcW w:type="dxa" w:w="3200"/>
          </w:tcPr>
          <w:p>
            <w:pPr>
              <w:jc w:val="left"/>
            </w:pPr>
            <w:r>
              <w:rPr>
                <w:b/>
                <w:bCs/>
                <w:color w:val="000000"/>
                <w:sz w:val="20"/>
                <w:szCs w:val="20"/>
              </w:rPr>
              <w:t xml:space="preserve">DSCR proxy - CFO/Interest (x)</w:t>
            </w:r>
          </w:p>
        </w:tc>
        <w:tc>
          <w:tcPr>
            <w:tcW w:type="dxa" w:w="1400"/>
          </w:tcPr>
          <w:p>
            <w:pPr>
              <w:jc w:val="center"/>
            </w:pPr>
            <w:r>
              <w:rPr>
                <w:b w:val="false"/>
                <w:bCs w:val="false"/>
                <w:color w:val="000000"/>
                <w:sz w:val="20"/>
                <w:szCs w:val="20"/>
              </w:rPr>
              <w:t xml:space="preserve">3.58</w:t>
            </w:r>
          </w:p>
        </w:tc>
        <w:tc>
          <w:tcPr>
            <w:tcW w:type="dxa" w:w="1400"/>
          </w:tcPr>
          <w:p>
            <w:pPr>
              <w:jc w:val="center"/>
            </w:pPr>
            <w:r>
              <w:rPr>
                <w:b w:val="false"/>
                <w:bCs w:val="false"/>
                <w:color w:val="000000"/>
                <w:sz w:val="20"/>
                <w:szCs w:val="20"/>
              </w:rPr>
              <w:t xml:space="preserve">1.53</w:t>
            </w:r>
          </w:p>
        </w:tc>
        <w:tc>
          <w:tcPr>
            <w:tcW w:type="dxa" w:w="1400"/>
          </w:tcPr>
          <w:p>
            <w:pPr>
              <w:jc w:val="center"/>
            </w:pPr>
            <w:r>
              <w:rPr>
                <w:b w:val="false"/>
                <w:bCs w:val="false"/>
                <w:color w:val="000000"/>
                <w:sz w:val="20"/>
                <w:szCs w:val="20"/>
              </w:rPr>
              <w:t xml:space="preserve">3.46</w:t>
            </w:r>
          </w:p>
        </w:tc>
        <w:tc>
          <w:tcPr>
            <w:tcW w:type="dxa" w:w="1400"/>
          </w:tcPr>
          <w:p>
            <w:pPr>
              <w:jc w:val="center"/>
            </w:pPr>
            <w:r>
              <w:rPr>
                <w:b w:val="false"/>
                <w:bCs w:val="false"/>
                <w:color w:val="000000"/>
                <w:sz w:val="20"/>
                <w:szCs w:val="20"/>
              </w:rPr>
              <w:t xml:space="preserve">8.94</w:t>
            </w:r>
          </w:p>
        </w:tc>
        <w:tc>
          <w:tcPr>
            <w:tcW w:type="dxa" w:w="1400"/>
          </w:tcPr>
          <w:p>
            <w:pPr>
              <w:jc w:val="center"/>
            </w:pPr>
            <w:r>
              <w:rPr>
                <w:b w:val="false"/>
                <w:bCs w:val="false"/>
                <w:color w:val="000000"/>
                <w:sz w:val="20"/>
                <w:szCs w:val="20"/>
              </w:rPr>
              <w:t xml:space="preserve">12.41</w:t>
            </w:r>
          </w:p>
        </w:tc>
      </w:tr>
      <w:tr>
        <w:tc>
          <w:tcPr>
            <w:tcW w:type="dxa" w:w="3200"/>
          </w:tcPr>
          <w:p>
            <w:pPr>
              <w:jc w:val="left"/>
            </w:pPr>
            <w:r>
              <w:rPr>
                <w:b/>
                <w:bCs/>
                <w:color w:val="000000"/>
                <w:sz w:val="20"/>
                <w:szCs w:val="20"/>
              </w:rPr>
              <w:t xml:space="preserve">EBITDA Margin (%)</w:t>
            </w:r>
          </w:p>
        </w:tc>
        <w:tc>
          <w:tcPr>
            <w:tcW w:type="dxa" w:w="1400"/>
          </w:tcPr>
          <w:p>
            <w:pPr>
              <w:jc w:val="center"/>
            </w:pPr>
            <w:r>
              <w:rPr>
                <w:b w:val="false"/>
                <w:bCs w:val="false"/>
                <w:color w:val="000000"/>
                <w:sz w:val="20"/>
                <w:szCs w:val="20"/>
              </w:rPr>
              <w:t xml:space="preserve">13%</w:t>
            </w:r>
          </w:p>
        </w:tc>
        <w:tc>
          <w:tcPr>
            <w:tcW w:type="dxa" w:w="1400"/>
          </w:tcPr>
          <w:p>
            <w:pPr>
              <w:jc w:val="center"/>
            </w:pPr>
            <w:r>
              <w:rPr>
                <w:b w:val="false"/>
                <w:bCs w:val="false"/>
                <w:color w:val="000000"/>
                <w:sz w:val="20"/>
                <w:szCs w:val="20"/>
              </w:rPr>
              <w:t xml:space="preserve">9%</w:t>
            </w:r>
          </w:p>
        </w:tc>
        <w:tc>
          <w:tcPr>
            <w:tcW w:type="dxa" w:w="1400"/>
          </w:tcPr>
          <w:p>
            <w:pPr>
              <w:jc w:val="center"/>
            </w:pPr>
            <w:r>
              <w:rPr>
                <w:b w:val="false"/>
                <w:bCs w:val="false"/>
                <w:color w:val="000000"/>
                <w:sz w:val="20"/>
                <w:szCs w:val="20"/>
              </w:rPr>
              <w:t xml:space="preserve">9%</w:t>
            </w:r>
          </w:p>
        </w:tc>
        <w:tc>
          <w:tcPr>
            <w:tcW w:type="dxa" w:w="1400"/>
          </w:tcPr>
          <w:p>
            <w:pPr>
              <w:jc w:val="center"/>
            </w:pPr>
            <w:r>
              <w:rPr>
                <w:b w:val="false"/>
                <w:bCs w:val="false"/>
                <w:color w:val="000000"/>
                <w:sz w:val="20"/>
                <w:szCs w:val="20"/>
              </w:rPr>
              <w:t xml:space="preserve">13%</w:t>
            </w:r>
          </w:p>
        </w:tc>
        <w:tc>
          <w:tcPr>
            <w:tcW w:type="dxa" w:w="1400"/>
          </w:tcPr>
          <w:p>
            <w:pPr>
              <w:jc w:val="center"/>
            </w:pPr>
            <w:r>
              <w:rPr>
                <w:b w:val="false"/>
                <w:bCs w:val="false"/>
                <w:color w:val="000000"/>
                <w:sz w:val="20"/>
                <w:szCs w:val="20"/>
              </w:rPr>
              <w:t xml:space="preserve">13%</w:t>
            </w:r>
          </w:p>
        </w:tc>
      </w:tr>
      <w:tr>
        <w:tc>
          <w:tcPr>
            <w:tcW w:type="dxa" w:w="3200"/>
          </w:tcPr>
          <w:p>
            <w:pPr>
              <w:jc w:val="left"/>
            </w:pPr>
            <w:r>
              <w:rPr>
                <w:b/>
                <w:bCs/>
                <w:color w:val="000000"/>
                <w:sz w:val="20"/>
                <w:szCs w:val="20"/>
              </w:rPr>
              <w:t xml:space="preserve">ROE (%)</w:t>
            </w:r>
          </w:p>
        </w:tc>
        <w:tc>
          <w:tcPr>
            <w:tcW w:type="dxa" w:w="1400"/>
          </w:tcPr>
          <w:p>
            <w:pPr>
              <w:jc w:val="center"/>
            </w:pPr>
            <w:r>
              <w:rPr>
                <w:b w:val="false"/>
                <w:bCs w:val="false"/>
                <w:color w:val="000000"/>
                <w:sz w:val="20"/>
                <w:szCs w:val="20"/>
              </w:rPr>
              <w:t xml:space="preserve">-24.2%</w:t>
            </w:r>
          </w:p>
        </w:tc>
        <w:tc>
          <w:tcPr>
            <w:tcW w:type="dxa" w:w="1400"/>
          </w:tcPr>
          <w:p>
            <w:pPr>
              <w:jc w:val="center"/>
            </w:pPr>
            <w:r>
              <w:rPr>
                <w:b w:val="false"/>
                <w:bCs w:val="false"/>
                <w:color w:val="000000"/>
                <w:sz w:val="20"/>
                <w:szCs w:val="20"/>
              </w:rPr>
              <w:t xml:space="preserve">-25.4%</w:t>
            </w:r>
          </w:p>
        </w:tc>
        <w:tc>
          <w:tcPr>
            <w:tcW w:type="dxa" w:w="1400"/>
          </w:tcPr>
          <w:p>
            <w:pPr>
              <w:jc w:val="center"/>
            </w:pPr>
            <w:r>
              <w:rPr>
                <w:b w:val="false"/>
                <w:bCs w:val="false"/>
                <w:color w:val="000000"/>
                <w:sz w:val="20"/>
                <w:szCs w:val="20"/>
              </w:rPr>
              <w:t xml:space="preserve">5.9%</w:t>
            </w:r>
          </w:p>
        </w:tc>
        <w:tc>
          <w:tcPr>
            <w:tcW w:type="dxa" w:w="1400"/>
          </w:tcPr>
          <w:p>
            <w:pPr>
              <w:jc w:val="center"/>
            </w:pPr>
            <w:r>
              <w:rPr>
                <w:b w:val="false"/>
                <w:bCs w:val="false"/>
                <w:color w:val="000000"/>
                <w:sz w:val="20"/>
                <w:szCs w:val="20"/>
              </w:rPr>
              <w:t xml:space="preserve">37.5%</w:t>
            </w:r>
          </w:p>
        </w:tc>
        <w:tc>
          <w:tcPr>
            <w:tcW w:type="dxa" w:w="1400"/>
          </w:tcPr>
          <w:p>
            <w:pPr>
              <w:jc w:val="center"/>
            </w:pPr>
            <w:r>
              <w:rPr>
                <w:b w:val="false"/>
                <w:bCs w:val="false"/>
                <w:color w:val="000000"/>
                <w:sz w:val="20"/>
                <w:szCs w:val="20"/>
              </w:rPr>
              <w:t xml:space="preserve">24.2%</w:t>
            </w:r>
          </w:p>
        </w:tc>
      </w:tr>
      <w:tr>
        <w:tc>
          <w:tcPr>
            <w:tcW w:type="dxa" w:w="3200"/>
          </w:tcPr>
          <w:p>
            <w:pPr>
              <w:jc w:val="left"/>
            </w:pPr>
            <w:r>
              <w:rPr>
                <w:b/>
                <w:bCs/>
                <w:color w:val="000000"/>
                <w:sz w:val="20"/>
                <w:szCs w:val="20"/>
              </w:rPr>
              <w:t xml:space="preserve">ROCE (%)</w:t>
            </w:r>
          </w:p>
        </w:tc>
        <w:tc>
          <w:tcPr>
            <w:tcW w:type="dxa" w:w="1400"/>
          </w:tcPr>
          <w:p>
            <w:pPr>
              <w:jc w:val="center"/>
            </w:pPr>
            <w:r>
              <w:rPr>
                <w:b w:val="false"/>
                <w:bCs w:val="false"/>
                <w:color w:val="000000"/>
                <w:sz w:val="20"/>
                <w:szCs w:val="20"/>
              </w:rPr>
              <w:t xml:space="preserve">6%</w:t>
            </w:r>
          </w:p>
        </w:tc>
        <w:tc>
          <w:tcPr>
            <w:tcW w:type="dxa" w:w="1400"/>
          </w:tcPr>
          <w:p>
            <w:pPr>
              <w:jc w:val="center"/>
            </w:pPr>
            <w:r>
              <w:rPr>
                <w:b w:val="false"/>
                <w:bCs w:val="false"/>
                <w:color w:val="000000"/>
                <w:sz w:val="20"/>
                <w:szCs w:val="20"/>
              </w:rPr>
              <w:t xml:space="preserve">1%</w:t>
            </w:r>
          </w:p>
        </w:tc>
        <w:tc>
          <w:tcPr>
            <w:tcW w:type="dxa" w:w="1400"/>
          </w:tcPr>
          <w:p>
            <w:pPr>
              <w:jc w:val="center"/>
            </w:pPr>
            <w:r>
              <w:rPr>
                <w:b w:val="false"/>
                <w:bCs w:val="false"/>
                <w:color w:val="000000"/>
                <w:sz w:val="20"/>
                <w:szCs w:val="20"/>
              </w:rPr>
              <w:t xml:space="preserve">6%</w:t>
            </w:r>
          </w:p>
        </w:tc>
        <w:tc>
          <w:tcPr>
            <w:tcW w:type="dxa" w:w="1400"/>
          </w:tcPr>
          <w:p>
            <w:pPr>
              <w:jc w:val="center"/>
            </w:pPr>
            <w:r>
              <w:rPr>
                <w:b w:val="false"/>
                <w:bCs w:val="false"/>
                <w:color w:val="000000"/>
                <w:sz w:val="20"/>
                <w:szCs w:val="20"/>
              </w:rPr>
              <w:t xml:space="preserve">19%</w:t>
            </w:r>
          </w:p>
        </w:tc>
        <w:tc>
          <w:tcPr>
            <w:tcW w:type="dxa" w:w="1400"/>
          </w:tcPr>
          <w:p>
            <w:pPr>
              <w:jc w:val="center"/>
            </w:pPr>
            <w:r>
              <w:rPr>
                <w:b w:val="false"/>
                <w:bCs w:val="false"/>
                <w:color w:val="000000"/>
                <w:sz w:val="20"/>
                <w:szCs w:val="20"/>
              </w:rPr>
              <w:t xml:space="preserve">20%</w:t>
            </w:r>
          </w:p>
        </w:tc>
      </w:tr>
      <w:tr>
        <w:tc>
          <w:tcPr>
            <w:tcW w:type="dxa" w:w="3200"/>
          </w:tcPr>
          <w:p>
            <w:pPr>
              <w:jc w:val="left"/>
            </w:pPr>
            <w:r>
              <w:rPr>
                <w:b/>
                <w:bCs/>
                <w:color w:val="000000"/>
                <w:sz w:val="20"/>
                <w:szCs w:val="20"/>
              </w:rPr>
              <w:t xml:space="preserve">Working Capital Days</w:t>
            </w:r>
          </w:p>
        </w:tc>
        <w:tc>
          <w:tcPr>
            <w:tcW w:type="dxa" w:w="1400"/>
          </w:tcPr>
          <w:p>
            <w:pPr>
              <w:jc w:val="center"/>
            </w:pPr>
            <w:r>
              <w:rPr>
                <w:b w:val="false"/>
                <w:bCs w:val="false"/>
                <w:color w:val="000000"/>
                <w:sz w:val="20"/>
                <w:szCs w:val="20"/>
              </w:rPr>
              <w:t xml:space="preserve">-112</w:t>
            </w:r>
          </w:p>
        </w:tc>
        <w:tc>
          <w:tcPr>
            <w:tcW w:type="dxa" w:w="1400"/>
          </w:tcPr>
          <w:p>
            <w:pPr>
              <w:jc w:val="center"/>
            </w:pPr>
            <w:r>
              <w:rPr>
                <w:b w:val="false"/>
                <w:bCs w:val="false"/>
                <w:color w:val="000000"/>
                <w:sz w:val="20"/>
                <w:szCs w:val="20"/>
              </w:rPr>
              <w:t xml:space="preserve">-88</w:t>
            </w:r>
          </w:p>
        </w:tc>
        <w:tc>
          <w:tcPr>
            <w:tcW w:type="dxa" w:w="1400"/>
          </w:tcPr>
          <w:p>
            <w:pPr>
              <w:jc w:val="center"/>
            </w:pPr>
            <w:r>
              <w:rPr>
                <w:b w:val="false"/>
                <w:bCs w:val="false"/>
                <w:color w:val="000000"/>
                <w:sz w:val="20"/>
                <w:szCs w:val="20"/>
              </w:rPr>
              <w:t xml:space="preserve">-63</w:t>
            </w:r>
          </w:p>
        </w:tc>
        <w:tc>
          <w:tcPr>
            <w:tcW w:type="dxa" w:w="1400"/>
          </w:tcPr>
          <w:p>
            <w:pPr>
              <w:jc w:val="center"/>
            </w:pPr>
            <w:r>
              <w:rPr>
                <w:b w:val="false"/>
                <w:bCs w:val="false"/>
                <w:color w:val="000000"/>
                <w:sz w:val="20"/>
                <w:szCs w:val="20"/>
              </w:rPr>
              <w:t xml:space="preserve">-55</w:t>
            </w:r>
          </w:p>
        </w:tc>
        <w:tc>
          <w:tcPr>
            <w:tcW w:type="dxa" w:w="1400"/>
          </w:tcPr>
          <w:p>
            <w:pPr>
              <w:jc w:val="center"/>
            </w:pPr>
            <w:r>
              <w:rPr>
                <w:b w:val="false"/>
                <w:bCs w:val="false"/>
                <w:color w:val="000000"/>
                <w:sz w:val="20"/>
                <w:szCs w:val="20"/>
              </w:rPr>
              <w:t xml:space="preserve">-62</w:t>
            </w:r>
          </w:p>
        </w:tc>
      </w:tr>
    </w:tbl>
    <w:p>
      <w:pPr>
        <w:spacing w:after="200"/>
      </w:pPr>
    </w:p>
    <w:p>
      <w:pPr>
        <w:spacing w:after="140"/>
      </w:pPr>
      <w:r>
        <w:rPr>
          <w:b w:val="false"/>
          <w:bCs w:val="false"/>
          <w:i/>
          <w:iCs/>
        </w:rPr>
        <w:t xml:space="preserve">Source: Screener.in, compiled from company annual reports / BSE filings. DSCR is a proxy (CFO / Interest Expense) - a full DSCR would also net out the current portion of long-term debt, which is not separately disclosed in public summary data. Working Capital Days is used in place of a Current Ratio, which is not derivable from the public summary balance sheet (no current/non-current split disclosed).</w:t>
      </w:r>
    </w:p>
    <w:p>
      <w:pPr>
        <w:pStyle w:val="Heading2"/>
        <w:spacing w:after="100" w:before="200"/>
      </w:pPr>
      <w:r>
        <w:t xml:space="preserve">3.1 Leverage &amp; Coverage</w:t>
      </w:r>
    </w:p>
    <w:p>
      <w:pPr>
        <w:spacing w:after="140"/>
      </w:pPr>
      <w:r>
        <w:rPr>
          <w:b w:val="false"/>
          <w:bCs w:val="false"/>
          <w:i w:val="false"/>
          <w:iCs w:val="false"/>
        </w:rPr>
        <w:t xml:space="preserve">Leverage peaked at 3.29x Debt-to-Equity in FY2022, coinciding with COVID-related demand disruption, the global semiconductor shortage, and continued losses at JLR. From FY2023, the group deleveraged sharply - D/E fell to 1.26x by FY2024 and 0.62x by FY2025, driven by strong free cash flow generation (FY2024-25 combined FCF of ~Rs.62,766 Cr) applied to debt reduction. Interest coverage moved in lockstep, from a low of -0.01x in FY2022 (EBIT was marginally negative) to 6.47x by FY2025 - comfortably above typical investment-grade thresholds (&gt;3x) for an auto OEM.</w:t>
      </w:r>
    </w:p>
    <w:p>
      <w:pPr>
        <w:pStyle w:val="Heading2"/>
        <w:spacing w:after="100" w:before="200"/>
      </w:pPr>
      <w:r>
        <w:t xml:space="preserve">3.2 Profitability &amp; Returns</w:t>
      </w:r>
    </w:p>
    <w:p>
      <w:pPr>
        <w:spacing w:after="140"/>
      </w:pPr>
      <w:r>
        <w:rPr>
          <w:b w:val="false"/>
          <w:bCs w:val="false"/>
          <w:i w:val="false"/>
          <w:iCs w:val="false"/>
        </w:rPr>
        <w:t xml:space="preserve">EBITDA margin troughed at 9% in FY2022-FY2023 amid input cost inflation and JLR underperformance, recovering to 13% by FY2024-FY2025 - back in line with the FY2021 pre-crisis level. ROCE followed a similar recovery arc, from near-zero (1% in FY2022) to 19-20% by FY2024-FY2025, reflecting both margin recovery and the smaller capital base after deleveraging.</w:t>
      </w:r>
    </w:p>
    <w:p>
      <w:pPr>
        <w:pStyle w:val="Heading2"/>
        <w:spacing w:after="100" w:before="200"/>
      </w:pPr>
      <w:r>
        <w:t xml:space="preserve">3.3 Liquidity</w:t>
      </w:r>
    </w:p>
    <w:p>
      <w:pPr>
        <w:spacing w:after="140"/>
      </w:pPr>
      <w:r>
        <w:rPr>
          <w:b w:val="false"/>
          <w:bCs w:val="false"/>
          <w:i w:val="false"/>
          <w:iCs w:val="false"/>
        </w:rPr>
        <w:t xml:space="preserve">The group runs structurally negative working capital (-55 to -112 days across the period), typical of an OEM with strong supplier payment terms relative to receivables and inventory - this is a source of funding, not a liquidity strain, provided volumes hold. A Current Ratio could not be computed from the public summary balance sheet, which does not separately disclose current vs. non-current assets and liabilities; this is flagged as a data limitation rather than treated as a liquidity concern.</w:t>
      </w:r>
    </w:p>
    <w:p>
      <w:pPr>
        <w:pStyle w:val="Heading2"/>
        <w:spacing w:after="100" w:before="200"/>
      </w:pPr>
      <w:r>
        <w:t xml:space="preserve">3.4 Earnings Volatility</w:t>
      </w:r>
    </w:p>
    <w:p>
      <w:pPr>
        <w:spacing w:after="140"/>
      </w:pPr>
      <w:r>
        <w:rPr>
          <w:b w:val="false"/>
          <w:bCs w:val="false"/>
          <w:i w:val="false"/>
          <w:iCs w:val="false"/>
        </w:rPr>
        <w:t xml:space="preserve">The single largest risk flag in this analysis is historical earnings volatility: consolidated PAT swung from -Rs.13,395 Cr (FY2021) to -Rs.11,309 Cr (FY2022) to +Rs.31,807 Cr (FY2024), driven by a combination of pandemic demand shock, chip shortages, JLR restructuring charges, and a subsequent sharp recovery. While the FY2024-FY2025 trend is strongly positive, the five-year record shows the group's earnings are sensitive to global auto-cycle and supply-chain shocks.</w:t>
      </w:r>
    </w:p>
    <w:p>
      <w:pPr>
        <w:pStyle w:val="Heading1"/>
        <w:spacing w:after="120" w:before="240"/>
      </w:pPr>
      <w:r>
        <w:t xml:space="preserve">4. Indicative Internal Scorecard (FY2025)</w:t>
      </w:r>
    </w:p>
    <w:p>
      <w:pPr>
        <w:spacing w:after="140"/>
      </w:pPr>
      <w:r>
        <w:rPr>
          <w:b w:val="false"/>
          <w:bCs w:val="false"/>
          <w:i/>
          <w:iCs/>
        </w:rPr>
        <w:t xml:space="preserve">The scorecard below is a simplified, equally-weighted academic exercise built for this project - it is not a CRISIL/ICRA/CARE methodology output and should not be read as an actual credit rating.</w:t>
      </w:r>
    </w:p>
    <w:tbl>
      <w:tblPr>
        <w:tblW w:type="dxa" w:w="100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tblGrid>
      <w:tr>
        <w:trPr>
          <w:tblHeader/>
        </w:trPr>
        <w:tc>
          <w:tcPr>
            <w:tcW w:type="dxa" w:w="2600"/>
            <w:shd w:fill="7F1D1D" w:val="clear"/>
          </w:tcPr>
          <w:p>
            <w:pPr>
              <w:jc w:val="left"/>
            </w:pPr>
            <w:r>
              <w:rPr>
                <w:b/>
                <w:bCs/>
                <w:color w:val="FFFFFF"/>
                <w:sz w:val="20"/>
                <w:szCs w:val="20"/>
              </w:rPr>
              <w:t xml:space="preserve">Factor</w:t>
            </w:r>
          </w:p>
        </w:tc>
        <w:tc>
          <w:tcPr>
            <w:tcW w:type="dxa" w:w="1400"/>
            <w:shd w:fill="7F1D1D" w:val="clear"/>
          </w:tcPr>
          <w:p>
            <w:pPr>
              <w:jc w:val="center"/>
            </w:pPr>
            <w:r>
              <w:rPr>
                <w:b/>
                <w:bCs/>
                <w:color w:val="FFFFFF"/>
                <w:sz w:val="20"/>
                <w:szCs w:val="20"/>
              </w:rPr>
              <w:t xml:space="preserve">FY25 Value</w:t>
            </w:r>
          </w:p>
        </w:tc>
        <w:tc>
          <w:tcPr>
            <w:tcW w:type="dxa" w:w="1000"/>
            <w:shd w:fill="7F1D1D" w:val="clear"/>
          </w:tcPr>
          <w:p>
            <w:pPr>
              <w:jc w:val="center"/>
            </w:pPr>
            <w:r>
              <w:rPr>
                <w:b/>
                <w:bCs/>
                <w:color w:val="FFFFFF"/>
                <w:sz w:val="20"/>
                <w:szCs w:val="20"/>
              </w:rPr>
              <w:t xml:space="preserve">Score</w:t>
            </w:r>
          </w:p>
        </w:tc>
        <w:tc>
          <w:tcPr>
            <w:tcW w:type="dxa" w:w="5000"/>
            <w:shd w:fill="7F1D1D" w:val="clear"/>
          </w:tcPr>
          <w:p>
            <w:pPr>
              <w:jc w:val="left"/>
            </w:pPr>
            <w:r>
              <w:rPr>
                <w:b/>
                <w:bCs/>
                <w:color w:val="FFFFFF"/>
                <w:sz w:val="20"/>
                <w:szCs w:val="20"/>
              </w:rPr>
              <w:t xml:space="preserve">Rationale</w:t>
            </w:r>
          </w:p>
        </w:tc>
      </w:tr>
      <w:tr>
        <w:tc>
          <w:tcPr>
            <w:tcW w:type="dxa" w:w="2600"/>
          </w:tcPr>
          <w:p>
            <w:pPr>
              <w:jc w:val="left"/>
            </w:pPr>
            <w:r>
              <w:rPr>
                <w:b/>
                <w:bCs/>
                <w:color w:val="000000"/>
                <w:sz w:val="20"/>
                <w:szCs w:val="20"/>
              </w:rPr>
              <w:t xml:space="preserve">Leverage (D/E)</w:t>
            </w:r>
          </w:p>
        </w:tc>
        <w:tc>
          <w:tcPr>
            <w:tcW w:type="dxa" w:w="1400"/>
          </w:tcPr>
          <w:p>
            <w:pPr>
              <w:jc w:val="center"/>
            </w:pPr>
            <w:r>
              <w:rPr>
                <w:b w:val="false"/>
                <w:bCs w:val="false"/>
                <w:color w:val="000000"/>
                <w:sz w:val="20"/>
                <w:szCs w:val="20"/>
              </w:rPr>
              <w:t xml:space="preserve">0.62x</w:t>
            </w:r>
          </w:p>
        </w:tc>
        <w:tc>
          <w:tcPr>
            <w:tcW w:type="dxa" w:w="1000"/>
          </w:tcPr>
          <w:p>
            <w:pPr>
              <w:jc w:val="center"/>
            </w:pPr>
            <w:r>
              <w:rPr>
                <w:b/>
                <w:bCs/>
                <w:color w:val="000000"/>
                <w:sz w:val="20"/>
                <w:szCs w:val="20"/>
              </w:rPr>
              <w:t xml:space="preserve">5/5</w:t>
            </w:r>
          </w:p>
        </w:tc>
        <w:tc>
          <w:tcPr>
            <w:tcW w:type="dxa" w:w="5000"/>
          </w:tcPr>
          <w:p>
            <w:pPr>
              <w:jc w:val="left"/>
            </w:pPr>
            <w:r>
              <w:rPr>
                <w:b w:val="false"/>
                <w:bCs w:val="false"/>
                <w:color w:val="000000"/>
                <w:sz w:val="18"/>
                <w:szCs w:val="18"/>
              </w:rPr>
              <w:t xml:space="preserve">Low leverage for a capital-intensive OEM; deleveraged from 3.29x (FY22) to 0.62x (FY25).</w:t>
            </w:r>
          </w:p>
        </w:tc>
      </w:tr>
      <w:tr>
        <w:tc>
          <w:tcPr>
            <w:tcW w:type="dxa" w:w="2600"/>
          </w:tcPr>
          <w:p>
            <w:pPr>
              <w:jc w:val="left"/>
            </w:pPr>
            <w:r>
              <w:rPr>
                <w:b/>
                <w:bCs/>
                <w:color w:val="000000"/>
                <w:sz w:val="20"/>
                <w:szCs w:val="20"/>
              </w:rPr>
              <w:t xml:space="preserve">Interest Coverage</w:t>
            </w:r>
          </w:p>
        </w:tc>
        <w:tc>
          <w:tcPr>
            <w:tcW w:type="dxa" w:w="1400"/>
          </w:tcPr>
          <w:p>
            <w:pPr>
              <w:jc w:val="center"/>
            </w:pPr>
            <w:r>
              <w:rPr>
                <w:b w:val="false"/>
                <w:bCs w:val="false"/>
                <w:color w:val="000000"/>
                <w:sz w:val="20"/>
                <w:szCs w:val="20"/>
              </w:rPr>
              <w:t xml:space="preserve">6.47x</w:t>
            </w:r>
          </w:p>
        </w:tc>
        <w:tc>
          <w:tcPr>
            <w:tcW w:type="dxa" w:w="1000"/>
          </w:tcPr>
          <w:p>
            <w:pPr>
              <w:jc w:val="center"/>
            </w:pPr>
            <w:r>
              <w:rPr>
                <w:b/>
                <w:bCs/>
                <w:color w:val="000000"/>
                <w:sz w:val="20"/>
                <w:szCs w:val="20"/>
              </w:rPr>
              <w:t xml:space="preserve">5/5</w:t>
            </w:r>
          </w:p>
        </w:tc>
        <w:tc>
          <w:tcPr>
            <w:tcW w:type="dxa" w:w="5000"/>
          </w:tcPr>
          <w:p>
            <w:pPr>
              <w:jc w:val="left"/>
            </w:pPr>
            <w:r>
              <w:rPr>
                <w:b w:val="false"/>
                <w:bCs w:val="false"/>
                <w:color w:val="000000"/>
                <w:sz w:val="18"/>
                <w:szCs w:val="18"/>
              </w:rPr>
              <w:t xml:space="preserve">Comfortably covers interest; up from sub-1x in FY21-22.</w:t>
            </w:r>
          </w:p>
        </w:tc>
      </w:tr>
      <w:tr>
        <w:tc>
          <w:tcPr>
            <w:tcW w:type="dxa" w:w="2600"/>
          </w:tcPr>
          <w:p>
            <w:pPr>
              <w:jc w:val="left"/>
            </w:pPr>
            <w:r>
              <w:rPr>
                <w:b/>
                <w:bCs/>
                <w:color w:val="000000"/>
                <w:sz w:val="20"/>
                <w:szCs w:val="20"/>
              </w:rPr>
              <w:t xml:space="preserve">DSCR proxy</w:t>
            </w:r>
          </w:p>
        </w:tc>
        <w:tc>
          <w:tcPr>
            <w:tcW w:type="dxa" w:w="1400"/>
          </w:tcPr>
          <w:p>
            <w:pPr>
              <w:jc w:val="center"/>
            </w:pPr>
            <w:r>
              <w:rPr>
                <w:b w:val="false"/>
                <w:bCs w:val="false"/>
                <w:color w:val="000000"/>
                <w:sz w:val="20"/>
                <w:szCs w:val="20"/>
              </w:rPr>
              <w:t xml:space="preserve">12.41x</w:t>
            </w:r>
          </w:p>
        </w:tc>
        <w:tc>
          <w:tcPr>
            <w:tcW w:type="dxa" w:w="1000"/>
          </w:tcPr>
          <w:p>
            <w:pPr>
              <w:jc w:val="center"/>
            </w:pPr>
            <w:r>
              <w:rPr>
                <w:b/>
                <w:bCs/>
                <w:color w:val="000000"/>
                <w:sz w:val="20"/>
                <w:szCs w:val="20"/>
              </w:rPr>
              <w:t xml:space="preserve">5/5</w:t>
            </w:r>
          </w:p>
        </w:tc>
        <w:tc>
          <w:tcPr>
            <w:tcW w:type="dxa" w:w="5000"/>
          </w:tcPr>
          <w:p>
            <w:pPr>
              <w:jc w:val="left"/>
            </w:pPr>
            <w:r>
              <w:rPr>
                <w:b w:val="false"/>
                <w:bCs w:val="false"/>
                <w:color w:val="000000"/>
                <w:sz w:val="18"/>
                <w:szCs w:val="18"/>
              </w:rPr>
              <w:t xml:space="preserve">Strong CFO relative to interest burden.</w:t>
            </w:r>
          </w:p>
        </w:tc>
      </w:tr>
      <w:tr>
        <w:tc>
          <w:tcPr>
            <w:tcW w:type="dxa" w:w="2600"/>
          </w:tcPr>
          <w:p>
            <w:pPr>
              <w:jc w:val="left"/>
            </w:pPr>
            <w:r>
              <w:rPr>
                <w:b/>
                <w:bCs/>
                <w:color w:val="000000"/>
                <w:sz w:val="20"/>
                <w:szCs w:val="20"/>
              </w:rPr>
              <w:t xml:space="preserve">EBITDA Margin</w:t>
            </w:r>
          </w:p>
        </w:tc>
        <w:tc>
          <w:tcPr>
            <w:tcW w:type="dxa" w:w="1400"/>
          </w:tcPr>
          <w:p>
            <w:pPr>
              <w:jc w:val="center"/>
            </w:pPr>
            <w:r>
              <w:rPr>
                <w:b w:val="false"/>
                <w:bCs w:val="false"/>
                <w:color w:val="000000"/>
                <w:sz w:val="20"/>
                <w:szCs w:val="20"/>
              </w:rPr>
              <w:t xml:space="preserve">13%</w:t>
            </w:r>
          </w:p>
        </w:tc>
        <w:tc>
          <w:tcPr>
            <w:tcW w:type="dxa" w:w="1000"/>
          </w:tcPr>
          <w:p>
            <w:pPr>
              <w:jc w:val="center"/>
            </w:pPr>
            <w:r>
              <w:rPr>
                <w:b/>
                <w:bCs/>
                <w:color w:val="000000"/>
                <w:sz w:val="20"/>
                <w:szCs w:val="20"/>
              </w:rPr>
              <w:t xml:space="preserve">4/5</w:t>
            </w:r>
          </w:p>
        </w:tc>
        <w:tc>
          <w:tcPr>
            <w:tcW w:type="dxa" w:w="5000"/>
          </w:tcPr>
          <w:p>
            <w:pPr>
              <w:jc w:val="left"/>
            </w:pPr>
            <w:r>
              <w:rPr>
                <w:b w:val="false"/>
                <w:bCs w:val="false"/>
                <w:color w:val="000000"/>
                <w:sz w:val="18"/>
                <w:szCs w:val="18"/>
              </w:rPr>
              <w:t xml:space="preserve">Restored to FY21 levels; in line with global OEM peers.</w:t>
            </w:r>
          </w:p>
        </w:tc>
      </w:tr>
      <w:tr>
        <w:tc>
          <w:tcPr>
            <w:tcW w:type="dxa" w:w="2600"/>
          </w:tcPr>
          <w:p>
            <w:pPr>
              <w:jc w:val="left"/>
            </w:pPr>
            <w:r>
              <w:rPr>
                <w:b/>
                <w:bCs/>
                <w:color w:val="000000"/>
                <w:sz w:val="20"/>
                <w:szCs w:val="20"/>
              </w:rPr>
              <w:t xml:space="preserve">ROCE</w:t>
            </w:r>
          </w:p>
        </w:tc>
        <w:tc>
          <w:tcPr>
            <w:tcW w:type="dxa" w:w="1400"/>
          </w:tcPr>
          <w:p>
            <w:pPr>
              <w:jc w:val="center"/>
            </w:pPr>
            <w:r>
              <w:rPr>
                <w:b w:val="false"/>
                <w:bCs w:val="false"/>
                <w:color w:val="000000"/>
                <w:sz w:val="20"/>
                <w:szCs w:val="20"/>
              </w:rPr>
              <w:t xml:space="preserve">20%</w:t>
            </w:r>
          </w:p>
        </w:tc>
        <w:tc>
          <w:tcPr>
            <w:tcW w:type="dxa" w:w="1000"/>
          </w:tcPr>
          <w:p>
            <w:pPr>
              <w:jc w:val="center"/>
            </w:pPr>
            <w:r>
              <w:rPr>
                <w:b/>
                <w:bCs/>
                <w:color w:val="000000"/>
                <w:sz w:val="20"/>
                <w:szCs w:val="20"/>
              </w:rPr>
              <w:t xml:space="preserve">4/5</w:t>
            </w:r>
          </w:p>
        </w:tc>
        <w:tc>
          <w:tcPr>
            <w:tcW w:type="dxa" w:w="5000"/>
          </w:tcPr>
          <w:p>
            <w:pPr>
              <w:jc w:val="left"/>
            </w:pPr>
            <w:r>
              <w:rPr>
                <w:b w:val="false"/>
                <w:bCs w:val="false"/>
                <w:color w:val="000000"/>
                <w:sz w:val="18"/>
                <w:szCs w:val="18"/>
              </w:rPr>
              <w:t xml:space="preserve">Strong, though only 3 years removed from near-zero returns.</w:t>
            </w:r>
          </w:p>
        </w:tc>
      </w:tr>
      <w:tr>
        <w:tc>
          <w:tcPr>
            <w:tcW w:type="dxa" w:w="2600"/>
          </w:tcPr>
          <w:p>
            <w:pPr>
              <w:jc w:val="left"/>
            </w:pPr>
            <w:r>
              <w:rPr>
                <w:b/>
                <w:bCs/>
                <w:color w:val="000000"/>
                <w:sz w:val="20"/>
                <w:szCs w:val="20"/>
              </w:rPr>
              <w:t xml:space="preserve">Earnings Volatility (5yr)</w:t>
            </w:r>
          </w:p>
        </w:tc>
        <w:tc>
          <w:tcPr>
            <w:tcW w:type="dxa" w:w="1400"/>
          </w:tcPr>
          <w:p>
            <w:pPr>
              <w:jc w:val="center"/>
            </w:pPr>
            <w:r>
              <w:rPr>
                <w:b w:val="false"/>
                <w:bCs w:val="false"/>
                <w:color w:val="000000"/>
                <w:sz w:val="20"/>
                <w:szCs w:val="20"/>
              </w:rPr>
              <w:t xml:space="preserve">High</w:t>
            </w:r>
          </w:p>
        </w:tc>
        <w:tc>
          <w:tcPr>
            <w:tcW w:type="dxa" w:w="1000"/>
          </w:tcPr>
          <w:p>
            <w:pPr>
              <w:jc w:val="center"/>
            </w:pPr>
            <w:r>
              <w:rPr>
                <w:b/>
                <w:bCs/>
                <w:color w:val="000000"/>
                <w:sz w:val="20"/>
                <w:szCs w:val="20"/>
              </w:rPr>
              <w:t xml:space="preserve">2/5</w:t>
            </w:r>
          </w:p>
        </w:tc>
        <w:tc>
          <w:tcPr>
            <w:tcW w:type="dxa" w:w="5000"/>
          </w:tcPr>
          <w:p>
            <w:pPr>
              <w:jc w:val="left"/>
            </w:pPr>
            <w:r>
              <w:rPr>
                <w:b w:val="false"/>
                <w:bCs w:val="false"/>
                <w:color w:val="000000"/>
                <w:sz w:val="18"/>
                <w:szCs w:val="18"/>
              </w:rPr>
              <w:t xml:space="preserve">PAT swung from -Rs.13,395 Cr (FY21) to +Rs.31,807 Cr (FY24).</w:t>
            </w:r>
          </w:p>
        </w:tc>
      </w:tr>
      <w:tr>
        <w:tc>
          <w:tcPr>
            <w:tcW w:type="dxa" w:w="2600"/>
          </w:tcPr>
          <w:p>
            <w:pPr>
              <w:jc w:val="left"/>
            </w:pPr>
            <w:r>
              <w:rPr>
                <w:b/>
                <w:bCs/>
                <w:color w:val="000000"/>
                <w:sz w:val="20"/>
                <w:szCs w:val="20"/>
              </w:rPr>
              <w:t xml:space="preserve">Liquidity (working capital)</w:t>
            </w:r>
          </w:p>
        </w:tc>
        <w:tc>
          <w:tcPr>
            <w:tcW w:type="dxa" w:w="1400"/>
          </w:tcPr>
          <w:p>
            <w:pPr>
              <w:jc w:val="center"/>
            </w:pPr>
            <w:r>
              <w:rPr>
                <w:b w:val="false"/>
                <w:bCs w:val="false"/>
                <w:color w:val="000000"/>
                <w:sz w:val="20"/>
                <w:szCs w:val="20"/>
              </w:rPr>
              <w:t xml:space="preserve">-62 days</w:t>
            </w:r>
          </w:p>
        </w:tc>
        <w:tc>
          <w:tcPr>
            <w:tcW w:type="dxa" w:w="1000"/>
          </w:tcPr>
          <w:p>
            <w:pPr>
              <w:jc w:val="center"/>
            </w:pPr>
            <w:r>
              <w:rPr>
                <w:b/>
                <w:bCs/>
                <w:color w:val="000000"/>
                <w:sz w:val="20"/>
                <w:szCs w:val="20"/>
              </w:rPr>
              <w:t xml:space="preserve">4/5</w:t>
            </w:r>
          </w:p>
        </w:tc>
        <w:tc>
          <w:tcPr>
            <w:tcW w:type="dxa" w:w="5000"/>
          </w:tcPr>
          <w:p>
            <w:pPr>
              <w:jc w:val="left"/>
            </w:pPr>
            <w:r>
              <w:rPr>
                <w:b w:val="false"/>
                <w:bCs w:val="false"/>
                <w:color w:val="000000"/>
                <w:sz w:val="18"/>
                <w:szCs w:val="18"/>
              </w:rPr>
              <w:t xml:space="preserve">Persistently negative WC days reflect payables leverage, not strain.</w:t>
            </w:r>
          </w:p>
        </w:tc>
      </w:tr>
    </w:tbl>
    <w:p>
      <w:pPr>
        <w:spacing w:after="200"/>
      </w:pPr>
    </w:p>
    <w:p>
      <w:pPr>
        <w:spacing w:after="200"/>
      </w:pPr>
      <w:r>
        <w:rPr>
          <w:b/>
          <w:bCs/>
          <w:color w:val="7F1D1D"/>
          <w:sz w:val="24"/>
          <w:szCs w:val="24"/>
        </w:rPr>
        <w:t xml:space="preserve">Weighted Average Score: 4.14 / 5.0   →   Indicative Rating Band: A-equivalent</w:t>
      </w:r>
    </w:p>
    <w:p>
      <w:pPr>
        <w:pStyle w:val="Heading1"/>
        <w:spacing w:after="120" w:before="240"/>
      </w:pPr>
      <w:r>
        <w:t xml:space="preserve">5. Risks to Monitor</w:t>
      </w:r>
    </w:p>
    <w:p>
      <w:pPr>
        <w:pStyle w:val="ListParagraph"/>
        <w:numPr>
          <w:ilvl w:val="0"/>
          <w:numId w:val="1"/>
        </w:numPr>
        <w:spacing w:after="80"/>
      </w:pPr>
      <w:r>
        <w:t xml:space="preserve">JLR / global exposure: FX movements, tariff policy (US/EU), and the FY26 cyber incident's operational aftermath.</w:t>
      </w:r>
    </w:p>
    <w:p>
      <w:pPr>
        <w:pStyle w:val="ListParagraph"/>
        <w:numPr>
          <w:ilvl w:val="0"/>
          <w:numId w:val="1"/>
        </w:numPr>
        <w:spacing w:after="80"/>
      </w:pPr>
      <w:r>
        <w:t xml:space="preserve">EV transition capex: sustained investment need across both PV/JLR and CV franchises; competitive intensity from both domestic and global EV entrants.</w:t>
      </w:r>
    </w:p>
    <w:p>
      <w:pPr>
        <w:pStyle w:val="ListParagraph"/>
        <w:numPr>
          <w:ilvl w:val="0"/>
          <w:numId w:val="1"/>
        </w:numPr>
        <w:spacing w:after="80"/>
      </w:pPr>
      <w:r>
        <w:t xml:space="preserve">Post-demerger capital structure: the October 2025 demerger separates the CV business's credit profile from PV/JLR going forward - future analysis should treat these as two distinct credit stories rather than a single combined entity.</w:t>
      </w:r>
    </w:p>
    <w:p>
      <w:pPr>
        <w:pStyle w:val="ListParagraph"/>
        <w:numPr>
          <w:ilvl w:val="0"/>
          <w:numId w:val="1"/>
        </w:numPr>
        <w:spacing w:after="80"/>
      </w:pPr>
      <w:r>
        <w:t xml:space="preserve">Commodity input cost inflation (steel, aluminium, semiconductors) - a recurring margin swing factor over the review period.</w:t>
      </w:r>
    </w:p>
    <w:p>
      <w:pPr>
        <w:pStyle w:val="Heading1"/>
        <w:spacing w:after="120" w:before="240"/>
      </w:pPr>
      <w:r>
        <w:t xml:space="preserve">6. Conclusion &amp; Lending Recommendation</w:t>
      </w:r>
    </w:p>
    <w:p>
      <w:pPr>
        <w:spacing w:after="140"/>
      </w:pPr>
      <w:r>
        <w:rPr>
          <w:b w:val="false"/>
          <w:bCs w:val="false"/>
          <w:i w:val="false"/>
          <w:iCs w:val="false"/>
        </w:rPr>
        <w:t xml:space="preserve">The FY2021-FY2025 trend shows a credit profile that has strengthened materially: leverage more than halved from its FY2022 peak, interest coverage improved from sub-1x to above 6x, and returns recovered from near-zero to a healthy 19-20% ROCE. Against this, the group's demonstrated earnings volatility during industry-wide shocks, and the structural change introduced by the October 2025 demerger, both warrant ongoing monitoring rather than a 'set and forget' credit view.</w:t>
      </w:r>
    </w:p>
    <w:p>
      <w:pPr>
        <w:spacing w:after="140"/>
      </w:pPr>
      <w:r>
        <w:rPr>
          <w:b/>
          <w:bCs/>
          <w:i w:val="false"/>
          <w:iCs w:val="false"/>
        </w:rPr>
        <w:t xml:space="preserve">Indicative recommendation: the FY2025 financial profile supports an A-equivalent indicative internal rating, consistent with a facility structure that includes standard covenants on leverage and interest coverage, and a covenant re-test trigger tied to the post-demerger entity structure once FY2026 stand-alone financials for each entity are available.</w:t>
      </w:r>
    </w:p>
    <w:p>
      <w:pPr>
        <w:spacing w:before="300"/>
      </w:pPr>
    </w:p>
    <w:p>
      <w:r>
        <w:rPr>
          <w:i/>
          <w:iCs/>
          <w:color w:val="595959"/>
          <w:sz w:val="18"/>
          <w:szCs w:val="18"/>
        </w:rPr>
        <w:t xml:space="preserve">This memorandum was prepared as a personal / academic credit-analysis exercise using public data. It does not constitute investment or lending advice.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2026-07-16T07:45:03.012Z</dcterms:created>
  <dcterms:modified xsi:type="dcterms:W3CDTF">2026-07-16T07:45:03.021Z</dcterms:modified>
</cp:coreProperties>
</file>

<file path=docProps/custom.xml><?xml version="1.0" encoding="utf-8"?>
<Properties xmlns="http://schemas.openxmlformats.org/officeDocument/2006/custom-properties" xmlns:vt="http://schemas.openxmlformats.org/officeDocument/2006/docPropsVTypes"/>
</file>