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Veldra Insights — Launch Status Report</w:t>
      </w:r>
    </w:p>
    <w:p>
      <w:pPr>
        <w:spacing w:after="100"/>
      </w:pPr>
      <w:r>
        <w:rPr>
          <w:i/>
          <w:iCs/>
          <w:sz w:val="20"/>
          <w:szCs w:val="20"/>
        </w:rPr>
        <w:t xml:space="preserve">March 15, 2026 edition  ·  One week out from GA (March 22, 2026)  ·  Prepared by Ana Delgado, Product Marketing  ·  Issued March 15, 2026</w:t>
      </w:r>
    </w:p>
    <w:p>
      <w:pPr>
        <w:spacing w:after="100"/>
      </w:pPr>
      <w:r>
        <w:rPr>
          <w:sz w:val="20"/>
          <w:szCs w:val="20"/>
        </w:rPr>
        <w:t xml:space="preserve">Distribution: Diane Whitfield; launch core team</w:t>
      </w:r>
    </w:p>
    <w:p>
      <w:pPr>
        <w:pBdr>
          <w:top w:val="single" w:color="CCCCCC" w:sz="4"/>
          <w:bottom w:val="single" w:color="CCCCCC" w:sz="4"/>
        </w:pBdr>
        <w:spacing w:after="200" w:before="100"/>
      </w:pPr>
      <w:r>
        <w:rPr>
          <w:i/>
          <w:iCs/>
          <w:color w:val="767676"/>
          <w:sz w:val="18"/>
          <w:szCs w:val="18"/>
        </w:rPr>
        <w:t xml:space="preserve">Note: no launch-metrics update has been logged since the February 2026 monthly report (data as of Feb 28, issued March 1). Figures carried forward below are marked accordingly and should be refreshed before the go/no-go review.</w:t>
      </w:r>
    </w:p>
    <w:p>
      <w:pPr>
        <w:pStyle w:val="Heading1"/>
        <w:spacing w:after="150" w:before="300"/>
      </w:pPr>
      <w:r>
        <w:t xml:space="preserve">Executive summary</w:t>
      </w:r>
    </w:p>
    <w:p>
      <w:pPr>
        <w:spacing w:after="150"/>
      </w:pPr>
      <w:r>
        <w:t xml:space="preserve">General availability has moved one week, from March 15 to March 22, 2026. The slip traces directly to the two critical-path items flagged in the February report: legal sign-off on the pricing-page claims had not started as of Feb 28, and creative capacity — reduced through March by the rebrand reallocation — put the press-kit timeline at risk. The extra week is intended to close both gaps rather than launch against them open.</w:t>
      </w:r>
    </w:p>
    <w:p>
      <w:pPr>
        <w:spacing w:after="150"/>
      </w:pPr>
      <w:r>
        <w:t xml:space="preserve">Beta results (NPS 47 against a goal of 50; waitlist at 4,820 against 5,000) and pipeline figures ($255,000 launch-sourced as of Feb 28) have not been refreshed since the prior report. They are carried forward here as the last known values, not as current status — recommend a metrics refresh before finalizing the GA go/no-go decision.</w:t>
      </w:r>
    </w:p>
    <w:p>
      <w:pPr>
        <w:spacing w:after="150"/>
      </w:pPr>
      <w:r>
        <w:t xml:space="preserve">Two items remain on the critical path into the new GA date: legal sign-off on pricing-page claims, and creative/press-kit capacity. A third, newly introduced risk is schedule dependency: milestones built against the original March 15 date (the March 8 press &amp; analyst briefing, the March 10 waitlist nurture sequence) need to be explicitly reconfirmed or moved against March 22.</w:t>
      </w:r>
    </w:p>
    <w:p>
      <w:pPr>
        <w:pStyle w:val="Heading1"/>
        <w:spacing w:after="150" w:before="300"/>
      </w:pPr>
      <w:r>
        <w:t xml:space="preserve">Key metrics</w:t>
      </w:r>
    </w:p>
    <w:p>
      <w:pPr>
        <w:spacing w:after="150"/>
      </w:pPr>
      <w:r>
        <w:rPr>
          <w:i/>
          <w:iCs/>
          <w:color w:val="767676"/>
          <w:sz w:val="18"/>
          <w:szCs w:val="18"/>
        </w:rPr>
        <w:t xml:space="preserve">Carried forward from the February report (last refreshed Feb 28, 2026) — pending an updated pull ahead of the March 22 GA.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shd w:fill="E8E8E8" w:color="auto" w:val="clear"/>
          </w:tcPr>
          <w:p>
            <w:r>
              <w:rPr>
                <w:b/>
                <w:bCs/>
                <w:sz w:val="20"/>
                <w:szCs w:val="20"/>
              </w:rPr>
              <w:t xml:space="preserve">Metric</w:t>
            </w:r>
          </w:p>
        </w:tc>
        <w:tc>
          <w:tcPr>
            <w:tcW w:type="dxa" w:w="2700"/>
            <w:shd w:fill="E8E8E8" w:color="auto" w:val="clear"/>
          </w:tcPr>
          <w:p>
            <w:r>
              <w:rPr>
                <w:b/>
                <w:bCs/>
                <w:sz w:val="20"/>
                <w:szCs w:val="20"/>
              </w:rPr>
              <w:t xml:space="preserve">Last reported (Feb 28)</w:t>
            </w:r>
          </w:p>
        </w:tc>
        <w:tc>
          <w:tcPr>
            <w:tcW w:type="dxa" w:w="2700"/>
            <w:shd w:fill="E8E8E8" w:color="auto" w:val="clear"/>
          </w:tcPr>
          <w:p>
            <w:r>
              <w:rPr>
                <w:b/>
                <w:bCs/>
                <w:sz w:val="20"/>
                <w:szCs w:val="20"/>
              </w:rPr>
              <w:t xml:space="preserve">Target</w:t>
            </w:r>
          </w:p>
        </w:tc>
        <w:tc>
          <w:tcPr>
            <w:tcW w:type="dxa" w:w="2700"/>
            <w:shd w:fill="E8E8E8" w:color="auto" w:val="clear"/>
          </w:tcPr>
          <w:p>
            <w:r>
              <w:rPr>
                <w:b/>
                <w:bCs/>
                <w:sz w:val="20"/>
                <w:szCs w:val="20"/>
              </w:rPr>
              <w:t xml:space="preserve">Status</w:t>
            </w:r>
          </w:p>
        </w:tc>
      </w:tr>
      <w:tr>
        <w:tc>
          <w:tcPr>
            <w:tcW w:type="dxa" w:w="2700"/>
          </w:tcPr>
          <w:p>
            <w:r>
              <w:rPr>
                <w:sz w:val="20"/>
                <w:szCs w:val="20"/>
              </w:rPr>
              <w:t xml:space="preserve">Waitlist signups</w:t>
            </w:r>
          </w:p>
        </w:tc>
        <w:tc>
          <w:tcPr>
            <w:tcW w:type="dxa" w:w="2700"/>
          </w:tcPr>
          <w:p>
            <w:r>
              <w:rPr>
                <w:sz w:val="20"/>
                <w:szCs w:val="20"/>
              </w:rPr>
              <w:t xml:space="preserve">4,820</w:t>
            </w:r>
          </w:p>
        </w:tc>
        <w:tc>
          <w:tcPr>
            <w:tcW w:type="dxa" w:w="2700"/>
          </w:tcPr>
          <w:p>
            <w:r>
              <w:rPr>
                <w:sz w:val="20"/>
                <w:szCs w:val="20"/>
              </w:rPr>
              <w:t xml:space="preserve">5,000</w:t>
            </w:r>
          </w:p>
        </w:tc>
        <w:tc>
          <w:tcPr>
            <w:tcW w:type="dxa" w:w="2700"/>
          </w:tcPr>
          <w:p>
            <w:r>
              <w:rPr>
                <w:sz w:val="20"/>
                <w:szCs w:val="20"/>
              </w:rPr>
              <w:t xml:space="preserve">🟡 On track — needs refresh</w:t>
            </w:r>
          </w:p>
        </w:tc>
      </w:tr>
      <w:tr>
        <w:tc>
          <w:tcPr>
            <w:tcW w:type="dxa" w:w="2700"/>
          </w:tcPr>
          <w:p>
            <w:r>
              <w:rPr>
                <w:sz w:val="20"/>
                <w:szCs w:val="20"/>
              </w:rPr>
              <w:t xml:space="preserve">Beta NPS</w:t>
            </w:r>
          </w:p>
        </w:tc>
        <w:tc>
          <w:tcPr>
            <w:tcW w:type="dxa" w:w="2700"/>
          </w:tcPr>
          <w:p>
            <w:r>
              <w:rPr>
                <w:sz w:val="20"/>
                <w:szCs w:val="20"/>
              </w:rPr>
              <w:t xml:space="preserve">47 (n=214)</w:t>
            </w:r>
          </w:p>
        </w:tc>
        <w:tc>
          <w:tcPr>
            <w:tcW w:type="dxa" w:w="2700"/>
          </w:tcPr>
          <w:p>
            <w:r>
              <w:rPr>
                <w:sz w:val="20"/>
                <w:szCs w:val="20"/>
              </w:rPr>
              <w:t xml:space="preserve">50</w:t>
            </w:r>
          </w:p>
        </w:tc>
        <w:tc>
          <w:tcPr>
            <w:tcW w:type="dxa" w:w="2700"/>
          </w:tcPr>
          <w:p>
            <w:r>
              <w:rPr>
                <w:sz w:val="20"/>
                <w:szCs w:val="20"/>
              </w:rPr>
              <w:t xml:space="preserve">🟡 Below target — no newer data</w:t>
            </w:r>
          </w:p>
        </w:tc>
      </w:tr>
      <w:tr>
        <w:tc>
          <w:tcPr>
            <w:tcW w:type="dxa" w:w="2700"/>
          </w:tcPr>
          <w:p>
            <w:r>
              <w:rPr>
                <w:sz w:val="20"/>
                <w:szCs w:val="20"/>
              </w:rPr>
              <w:t xml:space="preserve">Campaign budget</w:t>
            </w:r>
          </w:p>
        </w:tc>
        <w:tc>
          <w:tcPr>
            <w:tcW w:type="dxa" w:w="2700"/>
          </w:tcPr>
          <w:p>
            <w:r>
              <w:rPr>
                <w:sz w:val="20"/>
                <w:szCs w:val="20"/>
              </w:rPr>
              <w:t xml:space="preserve">$275,000</w:t>
            </w:r>
          </w:p>
        </w:tc>
        <w:tc>
          <w:tcPr>
            <w:tcW w:type="dxa" w:w="2700"/>
          </w:tcPr>
          <w:p>
            <w:r>
              <w:rPr>
                <w:sz w:val="20"/>
                <w:szCs w:val="20"/>
              </w:rPr>
              <w:t xml:space="preserve">—</w:t>
            </w:r>
          </w:p>
        </w:tc>
        <w:tc>
          <w:tcPr>
            <w:tcW w:type="dxa" w:w="2700"/>
          </w:tcPr>
          <w:p>
            <w:r>
              <w:rPr>
                <w:sz w:val="20"/>
                <w:szCs w:val="20"/>
              </w:rPr>
              <w:t xml:space="preserve">🟢 Approved</w:t>
            </w:r>
          </w:p>
        </w:tc>
      </w:tr>
      <w:tr>
        <w:tc>
          <w:tcPr>
            <w:tcW w:type="dxa" w:w="2700"/>
          </w:tcPr>
          <w:p>
            <w:r>
              <w:rPr>
                <w:sz w:val="20"/>
                <w:szCs w:val="20"/>
              </w:rPr>
              <w:t xml:space="preserve">Launch-sourced pipeline</w:t>
            </w:r>
          </w:p>
        </w:tc>
        <w:tc>
          <w:tcPr>
            <w:tcW w:type="dxa" w:w="2700"/>
          </w:tcPr>
          <w:p>
            <w:r>
              <w:rPr>
                <w:sz w:val="20"/>
                <w:szCs w:val="20"/>
              </w:rPr>
              <w:t xml:space="preserve">$255,000 (Feb 28)</w:t>
            </w:r>
          </w:p>
        </w:tc>
        <w:tc>
          <w:tcPr>
            <w:tcW w:type="dxa" w:w="2700"/>
          </w:tcPr>
          <w:p>
            <w:r>
              <w:rPr>
                <w:sz w:val="20"/>
                <w:szCs w:val="20"/>
              </w:rPr>
              <w:t xml:space="preserve">—</w:t>
            </w:r>
          </w:p>
        </w:tc>
        <w:tc>
          <w:tcPr>
            <w:tcW w:type="dxa" w:w="2700"/>
          </w:tcPr>
          <w:p>
            <w:r>
              <w:rPr>
                <w:sz w:val="20"/>
                <w:szCs w:val="20"/>
              </w:rPr>
              <w:t xml:space="preserve">🟢 Building — needs refresh</w:t>
            </w:r>
          </w:p>
        </w:tc>
      </w:tr>
    </w:tbl>
    <w:p>
      <w:pPr>
        <w:pStyle w:val="Heading1"/>
        <w:spacing w:after="150" w:before="300"/>
      </w:pPr>
      <w:r>
        <w:t xml:space="preserve">Workstream status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shd w:fill="E8E8E8" w:color="auto" w:val="clear"/>
          </w:tcPr>
          <w:p>
            <w:r>
              <w:rPr>
                <w:b/>
                <w:bCs/>
                <w:sz w:val="20"/>
                <w:szCs w:val="20"/>
              </w:rPr>
              <w:t xml:space="preserve">Workstream</w:t>
            </w:r>
          </w:p>
        </w:tc>
        <w:tc>
          <w:tcPr>
            <w:tcW w:type="dxa" w:w="2700"/>
            <w:shd w:fill="E8E8E8" w:color="auto" w:val="clear"/>
          </w:tcPr>
          <w:p>
            <w:r>
              <w:rPr>
                <w:b/>
                <w:bCs/>
                <w:sz w:val="20"/>
                <w:szCs w:val="20"/>
              </w:rPr>
              <w:t xml:space="preserve">Owner</w:t>
            </w:r>
          </w:p>
        </w:tc>
        <w:tc>
          <w:tcPr>
            <w:tcW w:type="dxa" w:w="2700"/>
            <w:shd w:fill="E8E8E8" w:color="auto" w:val="clear"/>
          </w:tcPr>
          <w:p>
            <w:r>
              <w:rPr>
                <w:b/>
                <w:bCs/>
                <w:sz w:val="20"/>
                <w:szCs w:val="20"/>
              </w:rPr>
              <w:t xml:space="preserve">Status</w:t>
            </w:r>
          </w:p>
        </w:tc>
        <w:tc>
          <w:tcPr>
            <w:tcW w:type="dxa" w:w="2700"/>
            <w:shd w:fill="E8E8E8" w:color="auto" w:val="clear"/>
          </w:tcPr>
          <w:p>
            <w:r>
              <w:rPr>
                <w:b/>
                <w:bCs/>
                <w:sz w:val="20"/>
                <w:szCs w:val="20"/>
              </w:rPr>
              <w:t xml:space="preserve">Note</w:t>
            </w:r>
          </w:p>
        </w:tc>
      </w:tr>
      <w:tr>
        <w:tc>
          <w:tcPr>
            <w:tcW w:type="dxa" w:w="2700"/>
          </w:tcPr>
          <w:p>
            <w:r>
              <w:rPr>
                <w:sz w:val="20"/>
                <w:szCs w:val="20"/>
              </w:rPr>
              <w:t xml:space="preserve">Pricing page &amp; legal review</w:t>
            </w:r>
          </w:p>
        </w:tc>
        <w:tc>
          <w:tcPr>
            <w:tcW w:type="dxa" w:w="2700"/>
          </w:tcPr>
          <w:p>
            <w:r>
              <w:rPr>
                <w:sz w:val="20"/>
                <w:szCs w:val="20"/>
              </w:rPr>
              <w:t xml:space="preserve">Priya Raman / Tomas Keller</w:t>
            </w:r>
          </w:p>
        </w:tc>
        <w:tc>
          <w:tcPr>
            <w:tcW w:type="dxa" w:w="2700"/>
          </w:tcPr>
          <w:p>
            <w:r>
              <w:rPr>
                <w:sz w:val="20"/>
                <w:szCs w:val="20"/>
              </w:rPr>
              <w:t xml:space="preserve">🔴 Critical path</w:t>
            </w:r>
          </w:p>
        </w:tc>
        <w:tc>
          <w:tcPr>
            <w:tcW w:type="dxa" w:w="2700"/>
          </w:tcPr>
          <w:p>
            <w:r>
              <w:rPr>
                <w:sz w:val="20"/>
                <w:szCs w:val="20"/>
              </w:rPr>
              <w:t xml:space="preserve">Had not started as of Feb 28; now the primary driver of the GA slip to March 22. Must close before the page can publish.</w:t>
            </w:r>
          </w:p>
        </w:tc>
      </w:tr>
      <w:tr>
        <w:tc>
          <w:tcPr>
            <w:tcW w:type="dxa" w:w="2700"/>
          </w:tcPr>
          <w:p>
            <w:r>
              <w:rPr>
                <w:sz w:val="20"/>
                <w:szCs w:val="20"/>
              </w:rPr>
              <w:t xml:space="preserve">Press &amp; analyst briefing</w:t>
            </w:r>
          </w:p>
        </w:tc>
        <w:tc>
          <w:tcPr>
            <w:tcW w:type="dxa" w:w="2700"/>
          </w:tcPr>
          <w:p>
            <w:r>
              <w:rPr>
                <w:sz w:val="20"/>
                <w:szCs w:val="20"/>
              </w:rPr>
              <w:t xml:space="preserve">Ana Delgado</w:t>
            </w:r>
          </w:p>
        </w:tc>
        <w:tc>
          <w:tcPr>
            <w:tcW w:type="dxa" w:w="2700"/>
          </w:tcPr>
          <w:p>
            <w:r>
              <w:rPr>
                <w:sz w:val="20"/>
                <w:szCs w:val="20"/>
              </w:rPr>
              <w:t xml:space="preserve">🟡 Needs reschedule</w:t>
            </w:r>
          </w:p>
        </w:tc>
        <w:tc>
          <w:tcPr>
            <w:tcW w:type="dxa" w:w="2700"/>
          </w:tcPr>
          <w:p>
            <w:r>
              <w:rPr>
                <w:sz w:val="20"/>
                <w:szCs w:val="20"/>
              </w:rPr>
              <w:t xml:space="preserve">Originally set for March 8 against the old GA date; needs a new date aligned to March 22.</w:t>
            </w:r>
          </w:p>
        </w:tc>
      </w:tr>
      <w:tr>
        <w:tc>
          <w:tcPr>
            <w:tcW w:type="dxa" w:w="2700"/>
          </w:tcPr>
          <w:p>
            <w:r>
              <w:rPr>
                <w:sz w:val="20"/>
                <w:szCs w:val="20"/>
              </w:rPr>
              <w:t xml:space="preserve">Paid media</w:t>
            </w:r>
          </w:p>
        </w:tc>
        <w:tc>
          <w:tcPr>
            <w:tcW w:type="dxa" w:w="2700"/>
          </w:tcPr>
          <w:p>
            <w:r>
              <w:rPr>
                <w:sz w:val="20"/>
                <w:szCs w:val="20"/>
              </w:rPr>
              <w:t xml:space="preserve">Ana Delgado</w:t>
            </w:r>
          </w:p>
        </w:tc>
        <w:tc>
          <w:tcPr>
            <w:tcW w:type="dxa" w:w="2700"/>
          </w:tcPr>
          <w:p>
            <w:r>
              <w:rPr>
                <w:sz w:val="20"/>
                <w:szCs w:val="20"/>
              </w:rPr>
              <w:t xml:space="preserve">🟢 On track</w:t>
            </w:r>
          </w:p>
        </w:tc>
        <w:tc>
          <w:tcPr>
            <w:tcW w:type="dxa" w:w="2700"/>
          </w:tcPr>
          <w:p>
            <w:r>
              <w:rPr>
                <w:sz w:val="20"/>
                <w:szCs w:val="20"/>
              </w:rPr>
              <w:t xml:space="preserve">Expanded since the Feb 12 budget increase; pacing should extend to cover the added week.</w:t>
            </w:r>
          </w:p>
        </w:tc>
      </w:tr>
      <w:tr>
        <w:tc>
          <w:tcPr>
            <w:tcW w:type="dxa" w:w="2700"/>
          </w:tcPr>
          <w:p>
            <w:r>
              <w:rPr>
                <w:sz w:val="20"/>
                <w:szCs w:val="20"/>
              </w:rPr>
              <w:t xml:space="preserve">Localization (DACH)</w:t>
            </w:r>
          </w:p>
        </w:tc>
        <w:tc>
          <w:tcPr>
            <w:tcW w:type="dxa" w:w="2700"/>
          </w:tcPr>
          <w:p>
            <w:r>
              <w:rPr>
                <w:sz w:val="20"/>
                <w:szCs w:val="20"/>
              </w:rPr>
              <w:t xml:space="preserve">—</w:t>
            </w:r>
          </w:p>
        </w:tc>
        <w:tc>
          <w:tcPr>
            <w:tcW w:type="dxa" w:w="2700"/>
          </w:tcPr>
          <w:p>
            <w:r>
              <w:rPr>
                <w:sz w:val="20"/>
                <w:szCs w:val="20"/>
              </w:rPr>
              <w:t xml:space="preserve">⚪ Deferred</w:t>
            </w:r>
          </w:p>
        </w:tc>
        <w:tc>
          <w:tcPr>
            <w:tcW w:type="dxa" w:w="2700"/>
          </w:tcPr>
          <w:p>
            <w:r>
              <w:rPr>
                <w:sz w:val="20"/>
                <w:szCs w:val="20"/>
              </w:rPr>
              <w:t xml:space="preserve">Unchanged — remains wave 2, targeted May, per January scope decision.</w:t>
            </w:r>
          </w:p>
        </w:tc>
      </w:tr>
      <w:tr>
        <w:tc>
          <w:tcPr>
            <w:tcW w:type="dxa" w:w="2700"/>
          </w:tcPr>
          <w:p>
            <w:r>
              <w:rPr>
                <w:sz w:val="20"/>
                <w:szCs w:val="20"/>
              </w:rPr>
              <w:t xml:space="preserve">Press kit assets</w:t>
            </w:r>
          </w:p>
        </w:tc>
        <w:tc>
          <w:tcPr>
            <w:tcW w:type="dxa" w:w="2700"/>
          </w:tcPr>
          <w:p>
            <w:r>
              <w:rPr>
                <w:sz w:val="20"/>
                <w:szCs w:val="20"/>
              </w:rPr>
              <w:t xml:space="preserve">Lena Park</w:t>
            </w:r>
          </w:p>
        </w:tc>
        <w:tc>
          <w:tcPr>
            <w:tcW w:type="dxa" w:w="2700"/>
          </w:tcPr>
          <w:p>
            <w:r>
              <w:rPr>
                <w:sz w:val="20"/>
                <w:szCs w:val="20"/>
              </w:rPr>
              <w:t xml:space="preserve">🟡 At risk</w:t>
            </w:r>
          </w:p>
        </w:tc>
        <w:tc>
          <w:tcPr>
            <w:tcW w:type="dxa" w:w="2700"/>
          </w:tcPr>
          <w:p>
            <w:r>
              <w:rPr>
                <w:sz w:val="20"/>
                <w:szCs w:val="20"/>
              </w:rPr>
              <w:t xml:space="preserve">Timeline was tight given creative capacity as of Feb 28; the extra week gives some room but does not remove the constraint.</w:t>
            </w:r>
          </w:p>
        </w:tc>
      </w:tr>
      <w:tr>
        <w:tc>
          <w:tcPr>
            <w:tcW w:type="dxa" w:w="2700"/>
          </w:tcPr>
          <w:p>
            <w:r>
              <w:rPr>
                <w:sz w:val="20"/>
                <w:szCs w:val="20"/>
              </w:rPr>
              <w:t xml:space="preserve">Creative capacity</w:t>
            </w:r>
          </w:p>
        </w:tc>
        <w:tc>
          <w:tcPr>
            <w:tcW w:type="dxa" w:w="2700"/>
          </w:tcPr>
          <w:p>
            <w:r>
              <w:rPr>
                <w:sz w:val="20"/>
                <w:szCs w:val="20"/>
              </w:rPr>
              <w:t xml:space="preserve">Marcus Chen</w:t>
            </w:r>
          </w:p>
        </w:tc>
        <w:tc>
          <w:tcPr>
            <w:tcW w:type="dxa" w:w="2700"/>
          </w:tcPr>
          <w:p>
            <w:r>
              <w:rPr>
                <w:sz w:val="20"/>
                <w:szCs w:val="20"/>
              </w:rPr>
              <w:t xml:space="preserve">🟡 At risk</w:t>
            </w:r>
          </w:p>
        </w:tc>
        <w:tc>
          <w:tcPr>
            <w:tcW w:type="dxa" w:w="2700"/>
          </w:tcPr>
          <w:p>
            <w:r>
              <w:rPr>
                <w:sz w:val="20"/>
                <w:szCs w:val="20"/>
              </w:rPr>
              <w:t xml:space="preserve">Team operating at 3 through March, with Marcus at 50% on rebrand work as of the last report; confirm current bandwidth against the new date.</w:t>
            </w:r>
          </w:p>
        </w:tc>
      </w:tr>
    </w:tbl>
    <w:p>
      <w:pPr>
        <w:pStyle w:val="Heading1"/>
        <w:spacing w:after="150" w:before="300"/>
      </w:pPr>
      <w:r>
        <w:t xml:space="preserve">Key risks</w:t>
      </w:r>
    </w:p>
    <w:p>
      <w:pPr>
        <w:spacing w:after="150"/>
      </w:pPr>
      <w:r>
        <w:t xml:space="preserve">1. Legal sign-off on pricing-page claims (blocking). Not started as of Feb 28; this is the most direct driver of the one-week slip and remains the top blocking risk for the March 22 date. Needs a firm commitment date from Legal this week.</w:t>
      </w:r>
    </w:p>
    <w:p>
      <w:pPr>
        <w:spacing w:after="150"/>
      </w:pPr>
      <w:r>
        <w:t xml:space="preserve">2. Creative capacity / press-kit timeline (high). The team is running lean (3 people, with Marcus Chen half-allocated to rebrand work) through March. The added week reduces but does not eliminate the risk to press-kit delivery.</w:t>
      </w:r>
    </w:p>
    <w:p>
      <w:pPr>
        <w:spacing w:after="150"/>
      </w:pPr>
      <w:r>
        <w:t xml:space="preserve">3. Schedule dependencies from the GA move (medium). The press &amp; analyst briefing (previously March 8) and the waitlist nurture sequence (previously March 10) were both built against the original March 15 GA and need to be explicitly reconfirmed or rescheduled against March 22.</w:t>
      </w:r>
    </w:p>
    <w:p>
      <w:pPr>
        <w:spacing w:after="150"/>
      </w:pPr>
      <w:r>
        <w:t xml:space="preserve">4. Metrics freshness (medium, process). Waitlist, NPS, and pipeline figures are 15+ days old as of this report. Recommend a refresh before the go/no-go review so the team isn’t making a launch call on stale data.</w:t>
      </w:r>
    </w:p>
    <w:p>
      <w:pPr>
        <w:spacing w:after="150"/>
      </w:pPr>
      <w:r>
        <w:t xml:space="preserve">5. Creative agency contract renewal (low / watch-item only). On track for April; not a near-term launch risk.</w:t>
      </w:r>
    </w:p>
    <w:p>
      <w:pPr>
        <w:pStyle w:val="Heading1"/>
        <w:spacing w:after="150" w:before="300"/>
      </w:pPr>
      <w:r>
        <w:t xml:space="preserve">Outlook — next 7 days</w:t>
      </w:r>
    </w:p>
    <w:p>
      <w:pPr>
        <w:spacing w:after="150"/>
      </w:pPr>
      <w:r>
        <w:t xml:space="preserve">General availability (GA): March 22, 2026 (moved one week from March 15).</w:t>
      </w:r>
    </w:p>
    <w:p>
      <w:pPr>
        <w:spacing w:after="150"/>
      </w:pPr>
      <w:r>
        <w:t xml:space="preserve">Legal sign-off on pricing-page claims: needed this week to hold the new date.</w:t>
      </w:r>
    </w:p>
    <w:p>
      <w:pPr>
        <w:spacing w:after="150"/>
      </w:pPr>
      <w:r>
        <w:t xml:space="preserve">Press &amp; analyst briefing: reschedule from March 8 — new date to be confirmed against March 22.</w:t>
      </w:r>
    </w:p>
    <w:p>
      <w:pPr>
        <w:spacing w:after="150"/>
      </w:pPr>
      <w:r>
        <w:t xml:space="preserve">Waitlist nurture email sequence: reschedule from March 10 accordingly.</w:t>
      </w:r>
    </w:p>
    <w:p>
      <w:pPr>
        <w:spacing w:after="150"/>
      </w:pPr>
      <w:r>
        <w:t xml:space="preserve">Refresh key metrics (waitlist, NPS, pipeline) ahead of the GA go/no-go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2026-08-21T07:12:57.163Z</dcterms:created>
  <dcterms:modified xsi:type="dcterms:W3CDTF">2026-08-21T07:12:57.163Z</dcterms:modified>
</cp:coreProperties>
</file>

<file path=docProps/custom.xml><?xml version="1.0" encoding="utf-8"?>
<Properties xmlns="http://schemas.openxmlformats.org/officeDocument/2006/custom-properties" xmlns:vt="http://schemas.openxmlformats.org/officeDocument/2006/docPropsVTypes"/>
</file>