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b/>
          <w:color w:val="1F4E78"/>
          <w:sz w:val="52"/>
        </w:rPr>
        <w:t>FORECAST INTELLIGENCE</w:t>
        <w:br/>
        <w:t>AND RCA AGENT</w:t>
      </w:r>
    </w:p>
    <w:p>
      <w:pPr>
        <w:jc w:val="center"/>
      </w:pPr>
      <w:r>
        <w:rPr>
          <w:color w:val="595959"/>
          <w:sz w:val="32"/>
        </w:rPr>
        <w:t>Interview Guide and Reusable Implementation Playbook</w:t>
      </w:r>
    </w:p>
    <w:p>
      <w:pPr>
        <w:spacing w:before="360"/>
        <w:jc w:val="center"/>
      </w:pPr>
      <w:r>
        <w:rPr>
          <w:b/>
        </w:rPr>
        <w:t>Databricks Genie • Delta Tables • Governed Semantic Views • Deterministic Metrics</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Purpose: </w:t>
            </w:r>
            <w:r>
              <w:t>A concise reference for explaining the implemented workflow, the reasoning behind its design, the problems solved, and the implementation pattern to reuse on future analytics projects.</w:t>
            </w:r>
          </w:p>
        </w:tc>
      </w:tr>
    </w:tbl>
    <w:p>
      <w:pPr>
        <w:spacing w:after="0"/>
      </w:pPr>
    </w:p>
    <w:p>
      <w:pPr>
        <w:spacing w:before="1200"/>
        <w:jc w:val="center"/>
      </w:pPr>
      <w:r>
        <w:rPr>
          <w:color w:val="595959"/>
        </w:rPr>
        <w:t>Prepared: 28 October 2026</w:t>
      </w:r>
    </w:p>
    <w:p>
      <w:r>
        <w:br w:type="page"/>
      </w:r>
    </w:p>
    <w:p>
      <w:pPr>
        <w:pStyle w:val="Heading1"/>
      </w:pPr>
      <w:r>
        <w:t>How to use this guide</w:t>
      </w:r>
    </w:p>
    <w:p>
      <w:pPr>
        <w:pStyle w:val="ListBullet"/>
        <w:spacing w:after="40"/>
      </w:pPr>
      <w:r>
        <w:t>Memorize the 60-second explanation and the end-to-end query flow first.</w:t>
      </w:r>
    </w:p>
    <w:p>
      <w:pPr>
        <w:pStyle w:val="ListBullet"/>
        <w:spacing w:after="40"/>
      </w:pPr>
      <w:r>
        <w:t>Use the architecture, table grains and metric definitions when the interviewer asks technical follow-ups.</w:t>
      </w:r>
    </w:p>
    <w:p>
      <w:pPr>
        <w:pStyle w:val="ListBullet"/>
        <w:spacing w:after="40"/>
      </w:pPr>
      <w:r>
        <w:t>Use the challenge-and-correction section to explain engineering decisions and lessons learned.</w:t>
      </w:r>
    </w:p>
    <w:p>
      <w:pPr>
        <w:pStyle w:val="ListBullet"/>
        <w:spacing w:after="40"/>
      </w:pPr>
      <w:r>
        <w:t>Use the final checklist as a template for future Genie or natural-language analytics projects.</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Accuracy boundary: </w:t>
            </w:r>
            <w:r>
              <w:t>Describe capabilities, architecture and corrections that were implemented. Do not invent user counts, measured adoption, source-system names or business outcomes that cannot be evidenced. If asked about adoption, distinguish a designed business-analyst workflow, a pilot, and production use.</w:t>
            </w:r>
          </w:p>
        </w:tc>
      </w:tr>
    </w:tbl>
    <w:p>
      <w:pPr>
        <w:spacing w:after="0"/>
      </w:pPr>
    </w:p>
    <w:p>
      <w:pPr>
        <w:pStyle w:val="Heading1"/>
      </w:pPr>
      <w:r>
        <w:t>1. The 60-second explanation</w:t>
      </w:r>
    </w:p>
    <w:p>
      <w:pPr>
        <w:pStyle w:val="InterviewAnswer"/>
      </w:pPr>
      <w:r>
        <w:t>“I built a governed Forecast Intelligence and RCA workflow in Databricks Genie for business analysts. Analysts can ask natural-language questions about SKU and customer forecasts, forecast accuracy, approved SKU budgets, pricing, promotions, inventory and forecast deviations. The data is stored in separate Delta fact and dimension tables, while Genie is exposed only to certified semantic views. Critical joins, forecast-vintage selection, aggregation grains and KPI formulas are deterministic in those views; Genie handles intent interpretation, filtering, SQL generation and presentation. I added certification checks for duplicate grains, join cardinality, fiscal periods and effective-dated prices, plus numerical benchmark tests. This gives analysts a conversational interface without allowing the model to invent important business calculations.”</w:t>
      </w:r>
    </w:p>
    <w:p>
      <w:pPr>
        <w:pStyle w:val="Heading2"/>
      </w:pPr>
      <w:r>
        <w:t>Key message to remember</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Core design principle: </w:t>
            </w:r>
            <w:r>
              <w:t>Genie may interpret the question dynamically, but joins, grains, versions and material business calculations are governed deterministically.</w:t>
            </w:r>
          </w:p>
        </w:tc>
      </w:tr>
    </w:tbl>
    <w:p>
      <w:pPr>
        <w:spacing w:after="0"/>
      </w:pPr>
    </w:p>
    <w:p>
      <w:pPr>
        <w:pStyle w:val="Heading1"/>
      </w:pPr>
      <w:r>
        <w:t>2. Business problem and supported analysis</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1F4E78"/>
          </w:tcPr>
          <w:p>
            <w:pPr>
              <w:spacing w:after="0"/>
            </w:pPr>
            <w:r/>
            <w:r>
              <w:rPr>
                <w:b/>
                <w:color w:val="FFFFFF"/>
                <w:sz w:val="18"/>
              </w:rPr>
              <w:t>Business need</w:t>
            </w:r>
          </w:p>
        </w:tc>
        <w:tc>
          <w:tcPr>
            <w:tcW w:type="dxa" w:w="8064"/>
            <w:vAlign w:val="center"/>
            <w:shd w:fill="1F4E78"/>
          </w:tcPr>
          <w:p>
            <w:pPr>
              <w:spacing w:after="0"/>
            </w:pPr>
            <w:r/>
            <w:r>
              <w:rPr>
                <w:b/>
                <w:color w:val="FFFFFF"/>
                <w:sz w:val="18"/>
              </w:rPr>
              <w:t>Implemented capability</w:t>
            </w:r>
          </w:p>
        </w:tc>
      </w:tr>
      <w:tr>
        <w:tc>
          <w:tcPr>
            <w:tcW w:type="dxa" w:w="2448"/>
            <w:vAlign w:val="center"/>
          </w:tcPr>
          <w:p>
            <w:pPr>
              <w:spacing w:after="0"/>
            </w:pPr>
            <w:r/>
            <w:r>
              <w:rPr>
                <w:b w:val="0"/>
                <w:sz w:val="17"/>
              </w:rPr>
              <w:t>Forecast performance</w:t>
            </w:r>
          </w:p>
        </w:tc>
        <w:tc>
          <w:tcPr>
            <w:tcW w:type="dxa" w:w="8064"/>
            <w:vAlign w:val="center"/>
          </w:tcPr>
          <w:p>
            <w:pPr>
              <w:spacing w:after="0"/>
            </w:pPr>
            <w:r/>
            <w:r>
              <w:rPr>
                <w:b w:val="0"/>
                <w:sz w:val="17"/>
              </w:rPr>
              <w:t>Actual, forecast, error, WMAPE, accuracy and bias by period and entity.</w:t>
            </w:r>
          </w:p>
        </w:tc>
      </w:tr>
      <w:tr>
        <w:tc>
          <w:tcPr>
            <w:tcW w:type="dxa" w:w="2448"/>
            <w:vAlign w:val="center"/>
            <w:shd w:fill="EAF2F8"/>
          </w:tcPr>
          <w:p>
            <w:pPr>
              <w:spacing w:after="0"/>
            </w:pPr>
            <w:r/>
            <w:r>
              <w:rPr>
                <w:b w:val="0"/>
                <w:sz w:val="17"/>
              </w:rPr>
              <w:t>Customer forecast</w:t>
            </w:r>
          </w:p>
        </w:tc>
        <w:tc>
          <w:tcPr>
            <w:tcW w:type="dxa" w:w="8064"/>
            <w:vAlign w:val="center"/>
            <w:shd w:fill="EAF2F8"/>
          </w:tcPr>
          <w:p>
            <w:pPr>
              <w:spacing w:after="0"/>
            </w:pPr>
            <w:r/>
            <w:r>
              <w:rPr>
                <w:b w:val="0"/>
                <w:sz w:val="17"/>
              </w:rPr>
              <w:t>Customer-SKU performance with customer and SKU entity resolution.</w:t>
            </w:r>
          </w:p>
        </w:tc>
      </w:tr>
      <w:tr>
        <w:tc>
          <w:tcPr>
            <w:tcW w:type="dxa" w:w="2448"/>
            <w:vAlign w:val="center"/>
          </w:tcPr>
          <w:p>
            <w:pPr>
              <w:spacing w:after="0"/>
            </w:pPr>
            <w:r/>
            <w:r>
              <w:rPr>
                <w:b w:val="0"/>
                <w:sz w:val="17"/>
              </w:rPr>
              <w:t>Plan versus actual</w:t>
            </w:r>
          </w:p>
        </w:tc>
        <w:tc>
          <w:tcPr>
            <w:tcW w:type="dxa" w:w="8064"/>
            <w:vAlign w:val="center"/>
          </w:tcPr>
          <w:p>
            <w:pPr>
              <w:spacing w:after="0"/>
            </w:pPr>
            <w:r/>
            <w:r>
              <w:rPr>
                <w:b w:val="0"/>
                <w:sz w:val="17"/>
              </w:rPr>
              <w:t>Monthly comparison of actual, forecast and approved SKU budget.</w:t>
            </w:r>
          </w:p>
        </w:tc>
      </w:tr>
      <w:tr>
        <w:tc>
          <w:tcPr>
            <w:tcW w:type="dxa" w:w="2448"/>
            <w:vAlign w:val="center"/>
            <w:shd w:fill="EAF2F8"/>
          </w:tcPr>
          <w:p>
            <w:pPr>
              <w:spacing w:after="0"/>
            </w:pPr>
            <w:r/>
            <w:r>
              <w:rPr>
                <w:b w:val="0"/>
                <w:sz w:val="17"/>
              </w:rPr>
              <w:t>Revenue analysis</w:t>
            </w:r>
          </w:p>
        </w:tc>
        <w:tc>
          <w:tcPr>
            <w:tcW w:type="dxa" w:w="8064"/>
            <w:vAlign w:val="center"/>
            <w:shd w:fill="EAF2F8"/>
          </w:tcPr>
          <w:p>
            <w:pPr>
              <w:spacing w:after="0"/>
            </w:pPr>
            <w:r/>
            <w:r>
              <w:rPr>
                <w:b w:val="0"/>
                <w:sz w:val="17"/>
              </w:rPr>
              <w:t>Gross and net revenue analysis for supported product/store data.</w:t>
            </w:r>
          </w:p>
        </w:tc>
      </w:tr>
      <w:tr>
        <w:tc>
          <w:tcPr>
            <w:tcW w:type="dxa" w:w="2448"/>
            <w:vAlign w:val="center"/>
          </w:tcPr>
          <w:p>
            <w:pPr>
              <w:spacing w:after="0"/>
            </w:pPr>
            <w:r/>
            <w:r>
              <w:rPr>
                <w:b w:val="0"/>
                <w:sz w:val="17"/>
              </w:rPr>
              <w:t>Inventory evidence</w:t>
            </w:r>
          </w:p>
        </w:tc>
        <w:tc>
          <w:tcPr>
            <w:tcW w:type="dxa" w:w="8064"/>
            <w:vAlign w:val="center"/>
          </w:tcPr>
          <w:p>
            <w:pPr>
              <w:spacing w:after="0"/>
            </w:pPr>
            <w:r/>
            <w:r>
              <w:rPr>
                <w:b w:val="0"/>
                <w:sz w:val="17"/>
              </w:rPr>
              <w:t>As-of balances and qualified inventory exposure; balances are not summed across dates.</w:t>
            </w:r>
          </w:p>
        </w:tc>
      </w:tr>
      <w:tr>
        <w:tc>
          <w:tcPr>
            <w:tcW w:type="dxa" w:w="2448"/>
            <w:vAlign w:val="center"/>
            <w:shd w:fill="EAF2F8"/>
          </w:tcPr>
          <w:p>
            <w:pPr>
              <w:spacing w:after="0"/>
            </w:pPr>
            <w:r/>
            <w:r>
              <w:rPr>
                <w:b w:val="0"/>
                <w:sz w:val="17"/>
              </w:rPr>
              <w:t>Commercial evidence</w:t>
            </w:r>
          </w:p>
        </w:tc>
        <w:tc>
          <w:tcPr>
            <w:tcW w:type="dxa" w:w="8064"/>
            <w:vAlign w:val="center"/>
            <w:shd w:fill="EAF2F8"/>
          </w:tcPr>
          <w:p>
            <w:pPr>
              <w:spacing w:after="0"/>
            </w:pPr>
            <w:r/>
            <w:r>
              <w:rPr>
                <w:b w:val="0"/>
                <w:sz w:val="17"/>
              </w:rPr>
              <w:t>Effective-dated SKU price and approved promotion records.</w:t>
            </w:r>
          </w:p>
        </w:tc>
      </w:tr>
      <w:tr>
        <w:tc>
          <w:tcPr>
            <w:tcW w:type="dxa" w:w="2448"/>
            <w:vAlign w:val="center"/>
          </w:tcPr>
          <w:p>
            <w:pPr>
              <w:spacing w:after="0"/>
            </w:pPr>
            <w:r/>
            <w:r>
              <w:rPr>
                <w:b w:val="0"/>
                <w:sz w:val="17"/>
              </w:rPr>
              <w:t>RCA support</w:t>
            </w:r>
          </w:p>
        </w:tc>
        <w:tc>
          <w:tcPr>
            <w:tcW w:type="dxa" w:w="8064"/>
            <w:vAlign w:val="center"/>
          </w:tcPr>
          <w:p>
            <w:pPr>
              <w:spacing w:after="0"/>
            </w:pPr>
            <w:r/>
            <w:r>
              <w:rPr>
                <w:b w:val="0"/>
                <w:sz w:val="17"/>
              </w:rPr>
              <w:t>Evidence-based investigation of associations with inventory, promotion, price and other populated signals.</w:t>
            </w:r>
          </w:p>
        </w:tc>
      </w:tr>
      <w:tr>
        <w:tc>
          <w:tcPr>
            <w:tcW w:type="dxa" w:w="2448"/>
            <w:vAlign w:val="center"/>
            <w:shd w:fill="EAF2F8"/>
          </w:tcPr>
          <w:p>
            <w:pPr>
              <w:spacing w:after="0"/>
            </w:pPr>
            <w:r/>
            <w:r>
              <w:rPr>
                <w:b w:val="0"/>
                <w:sz w:val="17"/>
              </w:rPr>
              <w:t>Follow-up questions</w:t>
            </w:r>
          </w:p>
        </w:tc>
        <w:tc>
          <w:tcPr>
            <w:tcW w:type="dxa" w:w="8064"/>
            <w:vAlign w:val="center"/>
            <w:shd w:fill="EAF2F8"/>
          </w:tcPr>
          <w:p>
            <w:pPr>
              <w:spacing w:after="0"/>
            </w:pPr>
            <w:r/>
            <w:r>
              <w:rPr>
                <w:b w:val="0"/>
                <w:sz w:val="17"/>
              </w:rPr>
              <w:t>Compatible entity and period context retained within the same conversation.</w:t>
            </w:r>
          </w:p>
        </w:tc>
      </w:tr>
    </w:tbl>
    <w:p>
      <w:pPr>
        <w:spacing w:after="0"/>
      </w:pPr>
    </w:p>
    <w:p>
      <w:pPr>
        <w:pStyle w:val="Heading1"/>
      </w:pPr>
      <w:r>
        <w:t>3. Architecture</w:t>
      </w:r>
    </w:p>
    <w:tbl>
      <w:tblPr>
        <w:tblStyle w:val="TableGrid"/>
        <w:tblW w:type="auto" w:w="0"/>
        <w:jc w:val="center"/>
        <w:tblLook w:firstColumn="1" w:firstRow="1" w:lastColumn="0" w:lastRow="0" w:noHBand="0" w:noVBand="1" w:val="04A0"/>
      </w:tblPr>
      <w:tblGrid>
        <w:gridCol w:w="3408"/>
        <w:gridCol w:w="3408"/>
        <w:gridCol w:w="3408"/>
      </w:tblGrid>
      <w:tr>
        <w:tc>
          <w:tcPr>
            <w:tcW w:type="dxa" w:w="2016"/>
            <w:vAlign w:val="center"/>
            <w:shd w:fill="1F4E78"/>
          </w:tcPr>
          <w:p>
            <w:pPr>
              <w:spacing w:after="0"/>
            </w:pPr>
            <w:r/>
            <w:r>
              <w:rPr>
                <w:b/>
                <w:color w:val="FFFFFF"/>
                <w:sz w:val="18"/>
              </w:rPr>
              <w:t>Layer</w:t>
            </w:r>
          </w:p>
        </w:tc>
        <w:tc>
          <w:tcPr>
            <w:tcW w:type="dxa" w:w="4464"/>
            <w:vAlign w:val="center"/>
            <w:shd w:fill="1F4E78"/>
          </w:tcPr>
          <w:p>
            <w:pPr>
              <w:spacing w:after="0"/>
            </w:pPr>
            <w:r/>
            <w:r>
              <w:rPr>
                <w:b/>
                <w:color w:val="FFFFFF"/>
                <w:sz w:val="18"/>
              </w:rPr>
              <w:t>Responsibility</w:t>
            </w:r>
          </w:p>
        </w:tc>
        <w:tc>
          <w:tcPr>
            <w:tcW w:type="dxa" w:w="4032"/>
            <w:vAlign w:val="center"/>
            <w:shd w:fill="1F4E78"/>
          </w:tcPr>
          <w:p>
            <w:pPr>
              <w:spacing w:after="0"/>
            </w:pPr>
            <w:r/>
            <w:r>
              <w:rPr>
                <w:b/>
                <w:color w:val="FFFFFF"/>
                <w:sz w:val="18"/>
              </w:rPr>
              <w:t>Why it exists</w:t>
            </w:r>
          </w:p>
        </w:tc>
      </w:tr>
      <w:tr>
        <w:tc>
          <w:tcPr>
            <w:tcW w:type="dxa" w:w="2016"/>
            <w:vAlign w:val="center"/>
          </w:tcPr>
          <w:p>
            <w:pPr>
              <w:spacing w:after="0"/>
            </w:pPr>
            <w:r/>
            <w:r>
              <w:rPr>
                <w:b w:val="0"/>
                <w:sz w:val="17"/>
              </w:rPr>
              <w:t>Delta source layer</w:t>
            </w:r>
          </w:p>
        </w:tc>
        <w:tc>
          <w:tcPr>
            <w:tcW w:type="dxa" w:w="4464"/>
            <w:vAlign w:val="center"/>
          </w:tcPr>
          <w:p>
            <w:pPr>
              <w:spacing w:after="0"/>
            </w:pPr>
            <w:r/>
            <w:r>
              <w:rPr>
                <w:b w:val="0"/>
                <w:sz w:val="17"/>
              </w:rPr>
              <w:t>Separate dimensions and facts at documented grains.</w:t>
            </w:r>
          </w:p>
        </w:tc>
        <w:tc>
          <w:tcPr>
            <w:tcW w:type="dxa" w:w="4032"/>
            <w:vAlign w:val="center"/>
          </w:tcPr>
          <w:p>
            <w:pPr>
              <w:spacing w:after="0"/>
            </w:pPr>
            <w:r/>
            <w:r>
              <w:rPr>
                <w:b w:val="0"/>
                <w:sz w:val="17"/>
              </w:rPr>
              <w:t>Preserves ownership, refreshability and auditability.</w:t>
            </w:r>
          </w:p>
        </w:tc>
      </w:tr>
      <w:tr>
        <w:tc>
          <w:tcPr>
            <w:tcW w:type="dxa" w:w="2016"/>
            <w:vAlign w:val="center"/>
            <w:shd w:fill="EAF2F8"/>
          </w:tcPr>
          <w:p>
            <w:pPr>
              <w:spacing w:after="0"/>
            </w:pPr>
            <w:r/>
            <w:r>
              <w:rPr>
                <w:b w:val="0"/>
                <w:sz w:val="17"/>
              </w:rPr>
              <w:t>Certification layer</w:t>
            </w:r>
          </w:p>
        </w:tc>
        <w:tc>
          <w:tcPr>
            <w:tcW w:type="dxa" w:w="4464"/>
            <w:vAlign w:val="center"/>
            <w:shd w:fill="EAF2F8"/>
          </w:tcPr>
          <w:p>
            <w:pPr>
              <w:spacing w:after="0"/>
            </w:pPr>
            <w:r/>
            <w:r>
              <w:rPr>
                <w:b w:val="0"/>
                <w:sz w:val="17"/>
              </w:rPr>
              <w:t>Checks schema, keys, duplicates, references, intervals and publication readiness.</w:t>
            </w:r>
          </w:p>
        </w:tc>
        <w:tc>
          <w:tcPr>
            <w:tcW w:type="dxa" w:w="4032"/>
            <w:vAlign w:val="center"/>
            <w:shd w:fill="EAF2F8"/>
          </w:tcPr>
          <w:p>
            <w:pPr>
              <w:spacing w:after="0"/>
            </w:pPr>
            <w:r/>
            <w:r>
              <w:rPr>
                <w:b w:val="0"/>
                <w:sz w:val="17"/>
              </w:rPr>
              <w:t>Prevents invalid data from reaching semantic views.</w:t>
            </w:r>
          </w:p>
        </w:tc>
      </w:tr>
      <w:tr>
        <w:tc>
          <w:tcPr>
            <w:tcW w:type="dxa" w:w="2016"/>
            <w:vAlign w:val="center"/>
          </w:tcPr>
          <w:p>
            <w:pPr>
              <w:spacing w:after="0"/>
            </w:pPr>
            <w:r/>
            <w:r>
              <w:rPr>
                <w:b w:val="0"/>
                <w:sz w:val="17"/>
              </w:rPr>
              <w:t>Semantic view layer</w:t>
            </w:r>
          </w:p>
        </w:tc>
        <w:tc>
          <w:tcPr>
            <w:tcW w:type="dxa" w:w="4464"/>
            <w:vAlign w:val="center"/>
          </w:tcPr>
          <w:p>
            <w:pPr>
              <w:spacing w:after="0"/>
            </w:pPr>
            <w:r/>
            <w:r>
              <w:rPr>
                <w:b w:val="0"/>
                <w:sz w:val="17"/>
              </w:rPr>
              <w:t>Applies approved joins, vintage rules, aggregations and metrics.</w:t>
            </w:r>
          </w:p>
        </w:tc>
        <w:tc>
          <w:tcPr>
            <w:tcW w:type="dxa" w:w="4032"/>
            <w:vAlign w:val="center"/>
          </w:tcPr>
          <w:p>
            <w:pPr>
              <w:spacing w:after="0"/>
            </w:pPr>
            <w:r/>
            <w:r>
              <w:rPr>
                <w:b w:val="0"/>
                <w:sz w:val="17"/>
              </w:rPr>
              <w:t>Removes critical join decisions from the LLM.</w:t>
            </w:r>
          </w:p>
        </w:tc>
      </w:tr>
      <w:tr>
        <w:tc>
          <w:tcPr>
            <w:tcW w:type="dxa" w:w="2016"/>
            <w:vAlign w:val="center"/>
            <w:shd w:fill="EAF2F8"/>
          </w:tcPr>
          <w:p>
            <w:pPr>
              <w:spacing w:after="0"/>
            </w:pPr>
            <w:r/>
            <w:r>
              <w:rPr>
                <w:b w:val="0"/>
                <w:sz w:val="17"/>
              </w:rPr>
              <w:t>Genie Agent</w:t>
            </w:r>
          </w:p>
        </w:tc>
        <w:tc>
          <w:tcPr>
            <w:tcW w:type="dxa" w:w="4464"/>
            <w:vAlign w:val="center"/>
            <w:shd w:fill="EAF2F8"/>
          </w:tcPr>
          <w:p>
            <w:pPr>
              <w:spacing w:after="0"/>
            </w:pPr>
            <w:r/>
            <w:r>
              <w:rPr>
                <w:b w:val="0"/>
                <w:sz w:val="17"/>
              </w:rPr>
              <w:t>Interprets natural language, selects a certified view, generates SQL and explains results.</w:t>
            </w:r>
          </w:p>
        </w:tc>
        <w:tc>
          <w:tcPr>
            <w:tcW w:type="dxa" w:w="4032"/>
            <w:vAlign w:val="center"/>
            <w:shd w:fill="EAF2F8"/>
          </w:tcPr>
          <w:p>
            <w:pPr>
              <w:spacing w:after="0"/>
            </w:pPr>
            <w:r/>
            <w:r>
              <w:rPr>
                <w:b w:val="0"/>
                <w:sz w:val="17"/>
              </w:rPr>
              <w:t>Provides conversational self-service analysis.</w:t>
            </w:r>
          </w:p>
        </w:tc>
      </w:tr>
      <w:tr>
        <w:tc>
          <w:tcPr>
            <w:tcW w:type="dxa" w:w="2016"/>
            <w:vAlign w:val="center"/>
          </w:tcPr>
          <w:p>
            <w:pPr>
              <w:spacing w:after="0"/>
            </w:pPr>
            <w:r/>
            <w:r>
              <w:rPr>
                <w:b w:val="0"/>
                <w:sz w:val="17"/>
              </w:rPr>
              <w:t>Validation layer</w:t>
            </w:r>
          </w:p>
        </w:tc>
        <w:tc>
          <w:tcPr>
            <w:tcW w:type="dxa" w:w="4464"/>
            <w:vAlign w:val="center"/>
          </w:tcPr>
          <w:p>
            <w:pPr>
              <w:spacing w:after="0"/>
            </w:pPr>
            <w:r/>
            <w:r>
              <w:rPr>
                <w:b w:val="0"/>
                <w:sz w:val="17"/>
              </w:rPr>
              <w:t>Benchmark questions and exact numerical assertions.</w:t>
            </w:r>
          </w:p>
        </w:tc>
        <w:tc>
          <w:tcPr>
            <w:tcW w:type="dxa" w:w="4032"/>
            <w:vAlign w:val="center"/>
          </w:tcPr>
          <w:p>
            <w:pPr>
              <w:spacing w:after="0"/>
            </w:pPr>
            <w:r/>
            <w:r>
              <w:rPr>
                <w:b w:val="0"/>
                <w:sz w:val="17"/>
              </w:rPr>
              <w:t>Detects regressions and incorrect business semantics.</w:t>
            </w:r>
          </w:p>
        </w:tc>
      </w:tr>
    </w:tbl>
    <w:p>
      <w:pPr>
        <w:spacing w:after="0"/>
      </w:pPr>
    </w:p>
    <w:p>
      <w:pPr>
        <w:pStyle w:val="Heading2"/>
      </w:pPr>
      <w:r>
        <w:t>Architecture flow to draw in an interview</w:t>
      </w:r>
    </w:p>
    <w:p>
      <w:pPr>
        <w:jc w:val="center"/>
      </w:pPr>
      <w:r>
        <w:rPr>
          <w:b/>
          <w:color w:val="1F4E78"/>
          <w:sz w:val="24"/>
        </w:rPr>
        <w:t>Source data  →  Delta facts/dimensions  →  Certification  →  Semantic views  →  Genie SQL  →  Business answer</w:t>
      </w:r>
    </w:p>
    <w:p>
      <w:pPr>
        <w:pStyle w:val="Heading1"/>
      </w:pPr>
      <w:r>
        <w:t>4. Most important: query-to-answer flow</w:t>
      </w:r>
    </w:p>
    <w:p>
      <w:pPr>
        <w:pStyle w:val="ListNumber"/>
        <w:spacing w:after="60"/>
      </w:pPr>
      <w:r>
        <w:t>A business analyst asks a natural-language question in the Genie conversation.</w:t>
      </w:r>
    </w:p>
    <w:p>
      <w:pPr>
        <w:pStyle w:val="ListNumber"/>
        <w:spacing w:after="60"/>
      </w:pPr>
      <w:r>
        <w:t>Genie identifies the intent: SKU forecast, customer forecast, budget, price, promotion, revenue, inventory or RCA.</w:t>
      </w:r>
    </w:p>
    <w:p>
      <w:pPr>
        <w:pStyle w:val="ListNumber"/>
        <w:spacing w:after="60"/>
      </w:pPr>
      <w:r>
        <w:t>Genie resolves names and IDs through the governed entity lookup when necessary.</w:t>
      </w:r>
    </w:p>
    <w:p>
      <w:pPr>
        <w:pStyle w:val="ListNumber"/>
        <w:spacing w:after="60"/>
      </w:pPr>
      <w:r>
        <w:t>Conversation rules determine whether the question is a follow-up or an explicit entity/period switch.</w:t>
      </w:r>
    </w:p>
    <w:p>
      <w:pPr>
        <w:pStyle w:val="ListNumber"/>
        <w:spacing w:after="60"/>
      </w:pPr>
      <w:r>
        <w:t>Genie selects the narrowest certified semantic view that already represents the required business grain.</w:t>
      </w:r>
    </w:p>
    <w:p>
      <w:pPr>
        <w:pStyle w:val="ListNumber"/>
        <w:spacing w:after="60"/>
      </w:pPr>
      <w:r>
        <w:t>Genie generates SQL with filters, grouping, sorting and limits against that view.</w:t>
      </w:r>
    </w:p>
    <w:p>
      <w:pPr>
        <w:pStyle w:val="ListNumber"/>
        <w:spacing w:after="60"/>
      </w:pPr>
      <w:r>
        <w:t>Databricks SQL applies access permissions and executes the query.</w:t>
      </w:r>
    </w:p>
    <w:p>
      <w:pPr>
        <w:pStyle w:val="ListNumber"/>
        <w:spacing w:after="60"/>
      </w:pPr>
      <w:r>
        <w:t>The semantic view supplies deterministic joins, latest-vintage selection, fiscal mapping and certified metrics.</w:t>
      </w:r>
    </w:p>
    <w:p>
      <w:pPr>
        <w:pStyle w:val="ListNumber"/>
        <w:spacing w:after="60"/>
      </w:pPr>
      <w:r>
        <w:t>The result is returned to Genie as structured rows.</w:t>
      </w:r>
    </w:p>
    <w:p>
      <w:pPr>
        <w:pStyle w:val="ListNumber"/>
        <w:spacing w:after="60"/>
      </w:pPr>
      <w:r>
        <w:t>Genie formats the result using business labels, units, currency, percentages and period boundaries.</w:t>
      </w:r>
    </w:p>
    <w:p>
      <w:pPr>
        <w:pStyle w:val="ListNumber"/>
        <w:spacing w:after="60"/>
      </w:pPr>
      <w:r>
        <w:t>For RCA, Genie describes supported signals as associated evidence and avoids causal claims.</w:t>
      </w:r>
    </w:p>
    <w:p>
      <w:pPr>
        <w:pStyle w:val="ListNumber"/>
        <w:spacing w:after="60"/>
      </w:pPr>
      <w:r>
        <w:t>The analyst can ask a follow-up; compatible context is retained only within that conversation.</w:t>
      </w:r>
    </w:p>
    <w:p>
      <w:pPr>
        <w:pStyle w:val="Heading2"/>
      </w:pPr>
      <w:r>
        <w:t>What is deterministic and what is dynamic?</w:t>
      </w:r>
    </w:p>
    <w:tbl>
      <w:tblPr>
        <w:tblStyle w:val="TableGrid"/>
        <w:tblW w:type="auto" w:w="0"/>
        <w:jc w:val="center"/>
        <w:tblLook w:firstColumn="1" w:firstRow="1" w:lastColumn="0" w:lastRow="0" w:noHBand="0" w:noVBand="1" w:val="04A0"/>
      </w:tblPr>
      <w:tblGrid>
        <w:gridCol w:w="5112"/>
        <w:gridCol w:w="5112"/>
      </w:tblGrid>
      <w:tr>
        <w:tc>
          <w:tcPr>
            <w:tcW w:type="dxa" w:w="5184"/>
            <w:vAlign w:val="center"/>
            <w:shd w:fill="1F4E78"/>
          </w:tcPr>
          <w:p>
            <w:pPr>
              <w:spacing w:after="0"/>
            </w:pPr>
            <w:r/>
            <w:r>
              <w:rPr>
                <w:b/>
                <w:color w:val="FFFFFF"/>
                <w:sz w:val="18"/>
              </w:rPr>
              <w:t>Deterministic</w:t>
            </w:r>
          </w:p>
        </w:tc>
        <w:tc>
          <w:tcPr>
            <w:tcW w:type="dxa" w:w="5184"/>
            <w:vAlign w:val="center"/>
            <w:shd w:fill="1F4E78"/>
          </w:tcPr>
          <w:p>
            <w:pPr>
              <w:spacing w:after="0"/>
            </w:pPr>
            <w:r/>
            <w:r>
              <w:rPr>
                <w:b/>
                <w:color w:val="FFFFFF"/>
                <w:sz w:val="18"/>
              </w:rPr>
              <w:t>Dynamic within guardrails</w:t>
            </w:r>
          </w:p>
        </w:tc>
      </w:tr>
      <w:tr>
        <w:tc>
          <w:tcPr>
            <w:tcW w:type="dxa" w:w="5184"/>
            <w:vAlign w:val="center"/>
          </w:tcPr>
          <w:p>
            <w:pPr>
              <w:spacing w:after="0"/>
            </w:pPr>
            <w:r/>
            <w:r>
              <w:rPr>
                <w:b w:val="0"/>
                <w:sz w:val="17"/>
              </w:rPr>
              <w:t>Table grain and uniqueness</w:t>
            </w:r>
          </w:p>
        </w:tc>
        <w:tc>
          <w:tcPr>
            <w:tcW w:type="dxa" w:w="5184"/>
            <w:vAlign w:val="center"/>
          </w:tcPr>
          <w:p>
            <w:pPr>
              <w:spacing w:after="0"/>
            </w:pPr>
            <w:r/>
            <w:r>
              <w:rPr>
                <w:b w:val="0"/>
                <w:sz w:val="17"/>
              </w:rPr>
              <w:t>Natural-language intent interpretation</w:t>
            </w:r>
          </w:p>
        </w:tc>
      </w:tr>
      <w:tr>
        <w:tc>
          <w:tcPr>
            <w:tcW w:type="dxa" w:w="5184"/>
            <w:vAlign w:val="center"/>
            <w:shd w:fill="EAF2F8"/>
          </w:tcPr>
          <w:p>
            <w:pPr>
              <w:spacing w:after="0"/>
            </w:pPr>
            <w:r/>
            <w:r>
              <w:rPr>
                <w:b w:val="0"/>
                <w:sz w:val="17"/>
              </w:rPr>
              <w:t>Fact-to-dimension joins</w:t>
            </w:r>
          </w:p>
        </w:tc>
        <w:tc>
          <w:tcPr>
            <w:tcW w:type="dxa" w:w="5184"/>
            <w:vAlign w:val="center"/>
            <w:shd w:fill="EAF2F8"/>
          </w:tcPr>
          <w:p>
            <w:pPr>
              <w:spacing w:after="0"/>
            </w:pPr>
            <w:r/>
            <w:r>
              <w:rPr>
                <w:b w:val="0"/>
                <w:sz w:val="17"/>
              </w:rPr>
              <w:t>Choice of certified view</w:t>
            </w:r>
          </w:p>
        </w:tc>
      </w:tr>
      <w:tr>
        <w:tc>
          <w:tcPr>
            <w:tcW w:type="dxa" w:w="5184"/>
            <w:vAlign w:val="center"/>
          </w:tcPr>
          <w:p>
            <w:pPr>
              <w:spacing w:after="0"/>
            </w:pPr>
            <w:r/>
            <w:r>
              <w:rPr>
                <w:b w:val="0"/>
                <w:sz w:val="17"/>
              </w:rPr>
              <w:t>Latest forecast vintage per target</w:t>
            </w:r>
          </w:p>
        </w:tc>
        <w:tc>
          <w:tcPr>
            <w:tcW w:type="dxa" w:w="5184"/>
            <w:vAlign w:val="center"/>
          </w:tcPr>
          <w:p>
            <w:pPr>
              <w:spacing w:after="0"/>
            </w:pPr>
            <w:r/>
            <w:r>
              <w:rPr>
                <w:b w:val="0"/>
                <w:sz w:val="17"/>
              </w:rPr>
              <w:t>Filters requested by the user</w:t>
            </w:r>
          </w:p>
        </w:tc>
      </w:tr>
      <w:tr>
        <w:tc>
          <w:tcPr>
            <w:tcW w:type="dxa" w:w="5184"/>
            <w:vAlign w:val="center"/>
            <w:shd w:fill="EAF2F8"/>
          </w:tcPr>
          <w:p>
            <w:pPr>
              <w:spacing w:after="0"/>
            </w:pPr>
            <w:r/>
            <w:r>
              <w:rPr>
                <w:b w:val="0"/>
                <w:sz w:val="17"/>
              </w:rPr>
              <w:t>Fiscal-period mapping</w:t>
            </w:r>
          </w:p>
        </w:tc>
        <w:tc>
          <w:tcPr>
            <w:tcW w:type="dxa" w:w="5184"/>
            <w:vAlign w:val="center"/>
            <w:shd w:fill="EAF2F8"/>
          </w:tcPr>
          <w:p>
            <w:pPr>
              <w:spacing w:after="0"/>
            </w:pPr>
            <w:r/>
            <w:r>
              <w:rPr>
                <w:b w:val="0"/>
                <w:sz w:val="17"/>
              </w:rPr>
              <w:t>Sorting, top-N and presentation</w:t>
            </w:r>
          </w:p>
        </w:tc>
      </w:tr>
      <w:tr>
        <w:tc>
          <w:tcPr>
            <w:tcW w:type="dxa" w:w="5184"/>
            <w:vAlign w:val="center"/>
          </w:tcPr>
          <w:p>
            <w:pPr>
              <w:spacing w:after="0"/>
            </w:pPr>
            <w:r/>
            <w:r>
              <w:rPr>
                <w:b w:val="0"/>
                <w:sz w:val="17"/>
              </w:rPr>
              <w:t>Metric formulas and denominators</w:t>
            </w:r>
          </w:p>
        </w:tc>
        <w:tc>
          <w:tcPr>
            <w:tcW w:type="dxa" w:w="5184"/>
            <w:vAlign w:val="center"/>
          </w:tcPr>
          <w:p>
            <w:pPr>
              <w:spacing w:after="0"/>
            </w:pPr>
            <w:r/>
            <w:r>
              <w:rPr>
                <w:b w:val="0"/>
                <w:sz w:val="17"/>
              </w:rPr>
              <w:t>Compatible follow-up context</w:t>
            </w:r>
          </w:p>
        </w:tc>
      </w:tr>
      <w:tr>
        <w:tc>
          <w:tcPr>
            <w:tcW w:type="dxa" w:w="5184"/>
            <w:vAlign w:val="center"/>
            <w:shd w:fill="EAF2F8"/>
          </w:tcPr>
          <w:p>
            <w:pPr>
              <w:spacing w:after="0"/>
            </w:pPr>
            <w:r/>
            <w:r>
              <w:rPr>
                <w:b w:val="0"/>
                <w:sz w:val="17"/>
              </w:rPr>
              <w:t>Budget/version and price-validity rules</w:t>
            </w:r>
          </w:p>
        </w:tc>
        <w:tc>
          <w:tcPr>
            <w:tcW w:type="dxa" w:w="5184"/>
            <w:vAlign w:val="center"/>
            <w:shd w:fill="EAF2F8"/>
          </w:tcPr>
          <w:p>
            <w:pPr>
              <w:spacing w:after="0"/>
            </w:pPr>
            <w:r/>
            <w:r>
              <w:rPr>
                <w:b w:val="0"/>
                <w:sz w:val="17"/>
              </w:rPr>
              <w:t>Plain-language explanation</w:t>
            </w:r>
          </w:p>
        </w:tc>
      </w:tr>
      <w:tr>
        <w:tc>
          <w:tcPr>
            <w:tcW w:type="dxa" w:w="5184"/>
            <w:vAlign w:val="center"/>
          </w:tcPr>
          <w:p>
            <w:pPr>
              <w:spacing w:after="0"/>
            </w:pPr>
            <w:r/>
            <w:r>
              <w:rPr>
                <w:b w:val="0"/>
                <w:sz w:val="17"/>
              </w:rPr>
              <w:t>Certification and blocking conditions</w:t>
            </w:r>
          </w:p>
        </w:tc>
        <w:tc>
          <w:tcPr>
            <w:tcW w:type="dxa" w:w="5184"/>
            <w:vAlign w:val="center"/>
          </w:tcPr>
          <w:p>
            <w:pPr>
              <w:spacing w:after="0"/>
            </w:pPr>
            <w:r/>
            <w:r>
              <w:rPr>
                <w:b w:val="0"/>
                <w:sz w:val="17"/>
              </w:rPr>
              <w:t>SQL shape within the semantic contract</w:t>
            </w:r>
          </w:p>
        </w:tc>
      </w:tr>
    </w:tbl>
    <w:p>
      <w:pPr>
        <w:spacing w:after="0"/>
      </w:pPr>
    </w:p>
    <w:p>
      <w:pPr>
        <w:pStyle w:val="Heading1"/>
      </w:pPr>
      <w:r>
        <w:t>5. Tables and views to know</w:t>
      </w:r>
    </w:p>
    <w:p>
      <w:pPr>
        <w:pStyle w:val="Heading2"/>
      </w:pPr>
      <w:r>
        <w:t>Physical tables</w:t>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1F4E78"/>
          </w:tcPr>
          <w:p>
            <w:pPr>
              <w:spacing w:after="0"/>
            </w:pPr>
            <w:r/>
            <w:r>
              <w:rPr>
                <w:b/>
                <w:color w:val="FFFFFF"/>
                <w:sz w:val="18"/>
              </w:rPr>
              <w:t>Object</w:t>
            </w:r>
          </w:p>
        </w:tc>
        <w:tc>
          <w:tcPr>
            <w:tcW w:type="dxa" w:w="7200"/>
            <w:vAlign w:val="center"/>
            <w:shd w:fill="1F4E78"/>
          </w:tcPr>
          <w:p>
            <w:pPr>
              <w:spacing w:after="0"/>
            </w:pPr>
            <w:r/>
            <w:r>
              <w:rPr>
                <w:b/>
                <w:color w:val="FFFFFF"/>
                <w:sz w:val="18"/>
              </w:rPr>
              <w:t>One row represents</w:t>
            </w:r>
          </w:p>
        </w:tc>
      </w:tr>
      <w:tr>
        <w:tc>
          <w:tcPr>
            <w:tcW w:type="dxa" w:w="3168"/>
            <w:vAlign w:val="center"/>
          </w:tcPr>
          <w:p>
            <w:pPr>
              <w:spacing w:after="0"/>
            </w:pPr>
            <w:r/>
            <w:r>
              <w:rPr>
                <w:b w:val="0"/>
                <w:sz w:val="17"/>
              </w:rPr>
              <w:t>dim_sku</w:t>
            </w:r>
          </w:p>
        </w:tc>
        <w:tc>
          <w:tcPr>
            <w:tcW w:type="dxa" w:w="7200"/>
            <w:vAlign w:val="center"/>
          </w:tcPr>
          <w:p>
            <w:pPr>
              <w:spacing w:after="0"/>
            </w:pPr>
            <w:r/>
            <w:r>
              <w:rPr>
                <w:b w:val="0"/>
                <w:sz w:val="17"/>
              </w:rPr>
              <w:t>One globally unique SKU with descriptive attributes.</w:t>
            </w:r>
          </w:p>
        </w:tc>
      </w:tr>
      <w:tr>
        <w:tc>
          <w:tcPr>
            <w:tcW w:type="dxa" w:w="3168"/>
            <w:vAlign w:val="center"/>
            <w:shd w:fill="EAF2F8"/>
          </w:tcPr>
          <w:p>
            <w:pPr>
              <w:spacing w:after="0"/>
            </w:pPr>
            <w:r/>
            <w:r>
              <w:rPr>
                <w:b w:val="0"/>
                <w:sz w:val="17"/>
              </w:rPr>
              <w:t>dim_customer</w:t>
            </w:r>
          </w:p>
        </w:tc>
        <w:tc>
          <w:tcPr>
            <w:tcW w:type="dxa" w:w="7200"/>
            <w:vAlign w:val="center"/>
            <w:shd w:fill="EAF2F8"/>
          </w:tcPr>
          <w:p>
            <w:pPr>
              <w:spacing w:after="0"/>
            </w:pPr>
            <w:r/>
            <w:r>
              <w:rPr>
                <w:b w:val="0"/>
                <w:sz w:val="17"/>
              </w:rPr>
              <w:t>One globally unique customer with segment and geography.</w:t>
            </w:r>
          </w:p>
        </w:tc>
      </w:tr>
      <w:tr>
        <w:tc>
          <w:tcPr>
            <w:tcW w:type="dxa" w:w="3168"/>
            <w:vAlign w:val="center"/>
          </w:tcPr>
          <w:p>
            <w:pPr>
              <w:spacing w:after="0"/>
            </w:pPr>
            <w:r/>
            <w:r>
              <w:rPr>
                <w:b w:val="0"/>
                <w:sz w:val="17"/>
              </w:rPr>
              <w:t>dim_fiscal_period</w:t>
            </w:r>
          </w:p>
        </w:tc>
        <w:tc>
          <w:tcPr>
            <w:tcW w:type="dxa" w:w="7200"/>
            <w:vAlign w:val="center"/>
          </w:tcPr>
          <w:p>
            <w:pPr>
              <w:spacing w:after="0"/>
            </w:pPr>
            <w:r/>
            <w:r>
              <w:rPr>
                <w:b w:val="0"/>
                <w:sz w:val="17"/>
              </w:rPr>
              <w:t>One country and fiscal period with start/end dates.</w:t>
            </w:r>
          </w:p>
        </w:tc>
      </w:tr>
      <w:tr>
        <w:tc>
          <w:tcPr>
            <w:tcW w:type="dxa" w:w="3168"/>
            <w:vAlign w:val="center"/>
            <w:shd w:fill="EAF2F8"/>
          </w:tcPr>
          <w:p>
            <w:pPr>
              <w:spacing w:after="0"/>
            </w:pPr>
            <w:r/>
            <w:r>
              <w:rPr>
                <w:b w:val="0"/>
                <w:sz w:val="17"/>
              </w:rPr>
              <w:t>fact_sku_forecast</w:t>
            </w:r>
          </w:p>
        </w:tc>
        <w:tc>
          <w:tcPr>
            <w:tcW w:type="dxa" w:w="7200"/>
            <w:vAlign w:val="center"/>
            <w:shd w:fill="EAF2F8"/>
          </w:tcPr>
          <w:p>
            <w:pPr>
              <w:spacing w:after="0"/>
            </w:pPr>
            <w:r/>
            <w:r>
              <w:rPr>
                <w:b w:val="0"/>
                <w:sz w:val="17"/>
              </w:rPr>
              <w:t>Region, country, SKU, target date and forecast vintage.</w:t>
            </w:r>
          </w:p>
        </w:tc>
      </w:tr>
      <w:tr>
        <w:tc>
          <w:tcPr>
            <w:tcW w:type="dxa" w:w="3168"/>
            <w:vAlign w:val="center"/>
          </w:tcPr>
          <w:p>
            <w:pPr>
              <w:spacing w:after="0"/>
            </w:pPr>
            <w:r/>
            <w:r>
              <w:rPr>
                <w:b w:val="0"/>
                <w:sz w:val="17"/>
              </w:rPr>
              <w:t>fact_customer_forecast</w:t>
            </w:r>
          </w:p>
        </w:tc>
        <w:tc>
          <w:tcPr>
            <w:tcW w:type="dxa" w:w="7200"/>
            <w:vAlign w:val="center"/>
          </w:tcPr>
          <w:p>
            <w:pPr>
              <w:spacing w:after="0"/>
            </w:pPr>
            <w:r/>
            <w:r>
              <w:rPr>
                <w:b w:val="0"/>
                <w:sz w:val="17"/>
              </w:rPr>
              <w:t>Region, country, customer, SKU, target date and forecast vintage.</w:t>
            </w:r>
          </w:p>
        </w:tc>
      </w:tr>
      <w:tr>
        <w:tc>
          <w:tcPr>
            <w:tcW w:type="dxa" w:w="3168"/>
            <w:vAlign w:val="center"/>
            <w:shd w:fill="EAF2F8"/>
          </w:tcPr>
          <w:p>
            <w:pPr>
              <w:spacing w:after="0"/>
            </w:pPr>
            <w:r/>
            <w:r>
              <w:rPr>
                <w:b w:val="0"/>
                <w:sz w:val="17"/>
              </w:rPr>
              <w:t>fact_sku_budget</w:t>
            </w:r>
          </w:p>
        </w:tc>
        <w:tc>
          <w:tcPr>
            <w:tcW w:type="dxa" w:w="7200"/>
            <w:vAlign w:val="center"/>
            <w:shd w:fill="EAF2F8"/>
          </w:tcPr>
          <w:p>
            <w:pPr>
              <w:spacing w:after="0"/>
            </w:pPr>
            <w:r/>
            <w:r>
              <w:rPr>
                <w:b w:val="0"/>
                <w:sz w:val="17"/>
              </w:rPr>
              <w:t>Region, country, SKU, fiscal period and budget version.</w:t>
            </w:r>
          </w:p>
        </w:tc>
      </w:tr>
      <w:tr>
        <w:tc>
          <w:tcPr>
            <w:tcW w:type="dxa" w:w="3168"/>
            <w:vAlign w:val="center"/>
          </w:tcPr>
          <w:p>
            <w:pPr>
              <w:spacing w:after="0"/>
            </w:pPr>
            <w:r/>
            <w:r>
              <w:rPr>
                <w:b w:val="0"/>
                <w:sz w:val="17"/>
              </w:rPr>
              <w:t>fact_sku_price</w:t>
            </w:r>
          </w:p>
        </w:tc>
        <w:tc>
          <w:tcPr>
            <w:tcW w:type="dxa" w:w="7200"/>
            <w:vAlign w:val="center"/>
          </w:tcPr>
          <w:p>
            <w:pPr>
              <w:spacing w:after="0"/>
            </w:pPr>
            <w:r/>
            <w:r>
              <w:rPr>
                <w:b w:val="0"/>
                <w:sz w:val="17"/>
              </w:rPr>
              <w:t>Country, SKU, price type and effective-from date.</w:t>
            </w:r>
          </w:p>
        </w:tc>
      </w:tr>
      <w:tr>
        <w:tc>
          <w:tcPr>
            <w:tcW w:type="dxa" w:w="3168"/>
            <w:vAlign w:val="center"/>
            <w:shd w:fill="EAF2F8"/>
          </w:tcPr>
          <w:p>
            <w:pPr>
              <w:spacing w:after="0"/>
            </w:pPr>
            <w:r/>
            <w:r>
              <w:rPr>
                <w:b w:val="0"/>
                <w:sz w:val="17"/>
              </w:rPr>
              <w:t>fact_sku_promotion</w:t>
            </w:r>
          </w:p>
        </w:tc>
        <w:tc>
          <w:tcPr>
            <w:tcW w:type="dxa" w:w="7200"/>
            <w:vAlign w:val="center"/>
            <w:shd w:fill="EAF2F8"/>
          </w:tcPr>
          <w:p>
            <w:pPr>
              <w:spacing w:after="0"/>
            </w:pPr>
            <w:r/>
            <w:r>
              <w:rPr>
                <w:b w:val="0"/>
                <w:sz w:val="17"/>
              </w:rPr>
              <w:t>Region, country, SKU and promotion ID.</w:t>
            </w:r>
          </w:p>
        </w:tc>
      </w:tr>
    </w:tbl>
    <w:p>
      <w:pPr>
        <w:spacing w:after="0"/>
      </w:pPr>
    </w:p>
    <w:p>
      <w:pPr>
        <w:pStyle w:val="Heading2"/>
      </w:pPr>
      <w:r>
        <w:t>Genie-facing semantic views</w:t>
      </w:r>
    </w:p>
    <w:tbl>
      <w:tblPr>
        <w:tblStyle w:val="TableGrid"/>
        <w:tblW w:type="auto" w:w="0"/>
        <w:jc w:val="center"/>
        <w:tblLook w:firstColumn="1" w:firstRow="1" w:lastColumn="0" w:lastRow="0" w:noHBand="0" w:noVBand="1" w:val="04A0"/>
      </w:tblPr>
      <w:tblGrid>
        <w:gridCol w:w="5112"/>
        <w:gridCol w:w="5112"/>
      </w:tblGrid>
      <w:tr>
        <w:tc>
          <w:tcPr>
            <w:tcW w:type="dxa" w:w="4608"/>
            <w:vAlign w:val="center"/>
            <w:shd w:fill="1F4E78"/>
          </w:tcPr>
          <w:p>
            <w:pPr>
              <w:spacing w:after="0"/>
            </w:pPr>
            <w:r/>
            <w:r>
              <w:rPr>
                <w:b/>
                <w:color w:val="FFFFFF"/>
                <w:sz w:val="18"/>
              </w:rPr>
              <w:t>View</w:t>
            </w:r>
          </w:p>
        </w:tc>
        <w:tc>
          <w:tcPr>
            <w:tcW w:type="dxa" w:w="5760"/>
            <w:vAlign w:val="center"/>
            <w:shd w:fill="1F4E78"/>
          </w:tcPr>
          <w:p>
            <w:pPr>
              <w:spacing w:after="0"/>
            </w:pPr>
            <w:r/>
            <w:r>
              <w:rPr>
                <w:b/>
                <w:color w:val="FFFFFF"/>
                <w:sz w:val="18"/>
              </w:rPr>
              <w:t>Purpose</w:t>
            </w:r>
          </w:p>
        </w:tc>
      </w:tr>
      <w:tr>
        <w:tc>
          <w:tcPr>
            <w:tcW w:type="dxa" w:w="4608"/>
            <w:vAlign w:val="center"/>
          </w:tcPr>
          <w:p>
            <w:pPr>
              <w:spacing w:after="0"/>
            </w:pPr>
            <w:r/>
            <w:r>
              <w:rPr>
                <w:b w:val="0"/>
                <w:sz w:val="17"/>
              </w:rPr>
              <w:t>vw_genie_entity_lookup</w:t>
            </w:r>
          </w:p>
        </w:tc>
        <w:tc>
          <w:tcPr>
            <w:tcW w:type="dxa" w:w="5760"/>
            <w:vAlign w:val="center"/>
          </w:tcPr>
          <w:p>
            <w:pPr>
              <w:spacing w:after="0"/>
            </w:pPr>
            <w:r/>
            <w:r>
              <w:rPr>
                <w:b w:val="0"/>
                <w:sz w:val="17"/>
              </w:rPr>
              <w:t>Resolve SKU/customer names and entity types.</w:t>
            </w:r>
          </w:p>
        </w:tc>
      </w:tr>
      <w:tr>
        <w:tc>
          <w:tcPr>
            <w:tcW w:type="dxa" w:w="4608"/>
            <w:vAlign w:val="center"/>
            <w:shd w:fill="EAF2F8"/>
          </w:tcPr>
          <w:p>
            <w:pPr>
              <w:spacing w:after="0"/>
            </w:pPr>
            <w:r/>
            <w:r>
              <w:rPr>
                <w:b w:val="0"/>
                <w:sz w:val="17"/>
              </w:rPr>
              <w:t>vw_genie_sku_forecast</w:t>
            </w:r>
          </w:p>
        </w:tc>
        <w:tc>
          <w:tcPr>
            <w:tcW w:type="dxa" w:w="5760"/>
            <w:vAlign w:val="center"/>
            <w:shd w:fill="EAF2F8"/>
          </w:tcPr>
          <w:p>
            <w:pPr>
              <w:spacing w:after="0"/>
            </w:pPr>
            <w:r/>
            <w:r>
              <w:rPr>
                <w:b w:val="0"/>
                <w:sz w:val="17"/>
              </w:rPr>
              <w:t>Detailed SKU forecast and actual rows.</w:t>
            </w:r>
          </w:p>
        </w:tc>
      </w:tr>
      <w:tr>
        <w:tc>
          <w:tcPr>
            <w:tcW w:type="dxa" w:w="4608"/>
            <w:vAlign w:val="center"/>
          </w:tcPr>
          <w:p>
            <w:pPr>
              <w:spacing w:after="0"/>
            </w:pPr>
            <w:r/>
            <w:r>
              <w:rPr>
                <w:b w:val="0"/>
                <w:sz w:val="17"/>
              </w:rPr>
              <w:t>vw_genie_customer_forecast</w:t>
            </w:r>
          </w:p>
        </w:tc>
        <w:tc>
          <w:tcPr>
            <w:tcW w:type="dxa" w:w="5760"/>
            <w:vAlign w:val="center"/>
          </w:tcPr>
          <w:p>
            <w:pPr>
              <w:spacing w:after="0"/>
            </w:pPr>
            <w:r/>
            <w:r>
              <w:rPr>
                <w:b w:val="0"/>
                <w:sz w:val="17"/>
              </w:rPr>
              <w:t>Detailed customer-SKU forecast and actual rows.</w:t>
            </w:r>
          </w:p>
        </w:tc>
      </w:tr>
      <w:tr>
        <w:tc>
          <w:tcPr>
            <w:tcW w:type="dxa" w:w="4608"/>
            <w:vAlign w:val="center"/>
            <w:shd w:fill="EAF2F8"/>
          </w:tcPr>
          <w:p>
            <w:pPr>
              <w:spacing w:after="0"/>
            </w:pPr>
            <w:r/>
            <w:r>
              <w:rPr>
                <w:b w:val="0"/>
                <w:sz w:val="17"/>
              </w:rPr>
              <w:t>vw_genie_sku_budget</w:t>
            </w:r>
          </w:p>
        </w:tc>
        <w:tc>
          <w:tcPr>
            <w:tcW w:type="dxa" w:w="5760"/>
            <w:vAlign w:val="center"/>
            <w:shd w:fill="EAF2F8"/>
          </w:tcPr>
          <w:p>
            <w:pPr>
              <w:spacing w:after="0"/>
            </w:pPr>
            <w:r/>
            <w:r>
              <w:rPr>
                <w:b w:val="0"/>
                <w:sz w:val="17"/>
              </w:rPr>
              <w:t>Approved SKU quantity and revenue budgets.</w:t>
            </w:r>
          </w:p>
        </w:tc>
      </w:tr>
      <w:tr>
        <w:tc>
          <w:tcPr>
            <w:tcW w:type="dxa" w:w="4608"/>
            <w:vAlign w:val="center"/>
          </w:tcPr>
          <w:p>
            <w:pPr>
              <w:spacing w:after="0"/>
            </w:pPr>
            <w:r/>
            <w:r>
              <w:rPr>
                <w:b w:val="0"/>
                <w:sz w:val="17"/>
              </w:rPr>
              <w:t>vw_genie_sku_price</w:t>
            </w:r>
          </w:p>
        </w:tc>
        <w:tc>
          <w:tcPr>
            <w:tcW w:type="dxa" w:w="5760"/>
            <w:vAlign w:val="center"/>
          </w:tcPr>
          <w:p>
            <w:pPr>
              <w:spacing w:after="0"/>
            </w:pPr>
            <w:r/>
            <w:r>
              <w:rPr>
                <w:b w:val="0"/>
                <w:sz w:val="17"/>
              </w:rPr>
              <w:t>Effective-dated SKU list prices.</w:t>
            </w:r>
          </w:p>
        </w:tc>
      </w:tr>
      <w:tr>
        <w:tc>
          <w:tcPr>
            <w:tcW w:type="dxa" w:w="4608"/>
            <w:vAlign w:val="center"/>
            <w:shd w:fill="EAF2F8"/>
          </w:tcPr>
          <w:p>
            <w:pPr>
              <w:spacing w:after="0"/>
            </w:pPr>
            <w:r/>
            <w:r>
              <w:rPr>
                <w:b w:val="0"/>
                <w:sz w:val="17"/>
              </w:rPr>
              <w:t>vw_genie_sku_promotion</w:t>
            </w:r>
          </w:p>
        </w:tc>
        <w:tc>
          <w:tcPr>
            <w:tcW w:type="dxa" w:w="5760"/>
            <w:vAlign w:val="center"/>
            <w:shd w:fill="EAF2F8"/>
          </w:tcPr>
          <w:p>
            <w:pPr>
              <w:spacing w:after="0"/>
            </w:pPr>
            <w:r/>
            <w:r>
              <w:rPr>
                <w:b w:val="0"/>
                <w:sz w:val="17"/>
              </w:rPr>
              <w:t>Approved SKU promotion events.</w:t>
            </w:r>
          </w:p>
        </w:tc>
      </w:tr>
      <w:tr>
        <w:tc>
          <w:tcPr>
            <w:tcW w:type="dxa" w:w="4608"/>
            <w:vAlign w:val="center"/>
          </w:tcPr>
          <w:p>
            <w:pPr>
              <w:spacing w:after="0"/>
            </w:pPr>
            <w:r/>
            <w:r>
              <w:rPr>
                <w:b w:val="0"/>
                <w:sz w:val="17"/>
              </w:rPr>
              <w:t>vw_genie_sku_monthly_performance</w:t>
            </w:r>
          </w:p>
        </w:tc>
        <w:tc>
          <w:tcPr>
            <w:tcW w:type="dxa" w:w="5760"/>
            <w:vAlign w:val="center"/>
          </w:tcPr>
          <w:p>
            <w:pPr>
              <w:spacing w:after="0"/>
            </w:pPr>
            <w:r/>
            <w:r>
              <w:rPr>
                <w:b w:val="0"/>
                <w:sz w:val="17"/>
              </w:rPr>
              <w:t>Certified monthly SKU forecast metrics.</w:t>
            </w:r>
          </w:p>
        </w:tc>
      </w:tr>
      <w:tr>
        <w:tc>
          <w:tcPr>
            <w:tcW w:type="dxa" w:w="4608"/>
            <w:vAlign w:val="center"/>
            <w:shd w:fill="EAF2F8"/>
          </w:tcPr>
          <w:p>
            <w:pPr>
              <w:spacing w:after="0"/>
            </w:pPr>
            <w:r/>
            <w:r>
              <w:rPr>
                <w:b w:val="0"/>
                <w:sz w:val="17"/>
              </w:rPr>
              <w:t>vw_genie_customer_sku_monthly_performance</w:t>
            </w:r>
          </w:p>
        </w:tc>
        <w:tc>
          <w:tcPr>
            <w:tcW w:type="dxa" w:w="5760"/>
            <w:vAlign w:val="center"/>
            <w:shd w:fill="EAF2F8"/>
          </w:tcPr>
          <w:p>
            <w:pPr>
              <w:spacing w:after="0"/>
            </w:pPr>
            <w:r/>
            <w:r>
              <w:rPr>
                <w:b w:val="0"/>
                <w:sz w:val="17"/>
              </w:rPr>
              <w:t>Certified monthly customer-SKU metrics.</w:t>
            </w:r>
          </w:p>
        </w:tc>
      </w:tr>
      <w:tr>
        <w:tc>
          <w:tcPr>
            <w:tcW w:type="dxa" w:w="4608"/>
            <w:vAlign w:val="center"/>
          </w:tcPr>
          <w:p>
            <w:pPr>
              <w:spacing w:after="0"/>
            </w:pPr>
            <w:r/>
            <w:r>
              <w:rPr>
                <w:b w:val="0"/>
                <w:sz w:val="17"/>
              </w:rPr>
              <w:t>vw_genie_sku_monthly_plan_vs_actual</w:t>
            </w:r>
          </w:p>
        </w:tc>
        <w:tc>
          <w:tcPr>
            <w:tcW w:type="dxa" w:w="5760"/>
            <w:vAlign w:val="center"/>
          </w:tcPr>
          <w:p>
            <w:pPr>
              <w:spacing w:after="0"/>
            </w:pPr>
            <w:r/>
            <w:r>
              <w:rPr>
                <w:b w:val="0"/>
                <w:sz w:val="17"/>
              </w:rPr>
              <w:t>Certified monthly actual, forecast and budget comparison.</w:t>
            </w:r>
          </w:p>
        </w:tc>
      </w:tr>
      <w:tr>
        <w:tc>
          <w:tcPr>
            <w:tcW w:type="dxa" w:w="4608"/>
            <w:vAlign w:val="center"/>
            <w:shd w:fill="EAF2F8"/>
          </w:tcPr>
          <w:p>
            <w:pPr>
              <w:spacing w:after="0"/>
            </w:pPr>
            <w:r/>
            <w:r>
              <w:rPr>
                <w:b w:val="0"/>
                <w:sz w:val="17"/>
              </w:rPr>
              <w:t>vw_genie_forecast_observations</w:t>
            </w:r>
          </w:p>
        </w:tc>
        <w:tc>
          <w:tcPr>
            <w:tcW w:type="dxa" w:w="5760"/>
            <w:vAlign w:val="center"/>
            <w:shd w:fill="EAF2F8"/>
          </w:tcPr>
          <w:p>
            <w:pPr>
              <w:spacing w:after="0"/>
            </w:pPr>
            <w:r/>
            <w:r>
              <w:rPr>
                <w:b w:val="0"/>
                <w:sz w:val="17"/>
              </w:rPr>
              <w:t>Original product/store forecast, revenue, inventory and RCA evidence.</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Why facts are not exposed to Genie: </w:t>
            </w:r>
            <w:r>
              <w:t>If facts and semantic views are both exposed, Genie can select an unsafe path, recreate joins, multiply rows or combine forecast versions. The views are the governed analytical contract.</w:t>
            </w:r>
          </w:p>
        </w:tc>
      </w:tr>
    </w:tbl>
    <w:p>
      <w:pPr>
        <w:spacing w:after="0"/>
      </w:pPr>
    </w:p>
    <w:p>
      <w:pPr>
        <w:pStyle w:val="Heading1"/>
      </w:pPr>
      <w:r>
        <w:t>6. Join and aggregation logic</w:t>
      </w:r>
    </w:p>
    <w:p>
      <w:pPr>
        <w:pStyle w:val="Heading2"/>
      </w:pPr>
      <w:r>
        <w:t>Join rules</w:t>
      </w:r>
    </w:p>
    <w:p>
      <w:pPr>
        <w:pStyle w:val="ListBullet"/>
        <w:spacing w:after="40"/>
      </w:pPr>
      <w:r>
        <w:t>Fact-to-dimension relationships are many-to-one and use stable entity keys.</w:t>
      </w:r>
    </w:p>
    <w:p>
      <w:pPr>
        <w:pStyle w:val="ListBullet"/>
        <w:spacing w:after="40"/>
      </w:pPr>
      <w:r>
        <w:t>Fact row counts must equal enriched base-view row counts; a mismatch identifies an orphan or many-to-many join.</w:t>
      </w:r>
    </w:p>
    <w:p>
      <w:pPr>
        <w:pStyle w:val="ListBullet"/>
        <w:spacing w:after="40"/>
      </w:pPr>
      <w:r>
        <w:t>Raw forecast, budget, price and promotion facts are not dynamically joined by Genie.</w:t>
      </w:r>
    </w:p>
    <w:p>
      <w:pPr>
        <w:pStyle w:val="ListBullet"/>
        <w:spacing w:after="40"/>
      </w:pPr>
      <w:r>
        <w:t>Cross-domain questions use a pre-certified view at a common grain.</w:t>
      </w:r>
    </w:p>
    <w:p>
      <w:pPr>
        <w:pStyle w:val="ListBullet"/>
        <w:spacing w:after="40"/>
      </w:pPr>
      <w:r>
        <w:t>SELECT DISTINCT is not used to hide duplicate results; duplicate grains block publication.</w:t>
      </w:r>
    </w:p>
    <w:p>
      <w:pPr>
        <w:pStyle w:val="Heading2"/>
      </w:pPr>
      <w:r>
        <w:t>Aggregation rules</w:t>
      </w:r>
    </w:p>
    <w:tbl>
      <w:tblPr>
        <w:tblStyle w:val="TableGrid"/>
        <w:tblW w:type="auto" w:w="0"/>
        <w:jc w:val="center"/>
        <w:tblLook w:firstColumn="1" w:firstRow="1" w:lastColumn="0" w:lastRow="0" w:noHBand="0" w:noVBand="1" w:val="04A0"/>
      </w:tblPr>
      <w:tblGrid>
        <w:gridCol w:w="3408"/>
        <w:gridCol w:w="3408"/>
        <w:gridCol w:w="3408"/>
      </w:tblGrid>
      <w:tr>
        <w:tc>
          <w:tcPr>
            <w:tcW w:type="dxa" w:w="2016"/>
            <w:vAlign w:val="center"/>
            <w:shd w:fill="1F4E78"/>
          </w:tcPr>
          <w:p>
            <w:pPr>
              <w:spacing w:after="0"/>
            </w:pPr>
            <w:r/>
            <w:r>
              <w:rPr>
                <w:b/>
                <w:color w:val="FFFFFF"/>
                <w:sz w:val="18"/>
              </w:rPr>
              <w:t>Measure type</w:t>
            </w:r>
          </w:p>
        </w:tc>
        <w:tc>
          <w:tcPr>
            <w:tcW w:type="dxa" w:w="2592"/>
            <w:vAlign w:val="center"/>
            <w:shd w:fill="1F4E78"/>
          </w:tcPr>
          <w:p>
            <w:pPr>
              <w:spacing w:after="0"/>
            </w:pPr>
            <w:r/>
            <w:r>
              <w:rPr>
                <w:b/>
                <w:color w:val="FFFFFF"/>
                <w:sz w:val="18"/>
              </w:rPr>
              <w:t>Examples</w:t>
            </w:r>
          </w:p>
        </w:tc>
        <w:tc>
          <w:tcPr>
            <w:tcW w:type="dxa" w:w="5760"/>
            <w:vAlign w:val="center"/>
            <w:shd w:fill="1F4E78"/>
          </w:tcPr>
          <w:p>
            <w:pPr>
              <w:spacing w:after="0"/>
            </w:pPr>
            <w:r/>
            <w:r>
              <w:rPr>
                <w:b/>
                <w:color w:val="FFFFFF"/>
                <w:sz w:val="18"/>
              </w:rPr>
              <w:t>Rule</w:t>
            </w:r>
          </w:p>
        </w:tc>
      </w:tr>
      <w:tr>
        <w:tc>
          <w:tcPr>
            <w:tcW w:type="dxa" w:w="2016"/>
            <w:vAlign w:val="center"/>
          </w:tcPr>
          <w:p>
            <w:pPr>
              <w:spacing w:after="0"/>
            </w:pPr>
            <w:r/>
            <w:r>
              <w:rPr>
                <w:b w:val="0"/>
                <w:sz w:val="17"/>
              </w:rPr>
              <w:t>Additive</w:t>
            </w:r>
          </w:p>
        </w:tc>
        <w:tc>
          <w:tcPr>
            <w:tcW w:type="dxa" w:w="2592"/>
            <w:vAlign w:val="center"/>
          </w:tcPr>
          <w:p>
            <w:pPr>
              <w:spacing w:after="0"/>
            </w:pPr>
            <w:r/>
            <w:r>
              <w:rPr>
                <w:b w:val="0"/>
                <w:sz w:val="17"/>
              </w:rPr>
              <w:t>Quantity, revenue</w:t>
            </w:r>
          </w:p>
        </w:tc>
        <w:tc>
          <w:tcPr>
            <w:tcW w:type="dxa" w:w="5760"/>
            <w:vAlign w:val="center"/>
          </w:tcPr>
          <w:p>
            <w:pPr>
              <w:spacing w:after="0"/>
            </w:pPr>
            <w:r/>
            <w:r>
              <w:rPr>
                <w:b w:val="0"/>
                <w:sz w:val="17"/>
              </w:rPr>
              <w:t>Sum only across compatible units/currency and approved dimensions.</w:t>
            </w:r>
          </w:p>
        </w:tc>
      </w:tr>
      <w:tr>
        <w:tc>
          <w:tcPr>
            <w:tcW w:type="dxa" w:w="2016"/>
            <w:vAlign w:val="center"/>
            <w:shd w:fill="EAF2F8"/>
          </w:tcPr>
          <w:p>
            <w:pPr>
              <w:spacing w:after="0"/>
            </w:pPr>
            <w:r/>
            <w:r>
              <w:rPr>
                <w:b w:val="0"/>
                <w:sz w:val="17"/>
              </w:rPr>
              <w:t>Semi-additive</w:t>
            </w:r>
          </w:p>
        </w:tc>
        <w:tc>
          <w:tcPr>
            <w:tcW w:type="dxa" w:w="2592"/>
            <w:vAlign w:val="center"/>
            <w:shd w:fill="EAF2F8"/>
          </w:tcPr>
          <w:p>
            <w:pPr>
              <w:spacing w:after="0"/>
            </w:pPr>
            <w:r/>
            <w:r>
              <w:rPr>
                <w:b w:val="0"/>
                <w:sz w:val="17"/>
              </w:rPr>
              <w:t>Inventory balance</w:t>
            </w:r>
          </w:p>
        </w:tc>
        <w:tc>
          <w:tcPr>
            <w:tcW w:type="dxa" w:w="5760"/>
            <w:vAlign w:val="center"/>
            <w:shd w:fill="EAF2F8"/>
          </w:tcPr>
          <w:p>
            <w:pPr>
              <w:spacing w:after="0"/>
            </w:pPr>
            <w:r/>
            <w:r>
              <w:rPr>
                <w:b w:val="0"/>
                <w:sz w:val="17"/>
              </w:rPr>
              <w:t>Sum across entities at one as-of point; never across dates.</w:t>
            </w:r>
          </w:p>
        </w:tc>
      </w:tr>
      <w:tr>
        <w:tc>
          <w:tcPr>
            <w:tcW w:type="dxa" w:w="2016"/>
            <w:vAlign w:val="center"/>
          </w:tcPr>
          <w:p>
            <w:pPr>
              <w:spacing w:after="0"/>
            </w:pPr>
            <w:r/>
            <w:r>
              <w:rPr>
                <w:b w:val="0"/>
                <w:sz w:val="17"/>
              </w:rPr>
              <w:t>Non-additive</w:t>
            </w:r>
          </w:p>
        </w:tc>
        <w:tc>
          <w:tcPr>
            <w:tcW w:type="dxa" w:w="2592"/>
            <w:vAlign w:val="center"/>
          </w:tcPr>
          <w:p>
            <w:pPr>
              <w:spacing w:after="0"/>
            </w:pPr>
            <w:r/>
            <w:r>
              <w:rPr>
                <w:b w:val="0"/>
                <w:sz w:val="17"/>
              </w:rPr>
              <w:t>Price, percentages</w:t>
            </w:r>
          </w:p>
        </w:tc>
        <w:tc>
          <w:tcPr>
            <w:tcW w:type="dxa" w:w="5760"/>
            <w:vAlign w:val="center"/>
          </w:tcPr>
          <w:p>
            <w:pPr>
              <w:spacing w:after="0"/>
            </w:pPr>
            <w:r/>
            <w:r>
              <w:rPr>
                <w:b w:val="0"/>
                <w:sz w:val="17"/>
              </w:rPr>
              <w:t>Select effective value or recompute from base totals.</w:t>
            </w:r>
          </w:p>
        </w:tc>
      </w:tr>
      <w:tr>
        <w:tc>
          <w:tcPr>
            <w:tcW w:type="dxa" w:w="2016"/>
            <w:vAlign w:val="center"/>
            <w:shd w:fill="EAF2F8"/>
          </w:tcPr>
          <w:p>
            <w:pPr>
              <w:spacing w:after="0"/>
            </w:pPr>
            <w:r/>
            <w:r>
              <w:rPr>
                <w:b w:val="0"/>
                <w:sz w:val="17"/>
              </w:rPr>
              <w:t>Versioned</w:t>
            </w:r>
          </w:p>
        </w:tc>
        <w:tc>
          <w:tcPr>
            <w:tcW w:type="dxa" w:w="2592"/>
            <w:vAlign w:val="center"/>
            <w:shd w:fill="EAF2F8"/>
          </w:tcPr>
          <w:p>
            <w:pPr>
              <w:spacing w:after="0"/>
            </w:pPr>
            <w:r/>
            <w:r>
              <w:rPr>
                <w:b w:val="0"/>
                <w:sz w:val="17"/>
              </w:rPr>
              <w:t>Forecast, budget</w:t>
            </w:r>
          </w:p>
        </w:tc>
        <w:tc>
          <w:tcPr>
            <w:tcW w:type="dxa" w:w="5760"/>
            <w:vAlign w:val="center"/>
            <w:shd w:fill="EAF2F8"/>
          </w:tcPr>
          <w:p>
            <w:pPr>
              <w:spacing w:after="0"/>
            </w:pPr>
            <w:r/>
            <w:r>
              <w:rPr>
                <w:b w:val="0"/>
                <w:sz w:val="17"/>
              </w:rPr>
              <w:t>Select the approved version/vintage before aggregation.</w:t>
            </w:r>
          </w:p>
        </w:tc>
      </w:tr>
      <w:tr>
        <w:tc>
          <w:tcPr>
            <w:tcW w:type="dxa" w:w="2016"/>
            <w:vAlign w:val="center"/>
          </w:tcPr>
          <w:p>
            <w:pPr>
              <w:spacing w:after="0"/>
            </w:pPr>
            <w:r/>
            <w:r>
              <w:rPr>
                <w:b w:val="0"/>
                <w:sz w:val="17"/>
              </w:rPr>
              <w:t>Effective-dated</w:t>
            </w:r>
          </w:p>
        </w:tc>
        <w:tc>
          <w:tcPr>
            <w:tcW w:type="dxa" w:w="2592"/>
            <w:vAlign w:val="center"/>
          </w:tcPr>
          <w:p>
            <w:pPr>
              <w:spacing w:after="0"/>
            </w:pPr>
            <w:r/>
            <w:r>
              <w:rPr>
                <w:b w:val="0"/>
                <w:sz w:val="17"/>
              </w:rPr>
              <w:t>Price, promotion</w:t>
            </w:r>
          </w:p>
        </w:tc>
        <w:tc>
          <w:tcPr>
            <w:tcW w:type="dxa" w:w="5760"/>
            <w:vAlign w:val="center"/>
          </w:tcPr>
          <w:p>
            <w:pPr>
              <w:spacing w:after="0"/>
            </w:pPr>
            <w:r/>
            <w:r>
              <w:rPr>
                <w:b w:val="0"/>
                <w:sz w:val="17"/>
              </w:rPr>
              <w:t>Match the requested date to the valid interval.</w:t>
            </w:r>
          </w:p>
        </w:tc>
      </w:tr>
    </w:tbl>
    <w:p>
      <w:pPr>
        <w:spacing w:after="0"/>
      </w:pPr>
    </w:p>
    <w:p>
      <w:pPr>
        <w:pStyle w:val="Heading1"/>
      </w:pPr>
      <w:r>
        <w:t>7. Metric definitions</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78"/>
          </w:tcPr>
          <w:p>
            <w:pPr>
              <w:spacing w:after="0"/>
            </w:pPr>
            <w:r/>
            <w:r>
              <w:rPr>
                <w:b/>
                <w:color w:val="FFFFFF"/>
                <w:sz w:val="18"/>
              </w:rPr>
              <w:t>Metric</w:t>
            </w:r>
          </w:p>
        </w:tc>
        <w:tc>
          <w:tcPr>
            <w:tcW w:type="dxa" w:w="7488"/>
            <w:vAlign w:val="center"/>
            <w:shd w:fill="1F4E78"/>
          </w:tcPr>
          <w:p>
            <w:pPr>
              <w:spacing w:after="0"/>
            </w:pPr>
            <w:r/>
            <w:r>
              <w:rPr>
                <w:b/>
                <w:color w:val="FFFFFF"/>
                <w:sz w:val="18"/>
              </w:rPr>
              <w:t>Definition / rule</w:t>
            </w:r>
          </w:p>
        </w:tc>
      </w:tr>
      <w:tr>
        <w:tc>
          <w:tcPr>
            <w:tcW w:type="dxa" w:w="2880"/>
            <w:vAlign w:val="center"/>
          </w:tcPr>
          <w:p>
            <w:pPr>
              <w:spacing w:after="0"/>
            </w:pPr>
            <w:r/>
            <w:r>
              <w:rPr>
                <w:b w:val="0"/>
                <w:sz w:val="17"/>
              </w:rPr>
              <w:t>Forecast error</w:t>
            </w:r>
          </w:p>
        </w:tc>
        <w:tc>
          <w:tcPr>
            <w:tcW w:type="dxa" w:w="7488"/>
            <w:vAlign w:val="center"/>
          </w:tcPr>
          <w:p>
            <w:pPr>
              <w:spacing w:after="0"/>
            </w:pPr>
            <w:r/>
            <w:r>
              <w:rPr>
                <w:b w:val="0"/>
                <w:sz w:val="17"/>
              </w:rPr>
              <w:t>Forecast − actual.</w:t>
            </w:r>
          </w:p>
        </w:tc>
      </w:tr>
      <w:tr>
        <w:tc>
          <w:tcPr>
            <w:tcW w:type="dxa" w:w="2880"/>
            <w:vAlign w:val="center"/>
            <w:shd w:fill="EAF2F8"/>
          </w:tcPr>
          <w:p>
            <w:pPr>
              <w:spacing w:after="0"/>
            </w:pPr>
            <w:r/>
            <w:r>
              <w:rPr>
                <w:b w:val="0"/>
                <w:sz w:val="17"/>
              </w:rPr>
              <w:t>Absolute error</w:t>
            </w:r>
          </w:p>
        </w:tc>
        <w:tc>
          <w:tcPr>
            <w:tcW w:type="dxa" w:w="7488"/>
            <w:vAlign w:val="center"/>
            <w:shd w:fill="EAF2F8"/>
          </w:tcPr>
          <w:p>
            <w:pPr>
              <w:spacing w:after="0"/>
            </w:pPr>
            <w:r/>
            <w:r>
              <w:rPr>
                <w:b w:val="0"/>
                <w:sz w:val="17"/>
              </w:rPr>
              <w:t>ABS(forecast − actual).</w:t>
            </w:r>
          </w:p>
        </w:tc>
      </w:tr>
      <w:tr>
        <w:tc>
          <w:tcPr>
            <w:tcW w:type="dxa" w:w="2880"/>
            <w:vAlign w:val="center"/>
          </w:tcPr>
          <w:p>
            <w:pPr>
              <w:spacing w:after="0"/>
            </w:pPr>
            <w:r/>
            <w:r>
              <w:rPr>
                <w:b w:val="0"/>
                <w:sz w:val="17"/>
              </w:rPr>
              <w:t>WMAPE</w:t>
            </w:r>
          </w:p>
        </w:tc>
        <w:tc>
          <w:tcPr>
            <w:tcW w:type="dxa" w:w="7488"/>
            <w:vAlign w:val="center"/>
          </w:tcPr>
          <w:p>
            <w:pPr>
              <w:spacing w:after="0"/>
            </w:pPr>
            <w:r/>
            <w:r>
              <w:rPr>
                <w:b w:val="0"/>
                <w:sz w:val="17"/>
              </w:rPr>
              <w:t>100 × SUM(absolute error) ÷ SUM(ABS(actual)).</w:t>
            </w:r>
          </w:p>
        </w:tc>
      </w:tr>
      <w:tr>
        <w:tc>
          <w:tcPr>
            <w:tcW w:type="dxa" w:w="2880"/>
            <w:vAlign w:val="center"/>
            <w:shd w:fill="EAF2F8"/>
          </w:tcPr>
          <w:p>
            <w:pPr>
              <w:spacing w:after="0"/>
            </w:pPr>
            <w:r/>
            <w:r>
              <w:rPr>
                <w:b w:val="0"/>
                <w:sz w:val="17"/>
              </w:rPr>
              <w:t>Forecast accuracy</w:t>
            </w:r>
          </w:p>
        </w:tc>
        <w:tc>
          <w:tcPr>
            <w:tcW w:type="dxa" w:w="7488"/>
            <w:vAlign w:val="center"/>
            <w:shd w:fill="EAF2F8"/>
          </w:tcPr>
          <w:p>
            <w:pPr>
              <w:spacing w:after="0"/>
            </w:pPr>
            <w:r/>
            <w:r>
              <w:rPr>
                <w:b w:val="0"/>
                <w:sz w:val="17"/>
              </w:rPr>
              <w:t>100 − WMAPE; do not silently clamp the result.</w:t>
            </w:r>
          </w:p>
        </w:tc>
      </w:tr>
      <w:tr>
        <w:tc>
          <w:tcPr>
            <w:tcW w:type="dxa" w:w="2880"/>
            <w:vAlign w:val="center"/>
          </w:tcPr>
          <w:p>
            <w:pPr>
              <w:spacing w:after="0"/>
            </w:pPr>
            <w:r/>
            <w:r>
              <w:rPr>
                <w:b w:val="0"/>
                <w:sz w:val="17"/>
              </w:rPr>
              <w:t>Bias %</w:t>
            </w:r>
          </w:p>
        </w:tc>
        <w:tc>
          <w:tcPr>
            <w:tcW w:type="dxa" w:w="7488"/>
            <w:vAlign w:val="center"/>
          </w:tcPr>
          <w:p>
            <w:pPr>
              <w:spacing w:after="0"/>
            </w:pPr>
            <w:r/>
            <w:r>
              <w:rPr>
                <w:b w:val="0"/>
                <w:sz w:val="17"/>
              </w:rPr>
              <w:t>100 × SUM(forecast − actual) ÷ SUM(ABS(actual)).</w:t>
            </w:r>
          </w:p>
        </w:tc>
      </w:tr>
      <w:tr>
        <w:tc>
          <w:tcPr>
            <w:tcW w:type="dxa" w:w="2880"/>
            <w:vAlign w:val="center"/>
            <w:shd w:fill="EAF2F8"/>
          </w:tcPr>
          <w:p>
            <w:pPr>
              <w:spacing w:after="0"/>
            </w:pPr>
            <w:r/>
            <w:r>
              <w:rPr>
                <w:b w:val="0"/>
                <w:sz w:val="17"/>
              </w:rPr>
              <w:t>Forecast vs actual</w:t>
            </w:r>
          </w:p>
        </w:tc>
        <w:tc>
          <w:tcPr>
            <w:tcW w:type="dxa" w:w="7488"/>
            <w:vAlign w:val="center"/>
            <w:shd w:fill="EAF2F8"/>
          </w:tcPr>
          <w:p>
            <w:pPr>
              <w:spacing w:after="0"/>
            </w:pPr>
            <w:r/>
            <w:r>
              <w:rPr>
                <w:b w:val="0"/>
                <w:sz w:val="17"/>
              </w:rPr>
              <w:t>Forecast − actual; percentage denominator is actual.</w:t>
            </w:r>
          </w:p>
        </w:tc>
      </w:tr>
      <w:tr>
        <w:tc>
          <w:tcPr>
            <w:tcW w:type="dxa" w:w="2880"/>
            <w:vAlign w:val="center"/>
          </w:tcPr>
          <w:p>
            <w:pPr>
              <w:spacing w:after="0"/>
            </w:pPr>
            <w:r/>
            <w:r>
              <w:rPr>
                <w:b w:val="0"/>
                <w:sz w:val="17"/>
              </w:rPr>
              <w:t>Budget vs actual</w:t>
            </w:r>
          </w:p>
        </w:tc>
        <w:tc>
          <w:tcPr>
            <w:tcW w:type="dxa" w:w="7488"/>
            <w:vAlign w:val="center"/>
          </w:tcPr>
          <w:p>
            <w:pPr>
              <w:spacing w:after="0"/>
            </w:pPr>
            <w:r/>
            <w:r>
              <w:rPr>
                <w:b w:val="0"/>
                <w:sz w:val="17"/>
              </w:rPr>
              <w:t>Budget − actual; percentage denominator is actual.</w:t>
            </w:r>
          </w:p>
        </w:tc>
      </w:tr>
      <w:tr>
        <w:tc>
          <w:tcPr>
            <w:tcW w:type="dxa" w:w="2880"/>
            <w:vAlign w:val="center"/>
            <w:shd w:fill="EAF2F8"/>
          </w:tcPr>
          <w:p>
            <w:pPr>
              <w:spacing w:after="0"/>
            </w:pPr>
            <w:r/>
            <w:r>
              <w:rPr>
                <w:b w:val="0"/>
                <w:sz w:val="17"/>
              </w:rPr>
              <w:t>Forecast vs budget</w:t>
            </w:r>
          </w:p>
        </w:tc>
        <w:tc>
          <w:tcPr>
            <w:tcW w:type="dxa" w:w="7488"/>
            <w:vAlign w:val="center"/>
            <w:shd w:fill="EAF2F8"/>
          </w:tcPr>
          <w:p>
            <w:pPr>
              <w:spacing w:after="0"/>
            </w:pPr>
            <w:r/>
            <w:r>
              <w:rPr>
                <w:b w:val="0"/>
                <w:sz w:val="17"/>
              </w:rPr>
              <w:t>Forecast − budget; percentage denominator is budget.</w:t>
            </w:r>
          </w:p>
        </w:tc>
      </w:tr>
      <w:tr>
        <w:tc>
          <w:tcPr>
            <w:tcW w:type="dxa" w:w="2880"/>
            <w:vAlign w:val="center"/>
          </w:tcPr>
          <w:p>
            <w:pPr>
              <w:spacing w:after="0"/>
            </w:pPr>
            <w:r/>
            <w:r>
              <w:rPr>
                <w:b w:val="0"/>
                <w:sz w:val="17"/>
              </w:rPr>
              <w:t>Zero denominator</w:t>
            </w:r>
          </w:p>
        </w:tc>
        <w:tc>
          <w:tcPr>
            <w:tcW w:type="dxa" w:w="7488"/>
            <w:vAlign w:val="center"/>
          </w:tcPr>
          <w:p>
            <w:pPr>
              <w:spacing w:after="0"/>
            </w:pPr>
            <w:r/>
            <w:r>
              <w:rPr>
                <w:b w:val="0"/>
                <w:sz w:val="17"/>
              </w:rPr>
              <w:t>Return unavailable/null rather than inventing zero.</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Common mistake: </w:t>
            </w:r>
            <w:r>
              <w:t>Never average row-level WMAPE or accuracy. Aggregate numerator and denominator first, then calculate the percentage.</w:t>
            </w:r>
          </w:p>
        </w:tc>
      </w:tr>
    </w:tbl>
    <w:p>
      <w:pPr>
        <w:spacing w:after="0"/>
      </w:pPr>
    </w:p>
    <w:p>
      <w:pPr>
        <w:pStyle w:val="Heading1"/>
      </w:pPr>
      <w:r>
        <w:t>8. Genie instructions and examples</w:t>
      </w:r>
    </w:p>
    <w:p>
      <w:pPr>
        <w:pStyle w:val="Heading2"/>
      </w:pPr>
      <w:r>
        <w:t>Essential instruction categories</w:t>
      </w:r>
    </w:p>
    <w:p>
      <w:pPr>
        <w:pStyle w:val="ListBullet"/>
        <w:spacing w:after="40"/>
      </w:pPr>
      <w:r>
        <w:t>Source routing: which certified view supports each type of question.</w:t>
      </w:r>
    </w:p>
    <w:p>
      <w:pPr>
        <w:pStyle w:val="ListBullet"/>
        <w:spacing w:after="40"/>
      </w:pPr>
      <w:r>
        <w:t>Semantic safety: no raw facts, unsafe joins, DISTINCT-based repair or mixed units/currencies.</w:t>
      </w:r>
    </w:p>
    <w:p>
      <w:pPr>
        <w:pStyle w:val="ListBullet"/>
        <w:spacing w:after="40"/>
      </w:pPr>
      <w:r>
        <w:t>Context: retain compatible scope; explicit new entity or period replaces old context.</w:t>
      </w:r>
    </w:p>
    <w:p>
      <w:pPr>
        <w:pStyle w:val="ListBullet"/>
        <w:spacing w:after="40"/>
      </w:pPr>
      <w:r>
        <w:t>Metric definitions: approved formulas, signs and denominators.</w:t>
      </w:r>
    </w:p>
    <w:p>
      <w:pPr>
        <w:pStyle w:val="ListBullet"/>
        <w:spacing w:after="40"/>
      </w:pPr>
      <w:r>
        <w:t>RCA language: association is evidence; it is not automatically causation.</w:t>
      </w:r>
    </w:p>
    <w:p>
      <w:pPr>
        <w:pStyle w:val="ListBullet"/>
        <w:spacing w:after="40"/>
      </w:pPr>
      <w:r>
        <w:t>Presentation: business labels, compact tables, units, currency, percentages and evidence limitations.</w:t>
      </w:r>
    </w:p>
    <w:p>
      <w:pPr>
        <w:pStyle w:val="Heading2"/>
      </w:pPr>
      <w:r>
        <w:t>Why verified question-SQL examples matter</w:t>
      </w:r>
    </w:p>
    <w:p>
      <w:pPr>
        <w:pStyle w:val="ListBullet"/>
        <w:spacing w:after="40"/>
      </w:pPr>
      <w:r>
        <w:t>They teach Genie which semantic view to choose for a recurring business pattern.</w:t>
      </w:r>
    </w:p>
    <w:p>
      <w:pPr>
        <w:pStyle w:val="ListBullet"/>
        <w:spacing w:after="40"/>
      </w:pPr>
      <w:r>
        <w:t>They demonstrate the expected fields, filters, grouping and ordering.</w:t>
      </w:r>
    </w:p>
    <w:p>
      <w:pPr>
        <w:pStyle w:val="ListBullet"/>
        <w:spacing w:after="40"/>
      </w:pPr>
      <w:r>
        <w:t>They reduce the risk of re-creating calculations from detailed rows.</w:t>
      </w:r>
    </w:p>
    <w:p>
      <w:pPr>
        <w:pStyle w:val="ListBullet"/>
        <w:spacing w:after="40"/>
      </w:pPr>
      <w:r>
        <w:t>They are guidance; Genie can still generate new SQL for variations in entity, period, ranking and comparison.</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Do not over-prompt: </w:t>
            </w:r>
            <w:r>
              <w:t>Keep the main instruction concise. Put stable business logic in views and use verified examples for query patterns. Prompts should describe behavior, not replace the semantic model.</w:t>
            </w:r>
          </w:p>
        </w:tc>
      </w:tr>
    </w:tbl>
    <w:p>
      <w:pPr>
        <w:spacing w:after="0"/>
      </w:pPr>
    </w:p>
    <w:p>
      <w:pPr>
        <w:pStyle w:val="Heading1"/>
      </w:pPr>
      <w:r>
        <w:t>9. Conversation behavior</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1F4E78"/>
          </w:tcPr>
          <w:p>
            <w:pPr>
              <w:spacing w:after="0"/>
            </w:pPr>
            <w:r/>
            <w:r>
              <w:rPr>
                <w:b/>
                <w:color w:val="FFFFFF"/>
                <w:sz w:val="18"/>
              </w:rPr>
              <w:t>User behavior</w:t>
            </w:r>
          </w:p>
        </w:tc>
        <w:tc>
          <w:tcPr>
            <w:tcW w:type="dxa" w:w="6624"/>
            <w:vAlign w:val="center"/>
            <w:shd w:fill="1F4E78"/>
          </w:tcPr>
          <w:p>
            <w:pPr>
              <w:spacing w:after="0"/>
            </w:pPr>
            <w:r/>
            <w:r>
              <w:rPr>
                <w:b/>
                <w:color w:val="FFFFFF"/>
                <w:sz w:val="18"/>
              </w:rPr>
              <w:t>Expected handling</w:t>
            </w:r>
          </w:p>
        </w:tc>
      </w:tr>
      <w:tr>
        <w:tc>
          <w:tcPr>
            <w:tcW w:type="dxa" w:w="3744"/>
            <w:vAlign w:val="center"/>
          </w:tcPr>
          <w:p>
            <w:pPr>
              <w:spacing w:after="0"/>
            </w:pPr>
            <w:r/>
            <w:r>
              <w:rPr>
                <w:b w:val="0"/>
                <w:sz w:val="17"/>
              </w:rPr>
              <w:t>“How accurate was that forecast?”</w:t>
            </w:r>
          </w:p>
        </w:tc>
        <w:tc>
          <w:tcPr>
            <w:tcW w:type="dxa" w:w="6624"/>
            <w:vAlign w:val="center"/>
          </w:tcPr>
          <w:p>
            <w:pPr>
              <w:spacing w:after="0"/>
            </w:pPr>
            <w:r/>
            <w:r>
              <w:rPr>
                <w:b w:val="0"/>
                <w:sz w:val="17"/>
              </w:rPr>
              <w:t>Retain compatible entity and period from the current conversation.</w:t>
            </w:r>
          </w:p>
        </w:tc>
      </w:tr>
      <w:tr>
        <w:tc>
          <w:tcPr>
            <w:tcW w:type="dxa" w:w="3744"/>
            <w:vAlign w:val="center"/>
            <w:shd w:fill="EAF2F8"/>
          </w:tcPr>
          <w:p>
            <w:pPr>
              <w:spacing w:after="0"/>
            </w:pPr>
            <w:r/>
            <w:r>
              <w:rPr>
                <w:b w:val="0"/>
                <w:sz w:val="17"/>
              </w:rPr>
              <w:t>Names a different SKU</w:t>
            </w:r>
          </w:p>
        </w:tc>
        <w:tc>
          <w:tcPr>
            <w:tcW w:type="dxa" w:w="6624"/>
            <w:vAlign w:val="center"/>
            <w:shd w:fill="EAF2F8"/>
          </w:tcPr>
          <w:p>
            <w:pPr>
              <w:spacing w:after="0"/>
            </w:pPr>
            <w:r/>
            <w:r>
              <w:rPr>
                <w:b w:val="0"/>
                <w:sz w:val="17"/>
              </w:rPr>
              <w:t>Switch SKU while preserving compatible period/geography.</w:t>
            </w:r>
          </w:p>
        </w:tc>
      </w:tr>
      <w:tr>
        <w:tc>
          <w:tcPr>
            <w:tcW w:type="dxa" w:w="3744"/>
            <w:vAlign w:val="center"/>
          </w:tcPr>
          <w:p>
            <w:pPr>
              <w:spacing w:after="0"/>
            </w:pPr>
            <w:r/>
            <w:r>
              <w:rPr>
                <w:b w:val="0"/>
                <w:sz w:val="17"/>
              </w:rPr>
              <w:t>Changes from forecast to budget</w:t>
            </w:r>
          </w:p>
        </w:tc>
        <w:tc>
          <w:tcPr>
            <w:tcW w:type="dxa" w:w="6624"/>
            <w:vAlign w:val="center"/>
          </w:tcPr>
          <w:p>
            <w:pPr>
              <w:spacing w:after="0"/>
            </w:pPr>
            <w:r/>
            <w:r>
              <w:rPr>
                <w:b w:val="0"/>
                <w:sz w:val="17"/>
              </w:rPr>
              <w:t>Retain SKU only if budget is valid for that entity.</w:t>
            </w:r>
          </w:p>
        </w:tc>
      </w:tr>
      <w:tr>
        <w:tc>
          <w:tcPr>
            <w:tcW w:type="dxa" w:w="3744"/>
            <w:vAlign w:val="center"/>
            <w:shd w:fill="EAF2F8"/>
          </w:tcPr>
          <w:p>
            <w:pPr>
              <w:spacing w:after="0"/>
            </w:pPr>
            <w:r/>
            <w:r>
              <w:rPr>
                <w:b w:val="0"/>
                <w:sz w:val="17"/>
              </w:rPr>
              <w:t>Asks for customer budget</w:t>
            </w:r>
          </w:p>
        </w:tc>
        <w:tc>
          <w:tcPr>
            <w:tcW w:type="dxa" w:w="6624"/>
            <w:vAlign w:val="center"/>
            <w:shd w:fill="EAF2F8"/>
          </w:tcPr>
          <w:p>
            <w:pPr>
              <w:spacing w:after="0"/>
            </w:pPr>
            <w:r/>
            <w:r>
              <w:rPr>
                <w:b w:val="0"/>
                <w:sz w:val="17"/>
              </w:rPr>
              <w:t>Explain that customer budget is unsupported; do not allocate SKU budget.</w:t>
            </w:r>
          </w:p>
        </w:tc>
      </w:tr>
      <w:tr>
        <w:tc>
          <w:tcPr>
            <w:tcW w:type="dxa" w:w="3744"/>
            <w:vAlign w:val="center"/>
          </w:tcPr>
          <w:p>
            <w:pPr>
              <w:spacing w:after="0"/>
            </w:pPr>
            <w:r/>
            <w:r>
              <w:rPr>
                <w:b w:val="0"/>
                <w:sz w:val="17"/>
              </w:rPr>
              <w:t>Starts a new conversation</w:t>
            </w:r>
          </w:p>
        </w:tc>
        <w:tc>
          <w:tcPr>
            <w:tcW w:type="dxa" w:w="6624"/>
            <w:vAlign w:val="center"/>
          </w:tcPr>
          <w:p>
            <w:pPr>
              <w:spacing w:after="0"/>
            </w:pPr>
            <w:r/>
            <w:r>
              <w:rPr>
                <w:b w:val="0"/>
                <w:sz w:val="17"/>
              </w:rPr>
              <w:t>Do not inherit entity or period from another conversation.</w:t>
            </w:r>
          </w:p>
        </w:tc>
      </w:tr>
      <w:tr>
        <w:tc>
          <w:tcPr>
            <w:tcW w:type="dxa" w:w="3744"/>
            <w:vAlign w:val="center"/>
            <w:shd w:fill="EAF2F8"/>
          </w:tcPr>
          <w:p>
            <w:pPr>
              <w:spacing w:after="0"/>
            </w:pPr>
            <w:r/>
            <w:r>
              <w:rPr>
                <w:b w:val="0"/>
                <w:sz w:val="17"/>
              </w:rPr>
              <w:t>Uses an ambiguous name</w:t>
            </w:r>
          </w:p>
        </w:tc>
        <w:tc>
          <w:tcPr>
            <w:tcW w:type="dxa" w:w="6624"/>
            <w:vAlign w:val="center"/>
            <w:shd w:fill="EAF2F8"/>
          </w:tcPr>
          <w:p>
            <w:pPr>
              <w:spacing w:after="0"/>
            </w:pPr>
            <w:r/>
            <w:r>
              <w:rPr>
                <w:b w:val="0"/>
                <w:sz w:val="17"/>
              </w:rPr>
              <w:t>Resolve through entity lookup or ask one clarification question.</w:t>
            </w:r>
          </w:p>
        </w:tc>
      </w:tr>
    </w:tbl>
    <w:p>
      <w:pPr>
        <w:spacing w:after="0"/>
      </w:pPr>
    </w:p>
    <w:p>
      <w:pPr>
        <w:pStyle w:val="Heading1"/>
      </w:pPr>
      <w:r>
        <w:t>10. Challenges faced and corrections implemented</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shd w:fill="1F4E78"/>
          </w:tcPr>
          <w:p>
            <w:pPr>
              <w:spacing w:after="0"/>
            </w:pPr>
            <w:r/>
            <w:r>
              <w:rPr>
                <w:b/>
                <w:color w:val="FFFFFF"/>
                <w:sz w:val="18"/>
              </w:rPr>
              <w:t>Observed challenge</w:t>
            </w:r>
          </w:p>
        </w:tc>
        <w:tc>
          <w:tcPr>
            <w:tcW w:type="dxa" w:w="4608"/>
            <w:vAlign w:val="center"/>
            <w:shd w:fill="1F4E78"/>
          </w:tcPr>
          <w:p>
            <w:pPr>
              <w:spacing w:after="0"/>
            </w:pPr>
            <w:r/>
            <w:r>
              <w:rPr>
                <w:b/>
                <w:color w:val="FFFFFF"/>
                <w:sz w:val="18"/>
              </w:rPr>
              <w:t>Correction implemented</w:t>
            </w:r>
          </w:p>
        </w:tc>
        <w:tc>
          <w:tcPr>
            <w:tcW w:type="dxa" w:w="2880"/>
            <w:vAlign w:val="center"/>
            <w:shd w:fill="1F4E78"/>
          </w:tcPr>
          <w:p>
            <w:pPr>
              <w:spacing w:after="0"/>
            </w:pPr>
            <w:r/>
            <w:r>
              <w:rPr>
                <w:b/>
                <w:color w:val="FFFFFF"/>
                <w:sz w:val="18"/>
              </w:rPr>
              <w:t>Lesson</w:t>
            </w:r>
          </w:p>
        </w:tc>
      </w:tr>
      <w:tr>
        <w:tc>
          <w:tcPr>
            <w:tcW w:type="dxa" w:w="2880"/>
            <w:vAlign w:val="center"/>
          </w:tcPr>
          <w:p>
            <w:pPr>
              <w:spacing w:after="0"/>
            </w:pPr>
            <w:r/>
            <w:r>
              <w:rPr>
                <w:b w:val="0"/>
                <w:sz w:val="17"/>
              </w:rPr>
              <w:t>Dynamic joins could create untrusted totals.</w:t>
            </w:r>
          </w:p>
        </w:tc>
        <w:tc>
          <w:tcPr>
            <w:tcW w:type="dxa" w:w="4608"/>
            <w:vAlign w:val="center"/>
          </w:tcPr>
          <w:p>
            <w:pPr>
              <w:spacing w:after="0"/>
            </w:pPr>
            <w:r/>
            <w:r>
              <w:rPr>
                <w:b w:val="0"/>
                <w:sz w:val="17"/>
              </w:rPr>
              <w:t>Exposed certified semantic views and kept raw facts outside Genie.</w:t>
            </w:r>
          </w:p>
        </w:tc>
        <w:tc>
          <w:tcPr>
            <w:tcW w:type="dxa" w:w="2880"/>
            <w:vAlign w:val="center"/>
          </w:tcPr>
          <w:p>
            <w:pPr>
              <w:spacing w:after="0"/>
            </w:pPr>
            <w:r/>
            <w:r>
              <w:rPr>
                <w:b w:val="0"/>
                <w:sz w:val="17"/>
              </w:rPr>
              <w:t>Critical joins belong in governed SQL, not prompts.</w:t>
            </w:r>
          </w:p>
        </w:tc>
      </w:tr>
      <w:tr>
        <w:tc>
          <w:tcPr>
            <w:tcW w:type="dxa" w:w="2880"/>
            <w:vAlign w:val="center"/>
            <w:shd w:fill="EAF2F8"/>
          </w:tcPr>
          <w:p>
            <w:pPr>
              <w:spacing w:after="0"/>
            </w:pPr>
            <w:r/>
            <w:r>
              <w:rPr>
                <w:b w:val="0"/>
                <w:sz w:val="17"/>
              </w:rPr>
              <w:t>Weekly forecast and monthly budget used different grains.</w:t>
            </w:r>
          </w:p>
        </w:tc>
        <w:tc>
          <w:tcPr>
            <w:tcW w:type="dxa" w:w="4608"/>
            <w:vAlign w:val="center"/>
            <w:shd w:fill="EAF2F8"/>
          </w:tcPr>
          <w:p>
            <w:pPr>
              <w:spacing w:after="0"/>
            </w:pPr>
            <w:r/>
            <w:r>
              <w:rPr>
                <w:b w:val="0"/>
                <w:sz w:val="17"/>
              </w:rPr>
              <w:t>Added fiscal-period mapping and a monthly plan-versus-actual view.</w:t>
            </w:r>
          </w:p>
        </w:tc>
        <w:tc>
          <w:tcPr>
            <w:tcW w:type="dxa" w:w="2880"/>
            <w:vAlign w:val="center"/>
            <w:shd w:fill="EAF2F8"/>
          </w:tcPr>
          <w:p>
            <w:pPr>
              <w:spacing w:after="0"/>
            </w:pPr>
            <w:r/>
            <w:r>
              <w:rPr>
                <w:b w:val="0"/>
                <w:sz w:val="17"/>
              </w:rPr>
              <w:t>Aggregate each source to a common grain before combining.</w:t>
            </w:r>
          </w:p>
        </w:tc>
      </w:tr>
      <w:tr>
        <w:tc>
          <w:tcPr>
            <w:tcW w:type="dxa" w:w="2880"/>
            <w:vAlign w:val="center"/>
          </w:tcPr>
          <w:p>
            <w:pPr>
              <w:spacing w:after="0"/>
            </w:pPr>
            <w:r/>
            <w:r>
              <w:rPr>
                <w:b w:val="0"/>
                <w:sz w:val="17"/>
              </w:rPr>
              <w:t>Multiple forecast vintages could double-count results.</w:t>
            </w:r>
          </w:p>
        </w:tc>
        <w:tc>
          <w:tcPr>
            <w:tcW w:type="dxa" w:w="4608"/>
            <w:vAlign w:val="center"/>
          </w:tcPr>
          <w:p>
            <w:pPr>
              <w:spacing w:after="0"/>
            </w:pPr>
            <w:r/>
            <w:r>
              <w:rPr>
                <w:b w:val="0"/>
                <w:sz w:val="17"/>
              </w:rPr>
              <w:t>Applied LATEST_PER_TARGET before monthly aggregation.</w:t>
            </w:r>
          </w:p>
        </w:tc>
        <w:tc>
          <w:tcPr>
            <w:tcW w:type="dxa" w:w="2880"/>
            <w:vAlign w:val="center"/>
          </w:tcPr>
          <w:p>
            <w:pPr>
              <w:spacing w:after="0"/>
            </w:pPr>
            <w:r/>
            <w:r>
              <w:rPr>
                <w:b w:val="0"/>
                <w:sz w:val="17"/>
              </w:rPr>
              <w:t>Version selection must precede aggregation.</w:t>
            </w:r>
          </w:p>
        </w:tc>
      </w:tr>
      <w:tr>
        <w:tc>
          <w:tcPr>
            <w:tcW w:type="dxa" w:w="2880"/>
            <w:vAlign w:val="center"/>
            <w:shd w:fill="EAF2F8"/>
          </w:tcPr>
          <w:p>
            <w:pPr>
              <w:spacing w:after="0"/>
            </w:pPr>
            <w:r/>
            <w:r>
              <w:rPr>
                <w:b w:val="0"/>
                <w:sz w:val="17"/>
              </w:rPr>
              <w:t>Join multiplication could pass unnoticed.</w:t>
            </w:r>
          </w:p>
        </w:tc>
        <w:tc>
          <w:tcPr>
            <w:tcW w:type="dxa" w:w="4608"/>
            <w:vAlign w:val="center"/>
            <w:shd w:fill="EAF2F8"/>
          </w:tcPr>
          <w:p>
            <w:pPr>
              <w:spacing w:after="0"/>
            </w:pPr>
            <w:r/>
            <w:r>
              <w:rPr>
                <w:b w:val="0"/>
                <w:sz w:val="17"/>
              </w:rPr>
              <w:t>Added fact/view row-count and semantic-grain certification.</w:t>
            </w:r>
          </w:p>
        </w:tc>
        <w:tc>
          <w:tcPr>
            <w:tcW w:type="dxa" w:w="2880"/>
            <w:vAlign w:val="center"/>
            <w:shd w:fill="EAF2F8"/>
          </w:tcPr>
          <w:p>
            <w:pPr>
              <w:spacing w:after="0"/>
            </w:pPr>
            <w:r/>
            <w:r>
              <w:rPr>
                <w:b w:val="0"/>
                <w:sz w:val="17"/>
              </w:rPr>
              <w:t>Validate cardinality instead of using DISTINCT.</w:t>
            </w:r>
          </w:p>
        </w:tc>
      </w:tr>
      <w:tr>
        <w:tc>
          <w:tcPr>
            <w:tcW w:type="dxa" w:w="2880"/>
            <w:vAlign w:val="center"/>
          </w:tcPr>
          <w:p>
            <w:pPr>
              <w:spacing w:after="0"/>
            </w:pPr>
            <w:r/>
            <w:r>
              <w:rPr>
                <w:b w:val="0"/>
                <w:sz w:val="17"/>
              </w:rPr>
              <w:t>Percentages could be averaged or use inconsistent denominators.</w:t>
            </w:r>
          </w:p>
        </w:tc>
        <w:tc>
          <w:tcPr>
            <w:tcW w:type="dxa" w:w="4608"/>
            <w:vAlign w:val="center"/>
          </w:tcPr>
          <w:p>
            <w:pPr>
              <w:spacing w:after="0"/>
            </w:pPr>
            <w:r/>
            <w:r>
              <w:rPr>
                <w:b w:val="0"/>
                <w:sz w:val="17"/>
              </w:rPr>
              <w:t>Moved certified metrics and signed variances into semantic views.</w:t>
            </w:r>
          </w:p>
        </w:tc>
        <w:tc>
          <w:tcPr>
            <w:tcW w:type="dxa" w:w="2880"/>
            <w:vAlign w:val="center"/>
          </w:tcPr>
          <w:p>
            <w:pPr>
              <w:spacing w:after="0"/>
            </w:pPr>
            <w:r/>
            <w:r>
              <w:rPr>
                <w:b w:val="0"/>
                <w:sz w:val="17"/>
              </w:rPr>
              <w:t>Store metric semantics close to data.</w:t>
            </w:r>
          </w:p>
        </w:tc>
      </w:tr>
      <w:tr>
        <w:tc>
          <w:tcPr>
            <w:tcW w:type="dxa" w:w="2880"/>
            <w:vAlign w:val="center"/>
            <w:shd w:fill="EAF2F8"/>
          </w:tcPr>
          <w:p>
            <w:pPr>
              <w:spacing w:after="0"/>
            </w:pPr>
            <w:r/>
            <w:r>
              <w:rPr>
                <w:b w:val="0"/>
                <w:sz w:val="17"/>
              </w:rPr>
              <w:t>Price records could overlap.</w:t>
            </w:r>
          </w:p>
        </w:tc>
        <w:tc>
          <w:tcPr>
            <w:tcW w:type="dxa" w:w="4608"/>
            <w:vAlign w:val="center"/>
            <w:shd w:fill="EAF2F8"/>
          </w:tcPr>
          <w:p>
            <w:pPr>
              <w:spacing w:after="0"/>
            </w:pPr>
            <w:r/>
            <w:r>
              <w:rPr>
                <w:b w:val="0"/>
                <w:sz w:val="17"/>
              </w:rPr>
              <w:t>Added effective-date overlap validation.</w:t>
            </w:r>
          </w:p>
        </w:tc>
        <w:tc>
          <w:tcPr>
            <w:tcW w:type="dxa" w:w="2880"/>
            <w:vAlign w:val="center"/>
            <w:shd w:fill="EAF2F8"/>
          </w:tcPr>
          <w:p>
            <w:pPr>
              <w:spacing w:after="0"/>
            </w:pPr>
            <w:r/>
            <w:r>
              <w:rPr>
                <w:b w:val="0"/>
                <w:sz w:val="17"/>
              </w:rPr>
              <w:t>Effective-dated facts require interval certification.</w:t>
            </w:r>
          </w:p>
        </w:tc>
      </w:tr>
      <w:tr>
        <w:tc>
          <w:tcPr>
            <w:tcW w:type="dxa" w:w="2880"/>
            <w:vAlign w:val="center"/>
          </w:tcPr>
          <w:p>
            <w:pPr>
              <w:spacing w:after="0"/>
            </w:pPr>
            <w:r/>
            <w:r>
              <w:rPr>
                <w:b w:val="0"/>
                <w:sz w:val="17"/>
              </w:rPr>
              <w:t>Fiscal periods could overlap or fail to map.</w:t>
            </w:r>
          </w:p>
        </w:tc>
        <w:tc>
          <w:tcPr>
            <w:tcW w:type="dxa" w:w="4608"/>
            <w:vAlign w:val="center"/>
          </w:tcPr>
          <w:p>
            <w:pPr>
              <w:spacing w:after="0"/>
            </w:pPr>
            <w:r/>
            <w:r>
              <w:rPr>
                <w:b w:val="0"/>
                <w:sz w:val="17"/>
              </w:rPr>
              <w:t>Added explicit fiscal-period dimension and overlap checks.</w:t>
            </w:r>
          </w:p>
        </w:tc>
        <w:tc>
          <w:tcPr>
            <w:tcW w:type="dxa" w:w="2880"/>
            <w:vAlign w:val="center"/>
          </w:tcPr>
          <w:p>
            <w:pPr>
              <w:spacing w:after="0"/>
            </w:pPr>
            <w:r/>
            <w:r>
              <w:rPr>
                <w:b w:val="0"/>
                <w:sz w:val="17"/>
              </w:rPr>
              <w:t>Calendar logic must be data, not inferred text.</w:t>
            </w:r>
          </w:p>
        </w:tc>
      </w:tr>
      <w:tr>
        <w:tc>
          <w:tcPr>
            <w:tcW w:type="dxa" w:w="2880"/>
            <w:vAlign w:val="center"/>
            <w:shd w:fill="EAF2F8"/>
          </w:tcPr>
          <w:p>
            <w:pPr>
              <w:spacing w:after="0"/>
            </w:pPr>
            <w:r/>
            <w:r>
              <w:rPr>
                <w:b w:val="0"/>
                <w:sz w:val="17"/>
              </w:rPr>
              <w:t>Customer requests could incorrectly receive SKU budget.</w:t>
            </w:r>
          </w:p>
        </w:tc>
        <w:tc>
          <w:tcPr>
            <w:tcW w:type="dxa" w:w="4608"/>
            <w:vAlign w:val="center"/>
            <w:shd w:fill="EAF2F8"/>
          </w:tcPr>
          <w:p>
            <w:pPr>
              <w:spacing w:after="0"/>
            </w:pPr>
            <w:r/>
            <w:r>
              <w:rPr>
                <w:b w:val="0"/>
                <w:sz w:val="17"/>
              </w:rPr>
              <w:t>Added entity routing and explicit unsupported behavior.</w:t>
            </w:r>
          </w:p>
        </w:tc>
        <w:tc>
          <w:tcPr>
            <w:tcW w:type="dxa" w:w="2880"/>
            <w:vAlign w:val="center"/>
            <w:shd w:fill="EAF2F8"/>
          </w:tcPr>
          <w:p>
            <w:pPr>
              <w:spacing w:after="0"/>
            </w:pPr>
            <w:r/>
            <w:r>
              <w:rPr>
                <w:b w:val="0"/>
                <w:sz w:val="17"/>
              </w:rPr>
              <w:t>Unsupported analysis should fail clearly.</w:t>
            </w:r>
          </w:p>
        </w:tc>
      </w:tr>
      <w:tr>
        <w:tc>
          <w:tcPr>
            <w:tcW w:type="dxa" w:w="2880"/>
            <w:vAlign w:val="center"/>
          </w:tcPr>
          <w:p>
            <w:pPr>
              <w:spacing w:after="0"/>
            </w:pPr>
            <w:r/>
            <w:r>
              <w:rPr>
                <w:b w:val="0"/>
                <w:sz w:val="17"/>
              </w:rPr>
              <w:t>Follow-ups could lose or incorrectly retain context.</w:t>
            </w:r>
          </w:p>
        </w:tc>
        <w:tc>
          <w:tcPr>
            <w:tcW w:type="dxa" w:w="4608"/>
            <w:vAlign w:val="center"/>
          </w:tcPr>
          <w:p>
            <w:pPr>
              <w:spacing w:after="0"/>
            </w:pPr>
            <w:r/>
            <w:r>
              <w:rPr>
                <w:b w:val="0"/>
                <w:sz w:val="17"/>
              </w:rPr>
              <w:t>Added compatible-context retention and explicit entity switching.</w:t>
            </w:r>
          </w:p>
        </w:tc>
        <w:tc>
          <w:tcPr>
            <w:tcW w:type="dxa" w:w="2880"/>
            <w:vAlign w:val="center"/>
          </w:tcPr>
          <w:p>
            <w:pPr>
              <w:spacing w:after="0"/>
            </w:pPr>
            <w:r/>
            <w:r>
              <w:rPr>
                <w:b w:val="0"/>
                <w:sz w:val="17"/>
              </w:rPr>
              <w:t>Conversation state needs controlled replacement rules.</w:t>
            </w:r>
          </w:p>
        </w:tc>
      </w:tr>
      <w:tr>
        <w:tc>
          <w:tcPr>
            <w:tcW w:type="dxa" w:w="2880"/>
            <w:vAlign w:val="center"/>
            <w:shd w:fill="EAF2F8"/>
          </w:tcPr>
          <w:p>
            <w:pPr>
              <w:spacing w:after="0"/>
            </w:pPr>
            <w:r/>
            <w:r>
              <w:rPr>
                <w:b w:val="0"/>
                <w:sz w:val="17"/>
              </w:rPr>
              <w:t>RCA wording could imply causality.</w:t>
            </w:r>
          </w:p>
        </w:tc>
        <w:tc>
          <w:tcPr>
            <w:tcW w:type="dxa" w:w="4608"/>
            <w:vAlign w:val="center"/>
            <w:shd w:fill="EAF2F8"/>
          </w:tcPr>
          <w:p>
            <w:pPr>
              <w:spacing w:after="0"/>
            </w:pPr>
            <w:r/>
            <w:r>
              <w:rPr>
                <w:b w:val="0"/>
                <w:sz w:val="17"/>
              </w:rPr>
              <w:t>Restricted conclusions to supported associations and evidence coverage.</w:t>
            </w:r>
          </w:p>
        </w:tc>
        <w:tc>
          <w:tcPr>
            <w:tcW w:type="dxa" w:w="2880"/>
            <w:vAlign w:val="center"/>
            <w:shd w:fill="EAF2F8"/>
          </w:tcPr>
          <w:p>
            <w:pPr>
              <w:spacing w:after="0"/>
            </w:pPr>
            <w:r/>
            <w:r>
              <w:rPr>
                <w:b w:val="0"/>
                <w:sz w:val="17"/>
              </w:rPr>
              <w:t>Analytical correlation is not causal proof.</w:t>
            </w:r>
          </w:p>
        </w:tc>
      </w:tr>
      <w:tr>
        <w:tc>
          <w:tcPr>
            <w:tcW w:type="dxa" w:w="2880"/>
            <w:vAlign w:val="center"/>
          </w:tcPr>
          <w:p>
            <w:pPr>
              <w:spacing w:after="0"/>
            </w:pPr>
            <w:r/>
            <w:r>
              <w:rPr>
                <w:b w:val="0"/>
                <w:sz w:val="17"/>
              </w:rPr>
              <w:t>Results were too technical or poorly formatted.</w:t>
            </w:r>
          </w:p>
        </w:tc>
        <w:tc>
          <w:tcPr>
            <w:tcW w:type="dxa" w:w="4608"/>
            <w:vAlign w:val="center"/>
          </w:tcPr>
          <w:p>
            <w:pPr>
              <w:spacing w:after="0"/>
            </w:pPr>
            <w:r/>
            <w:r>
              <w:rPr>
                <w:b w:val="0"/>
                <w:sz w:val="17"/>
              </w:rPr>
              <w:t>Added business labels, Markdown tables, units and signed deltas.</w:t>
            </w:r>
          </w:p>
        </w:tc>
        <w:tc>
          <w:tcPr>
            <w:tcW w:type="dxa" w:w="2880"/>
            <w:vAlign w:val="center"/>
          </w:tcPr>
          <w:p>
            <w:pPr>
              <w:spacing w:after="0"/>
            </w:pPr>
            <w:r/>
            <w:r>
              <w:rPr>
                <w:b w:val="0"/>
                <w:sz w:val="17"/>
              </w:rPr>
              <w:t>Presentation is part of analytical correctness.</w:t>
            </w:r>
          </w:p>
        </w:tc>
      </w:tr>
      <w:tr>
        <w:tc>
          <w:tcPr>
            <w:tcW w:type="dxa" w:w="2880"/>
            <w:vAlign w:val="center"/>
            <w:shd w:fill="EAF2F8"/>
          </w:tcPr>
          <w:p>
            <w:pPr>
              <w:spacing w:after="0"/>
            </w:pPr>
            <w:r/>
            <w:r>
              <w:rPr>
                <w:b w:val="0"/>
                <w:sz w:val="17"/>
              </w:rPr>
              <w:t>Large instruction text reduced clarity.</w:t>
            </w:r>
          </w:p>
        </w:tc>
        <w:tc>
          <w:tcPr>
            <w:tcW w:type="dxa" w:w="4608"/>
            <w:vAlign w:val="center"/>
            <w:shd w:fill="EAF2F8"/>
          </w:tcPr>
          <w:p>
            <w:pPr>
              <w:spacing w:after="0"/>
            </w:pPr>
            <w:r/>
            <w:r>
              <w:rPr>
                <w:b w:val="0"/>
                <w:sz w:val="17"/>
              </w:rPr>
              <w:t>Condensed instructions and moved query patterns into examples/views.</w:t>
            </w:r>
          </w:p>
        </w:tc>
        <w:tc>
          <w:tcPr>
            <w:tcW w:type="dxa" w:w="2880"/>
            <w:vAlign w:val="center"/>
            <w:shd w:fill="EAF2F8"/>
          </w:tcPr>
          <w:p>
            <w:pPr>
              <w:spacing w:after="0"/>
            </w:pPr>
            <w:r/>
            <w:r>
              <w:rPr>
                <w:b w:val="0"/>
                <w:sz w:val="17"/>
              </w:rPr>
              <w:t>Use prompts for policy and semantic models for logic.</w:t>
            </w:r>
          </w:p>
        </w:tc>
      </w:tr>
    </w:tbl>
    <w:p>
      <w:pPr>
        <w:spacing w:after="0"/>
      </w:pPr>
    </w:p>
    <w:p>
      <w:pPr>
        <w:pStyle w:val="Heading1"/>
      </w:pPr>
      <w:r>
        <w:t>11. Validation approach</w:t>
      </w:r>
    </w:p>
    <w:p>
      <w:pPr>
        <w:pStyle w:val="ListBullet"/>
        <w:spacing w:after="40"/>
      </w:pPr>
      <w:r>
        <w:t>Data validation: required columns, non-empty keys, compatible units/currency and referential integrity.</w:t>
      </w:r>
    </w:p>
    <w:p>
      <w:pPr>
        <w:pStyle w:val="ListBullet"/>
        <w:spacing w:after="40"/>
      </w:pPr>
      <w:r>
        <w:t>Grain validation: no duplicates at each documented fact or semantic-view grain.</w:t>
      </w:r>
    </w:p>
    <w:p>
      <w:pPr>
        <w:pStyle w:val="ListBullet"/>
        <w:spacing w:after="40"/>
      </w:pPr>
      <w:r>
        <w:t>Cardinality validation: enriched view row count equals source fact row count.</w:t>
      </w:r>
    </w:p>
    <w:p>
      <w:pPr>
        <w:pStyle w:val="ListBullet"/>
        <w:spacing w:after="40"/>
      </w:pPr>
      <w:r>
        <w:t>Version validation: one selected forecast vintage per target before aggregation.</w:t>
      </w:r>
    </w:p>
    <w:p>
      <w:pPr>
        <w:pStyle w:val="ListBullet"/>
        <w:spacing w:after="40"/>
      </w:pPr>
      <w:r>
        <w:t>Interval validation: fiscal periods and effective-dated prices do not overlap.</w:t>
      </w:r>
    </w:p>
    <w:p>
      <w:pPr>
        <w:pStyle w:val="ListBullet"/>
        <w:spacing w:after="40"/>
      </w:pPr>
      <w:r>
        <w:t>Numerical validation: benchmark questions assert exact actual, forecast, budget, WMAPE, accuracy, bias and deltas.</w:t>
      </w:r>
    </w:p>
    <w:p>
      <w:pPr>
        <w:pStyle w:val="ListBullet"/>
        <w:spacing w:after="40"/>
      </w:pPr>
      <w:r>
        <w:t>Behavioral validation: follow-up context, entity switching, unsupported requests and RCA qualification.</w:t>
      </w:r>
    </w:p>
    <w:p>
      <w:pPr>
        <w:pStyle w:val="Heading2"/>
      </w:pPr>
      <w:r>
        <w:t>Example benchmark to remember</w:t>
      </w:r>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1F4E78"/>
          </w:tcPr>
          <w:p>
            <w:pPr>
              <w:spacing w:after="0"/>
            </w:pPr>
            <w:r/>
            <w:r>
              <w:rPr>
                <w:b/>
                <w:color w:val="FFFFFF"/>
                <w:sz w:val="18"/>
              </w:rPr>
              <w:t>Scope</w:t>
            </w:r>
          </w:p>
        </w:tc>
        <w:tc>
          <w:tcPr>
            <w:tcW w:type="dxa" w:w="6912"/>
            <w:vAlign w:val="center"/>
            <w:shd w:fill="1F4E78"/>
          </w:tcPr>
          <w:p>
            <w:pPr>
              <w:spacing w:after="0"/>
            </w:pPr>
            <w:r/>
            <w:r>
              <w:rPr>
                <w:b/>
                <w:color w:val="FFFFFF"/>
                <w:sz w:val="18"/>
              </w:rPr>
              <w:t>Expected result</w:t>
            </w:r>
          </w:p>
        </w:tc>
      </w:tr>
      <w:tr>
        <w:tc>
          <w:tcPr>
            <w:tcW w:type="dxa" w:w="3456"/>
            <w:vAlign w:val="center"/>
          </w:tcPr>
          <w:p>
            <w:pPr>
              <w:spacing w:after="0"/>
            </w:pPr>
            <w:r/>
            <w:r>
              <w:rPr>
                <w:b w:val="0"/>
                <w:sz w:val="17"/>
              </w:rPr>
              <w:t>SKU-1001, FY2026-P08</w:t>
            </w:r>
          </w:p>
        </w:tc>
        <w:tc>
          <w:tcPr>
            <w:tcW w:type="dxa" w:w="6912"/>
            <w:vAlign w:val="center"/>
          </w:tcPr>
          <w:p>
            <w:pPr>
              <w:spacing w:after="0"/>
            </w:pPr>
            <w:r/>
            <w:r>
              <w:rPr>
                <w:b w:val="0"/>
                <w:sz w:val="17"/>
              </w:rPr>
              <w:t>Actual 635; forecast 565; approved budget 480.</w:t>
            </w:r>
          </w:p>
        </w:tc>
      </w:tr>
      <w:tr>
        <w:tc>
          <w:tcPr>
            <w:tcW w:type="dxa" w:w="3456"/>
            <w:vAlign w:val="center"/>
            <w:shd w:fill="EAF2F8"/>
          </w:tcPr>
          <w:p>
            <w:pPr>
              <w:spacing w:after="0"/>
            </w:pPr>
            <w:r/>
            <w:r>
              <w:rPr>
                <w:b w:val="0"/>
                <w:sz w:val="17"/>
              </w:rPr>
              <w:t>Forecast vs actual</w:t>
            </w:r>
          </w:p>
        </w:tc>
        <w:tc>
          <w:tcPr>
            <w:tcW w:type="dxa" w:w="6912"/>
            <w:vAlign w:val="center"/>
            <w:shd w:fill="EAF2F8"/>
          </w:tcPr>
          <w:p>
            <w:pPr>
              <w:spacing w:after="0"/>
            </w:pPr>
            <w:r/>
            <w:r>
              <w:rPr>
                <w:b w:val="0"/>
                <w:sz w:val="17"/>
              </w:rPr>
              <w:t>−70; approximately −11.0% of actual.</w:t>
            </w:r>
          </w:p>
        </w:tc>
      </w:tr>
      <w:tr>
        <w:tc>
          <w:tcPr>
            <w:tcW w:type="dxa" w:w="3456"/>
            <w:vAlign w:val="center"/>
          </w:tcPr>
          <w:p>
            <w:pPr>
              <w:spacing w:after="0"/>
            </w:pPr>
            <w:r/>
            <w:r>
              <w:rPr>
                <w:b w:val="0"/>
                <w:sz w:val="17"/>
              </w:rPr>
              <w:t>Budget vs actual</w:t>
            </w:r>
          </w:p>
        </w:tc>
        <w:tc>
          <w:tcPr>
            <w:tcW w:type="dxa" w:w="6912"/>
            <w:vAlign w:val="center"/>
          </w:tcPr>
          <w:p>
            <w:pPr>
              <w:spacing w:after="0"/>
            </w:pPr>
            <w:r/>
            <w:r>
              <w:rPr>
                <w:b w:val="0"/>
                <w:sz w:val="17"/>
              </w:rPr>
              <w:t>−155; approximately −24.4% of actual.</w:t>
            </w:r>
          </w:p>
        </w:tc>
      </w:tr>
      <w:tr>
        <w:tc>
          <w:tcPr>
            <w:tcW w:type="dxa" w:w="3456"/>
            <w:vAlign w:val="center"/>
            <w:shd w:fill="EAF2F8"/>
          </w:tcPr>
          <w:p>
            <w:pPr>
              <w:spacing w:after="0"/>
            </w:pPr>
            <w:r/>
            <w:r>
              <w:rPr>
                <w:b w:val="0"/>
                <w:sz w:val="17"/>
              </w:rPr>
              <w:t>Forecast vs budget</w:t>
            </w:r>
          </w:p>
        </w:tc>
        <w:tc>
          <w:tcPr>
            <w:tcW w:type="dxa" w:w="6912"/>
            <w:vAlign w:val="center"/>
            <w:shd w:fill="EAF2F8"/>
          </w:tcPr>
          <w:p>
            <w:pPr>
              <w:spacing w:after="0"/>
            </w:pPr>
            <w:r/>
            <w:r>
              <w:rPr>
                <w:b w:val="0"/>
                <w:sz w:val="17"/>
              </w:rPr>
              <w:t>+85; approximately +17.7% of budget.</w:t>
            </w:r>
          </w:p>
        </w:tc>
      </w:tr>
      <w:tr>
        <w:tc>
          <w:tcPr>
            <w:tcW w:type="dxa" w:w="3456"/>
            <w:vAlign w:val="center"/>
          </w:tcPr>
          <w:p>
            <w:pPr>
              <w:spacing w:after="0"/>
            </w:pPr>
            <w:r/>
            <w:r>
              <w:rPr>
                <w:b w:val="0"/>
                <w:sz w:val="17"/>
              </w:rPr>
              <w:t>Policy/version</w:t>
            </w:r>
          </w:p>
        </w:tc>
        <w:tc>
          <w:tcPr>
            <w:tcW w:type="dxa" w:w="6912"/>
            <w:vAlign w:val="center"/>
          </w:tcPr>
          <w:p>
            <w:pPr>
              <w:spacing w:after="0"/>
            </w:pPr>
            <w:r/>
            <w:r>
              <w:rPr>
                <w:b w:val="0"/>
                <w:sz w:val="17"/>
              </w:rPr>
              <w:t>LATEST_PER_TARGET; budget version FY2026-V1.</w:t>
            </w:r>
          </w:p>
        </w:tc>
      </w:tr>
    </w:tbl>
    <w:p>
      <w:pPr>
        <w:spacing w:after="0"/>
      </w:pPr>
    </w:p>
    <w:p>
      <w:pPr>
        <w:pStyle w:val="Heading1"/>
      </w:pPr>
      <w:r>
        <w:t>12. Interview questions and concise answers</w:t>
      </w:r>
    </w:p>
    <w:p>
      <w:pPr>
        <w:pStyle w:val="Heading3"/>
      </w:pPr>
      <w:r>
        <w:t>Why Genie rather than a custom LLM application?</w:t>
      </w:r>
    </w:p>
    <w:p>
      <w:pPr>
        <w:pStyle w:val="InterviewAnswer"/>
      </w:pPr>
      <w:r>
        <w:t>Genie provides natural-language-to-SQL, conversational context and Databricks governance close to the data. I still constrained it with semantic views because natural-language generation alone is not a business-control layer.</w:t>
      </w:r>
    </w:p>
    <w:p>
      <w:pPr>
        <w:pStyle w:val="Heading3"/>
      </w:pPr>
      <w:r>
        <w:t>Is this agentic AI?</w:t>
      </w:r>
    </w:p>
    <w:p>
      <w:pPr>
        <w:pStyle w:val="InterviewAnswer"/>
      </w:pPr>
      <w:r>
        <w:t>It has agent-like interpretation, tool selection, SQL generation and multi-turn behavior. I describe it precisely as a governed Genie Agent workflow rather than claiming a fully autonomous multi-agent system.</w:t>
      </w:r>
    </w:p>
    <w:p>
      <w:pPr>
        <w:pStyle w:val="Heading3"/>
      </w:pPr>
      <w:r>
        <w:t>How did you prevent hallucinated numbers?</w:t>
      </w:r>
    </w:p>
    <w:p>
      <w:pPr>
        <w:pStyle w:val="InterviewAnswer"/>
      </w:pPr>
      <w:r>
        <w:t>The model does not create source facts. Numbers come from certified views, deterministic formulas and SQL execution. Unsupported evidence returns an explicit unavailable or blocked status.</w:t>
      </w:r>
    </w:p>
    <w:p>
      <w:pPr>
        <w:pStyle w:val="Heading3"/>
      </w:pPr>
      <w:r>
        <w:t>How did you prevent wrong joins?</w:t>
      </w:r>
    </w:p>
    <w:p>
      <w:pPr>
        <w:pStyle w:val="InterviewAnswer"/>
      </w:pPr>
      <w:r>
        <w:t>Genie sees certified views, not raw facts. Cross-domain joins are implemented once at an approved common grain and then tested for cardinality and exact results.</w:t>
      </w:r>
    </w:p>
    <w:p>
      <w:pPr>
        <w:pStyle w:val="Heading3"/>
      </w:pPr>
      <w:r>
        <w:t>How does it handle follow-ups?</w:t>
      </w:r>
    </w:p>
    <w:p>
      <w:pPr>
        <w:pStyle w:val="InterviewAnswer"/>
      </w:pPr>
      <w:r>
        <w:t>It retains compatible entity and period context inside one conversation. Explicit new entities or periods replace the old scope, and ambiguous requests trigger clarification.</w:t>
      </w:r>
    </w:p>
    <w:p>
      <w:pPr>
        <w:pStyle w:val="Heading3"/>
      </w:pPr>
      <w:r>
        <w:t>How is RCA performed?</w:t>
      </w:r>
    </w:p>
    <w:p>
      <w:pPr>
        <w:pStyle w:val="InterviewAnswer"/>
      </w:pPr>
      <w:r>
        <w:t>The workflow retrieves qualified evidence such as forecast error, inventory, price and promotion. It reports supported associations and coverage limitations; it does not claim causality without causal evidence.</w:t>
      </w:r>
    </w:p>
    <w:p>
      <w:pPr>
        <w:pStyle w:val="Heading3"/>
      </w:pPr>
      <w:r>
        <w:t>What happens if data is missing?</w:t>
      </w:r>
    </w:p>
    <w:p>
      <w:pPr>
        <w:pStyle w:val="InterviewAnswer"/>
      </w:pPr>
      <w:r>
        <w:t>Missing data remains null or unavailable. Partial coverage is disclosed. Certification failures block the view rather than silently returning misleading totals.</w:t>
      </w:r>
    </w:p>
    <w:p>
      <w:pPr>
        <w:pStyle w:val="Heading3"/>
      </w:pPr>
      <w:r>
        <w:t>How do you test an LLM-generated SQL system?</w:t>
      </w:r>
    </w:p>
    <w:p>
      <w:pPr>
        <w:pStyle w:val="InterviewAnswer"/>
      </w:pPr>
      <w:r>
        <w:t>I combine deterministic data and view tests with exact benchmark questions, generated-SQL inspection, negative tests and conversation tests.</w:t>
      </w:r>
    </w:p>
    <w:p>
      <w:pPr>
        <w:pStyle w:val="Heading3"/>
      </w:pPr>
      <w:r>
        <w:t>What did you learn?</w:t>
      </w:r>
    </w:p>
    <w:p>
      <w:pPr>
        <w:pStyle w:val="InterviewAnswer"/>
      </w:pPr>
      <w:r>
        <w:t>The main lesson was to move joins, grain and metrics out of prompts and into a governed semantic layer. Prompts guide behavior; they should not carry the entire analytical model.</w:t>
      </w:r>
    </w:p>
    <w:p>
      <w:pPr>
        <w:pStyle w:val="Heading1"/>
      </w:pPr>
      <w:r>
        <w:t>13. Reusable implementation blueprint</w:t>
      </w:r>
    </w:p>
    <w:p>
      <w:pPr>
        <w:pStyle w:val="ListNumber"/>
        <w:spacing w:after="60"/>
      </w:pPr>
      <w:r>
        <w:t>Document business questions, entities, measures, periods and required evidence.</w:t>
      </w:r>
    </w:p>
    <w:p>
      <w:pPr>
        <w:pStyle w:val="ListNumber"/>
        <w:spacing w:after="60"/>
      </w:pPr>
      <w:r>
        <w:t>Define every fact table grain before writing transformations or prompts.</w:t>
      </w:r>
    </w:p>
    <w:p>
      <w:pPr>
        <w:pStyle w:val="ListNumber"/>
        <w:spacing w:after="60"/>
      </w:pPr>
      <w:r>
        <w:t>Create stable dimension keys and validate many-to-one relationships.</w:t>
      </w:r>
    </w:p>
    <w:p>
      <w:pPr>
        <w:pStyle w:val="ListNumber"/>
        <w:spacing w:after="60"/>
      </w:pPr>
      <w:r>
        <w:t>Classify measures as additive, semi-additive, non-additive, versioned or effective-dated.</w:t>
      </w:r>
    </w:p>
    <w:p>
      <w:pPr>
        <w:pStyle w:val="ListNumber"/>
        <w:spacing w:after="60"/>
      </w:pPr>
      <w:r>
        <w:t>Build narrow semantic views for recurring business question families.</w:t>
      </w:r>
    </w:p>
    <w:p>
      <w:pPr>
        <w:pStyle w:val="ListNumber"/>
        <w:spacing w:after="60"/>
      </w:pPr>
      <w:r>
        <w:t>Aggregate facts independently to a certified common grain before cross-domain joins.</w:t>
      </w:r>
    </w:p>
    <w:p>
      <w:pPr>
        <w:pStyle w:val="ListNumber"/>
        <w:spacing w:after="60"/>
      </w:pPr>
      <w:r>
        <w:t>Encode versions, calendars, denominators and null behavior in SQL.</w:t>
      </w:r>
    </w:p>
    <w:p>
      <w:pPr>
        <w:pStyle w:val="ListNumber"/>
        <w:spacing w:after="60"/>
      </w:pPr>
      <w:r>
        <w:t>Add certification gates for schema, keys, duplicates, references, intervals and cardinality.</w:t>
      </w:r>
    </w:p>
    <w:p>
      <w:pPr>
        <w:pStyle w:val="ListNumber"/>
        <w:spacing w:after="60"/>
      </w:pPr>
      <w:r>
        <w:t>Expose only certified views to the natural-language agent.</w:t>
      </w:r>
    </w:p>
    <w:p>
      <w:pPr>
        <w:pStyle w:val="ListNumber"/>
        <w:spacing w:after="60"/>
      </w:pPr>
      <w:r>
        <w:t>Write concise routing and safety instructions.</w:t>
      </w:r>
    </w:p>
    <w:p>
      <w:pPr>
        <w:pStyle w:val="ListNumber"/>
        <w:spacing w:after="60"/>
      </w:pPr>
      <w:r>
        <w:t>Add verified question-SQL examples for high-value patterns.</w:t>
      </w:r>
    </w:p>
    <w:p>
      <w:pPr>
        <w:pStyle w:val="ListNumber"/>
        <w:spacing w:after="60"/>
      </w:pPr>
      <w:r>
        <w:t>Create exact numerical benchmarks and negative tests.</w:t>
      </w:r>
    </w:p>
    <w:p>
      <w:pPr>
        <w:pStyle w:val="ListNumber"/>
        <w:spacing w:after="60"/>
      </w:pPr>
      <w:r>
        <w:t>Inspect generated SQL for novel questions and promote repeated patterns into semantic views.</w:t>
      </w:r>
    </w:p>
    <w:p>
      <w:pPr>
        <w:pStyle w:val="Heading1"/>
      </w:pPr>
      <w:r>
        <w:t>14. Final memory sheet</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One-line architecture: </w:t>
            </w:r>
            <w:r>
              <w:t>Delta facts and dimensions → certification → governed semantic views → Genie-generated SQL → formatted business answer.</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One-line governance rule: </w:t>
            </w:r>
            <w:r>
              <w:t>Genie chooses filters and presentation; certified SQL controls joins, grain, versions and formulas.</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One-line RCA rule: </w:t>
            </w:r>
            <w:r>
              <w:t>Report evidence and association, never unsupported causation.</w:t>
            </w:r>
          </w:p>
        </w:tc>
      </w:tr>
    </w:tbl>
    <w:p>
      <w:pPr>
        <w:spacing w:after="0"/>
      </w:pP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One-line testing rule: </w:t>
            </w:r>
            <w:r>
              <w:t>Validate both the numerical result and the SQL path used to obtain it.</w:t>
            </w:r>
          </w:p>
        </w:tc>
      </w:tr>
    </w:tbl>
    <w:p>
      <w:pPr>
        <w:spacing w:after="0"/>
      </w:pPr>
    </w:p>
    <w:p>
      <w:pPr>
        <w:pStyle w:val="Heading2"/>
      </w:pPr>
      <w:r>
        <w:t>Terms to remember</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1F4E78"/>
          </w:tcPr>
          <w:p>
            <w:pPr>
              <w:spacing w:after="0"/>
            </w:pPr>
            <w:r/>
            <w:r>
              <w:rPr>
                <w:b/>
                <w:color w:val="FFFFFF"/>
                <w:sz w:val="18"/>
              </w:rPr>
              <w:t>Term</w:t>
            </w:r>
          </w:p>
        </w:tc>
        <w:tc>
          <w:tcPr>
            <w:tcW w:type="dxa" w:w="7776"/>
            <w:vAlign w:val="center"/>
            <w:shd w:fill="1F4E78"/>
          </w:tcPr>
          <w:p>
            <w:pPr>
              <w:spacing w:after="0"/>
            </w:pPr>
            <w:r/>
            <w:r>
              <w:rPr>
                <w:b/>
                <w:color w:val="FFFFFF"/>
                <w:sz w:val="18"/>
              </w:rPr>
              <w:t>Meaning</w:t>
            </w:r>
          </w:p>
        </w:tc>
      </w:tr>
      <w:tr>
        <w:tc>
          <w:tcPr>
            <w:tcW w:type="dxa" w:w="2592"/>
            <w:vAlign w:val="center"/>
          </w:tcPr>
          <w:p>
            <w:pPr>
              <w:spacing w:after="0"/>
            </w:pPr>
            <w:r/>
            <w:r>
              <w:rPr>
                <w:b w:val="0"/>
                <w:sz w:val="17"/>
              </w:rPr>
              <w:t>Grain</w:t>
            </w:r>
          </w:p>
        </w:tc>
        <w:tc>
          <w:tcPr>
            <w:tcW w:type="dxa" w:w="7776"/>
            <w:vAlign w:val="center"/>
          </w:tcPr>
          <w:p>
            <w:pPr>
              <w:spacing w:after="0"/>
            </w:pPr>
            <w:r/>
            <w:r>
              <w:rPr>
                <w:b w:val="0"/>
                <w:sz w:val="17"/>
              </w:rPr>
              <w:t>The exact business meaning of one row.</w:t>
            </w:r>
          </w:p>
        </w:tc>
      </w:tr>
      <w:tr>
        <w:tc>
          <w:tcPr>
            <w:tcW w:type="dxa" w:w="2592"/>
            <w:vAlign w:val="center"/>
            <w:shd w:fill="EAF2F8"/>
          </w:tcPr>
          <w:p>
            <w:pPr>
              <w:spacing w:after="0"/>
            </w:pPr>
            <w:r/>
            <w:r>
              <w:rPr>
                <w:b w:val="0"/>
                <w:sz w:val="17"/>
              </w:rPr>
              <w:t>Cardinality</w:t>
            </w:r>
          </w:p>
        </w:tc>
        <w:tc>
          <w:tcPr>
            <w:tcW w:type="dxa" w:w="7776"/>
            <w:vAlign w:val="center"/>
            <w:shd w:fill="EAF2F8"/>
          </w:tcPr>
          <w:p>
            <w:pPr>
              <w:spacing w:after="0"/>
            </w:pPr>
            <w:r/>
            <w:r>
              <w:rPr>
                <w:b w:val="0"/>
                <w:sz w:val="17"/>
              </w:rPr>
              <w:t>The number relationship between joined datasets; incorrect cardinality multiplies or loses rows.</w:t>
            </w:r>
          </w:p>
        </w:tc>
      </w:tr>
      <w:tr>
        <w:tc>
          <w:tcPr>
            <w:tcW w:type="dxa" w:w="2592"/>
            <w:vAlign w:val="center"/>
          </w:tcPr>
          <w:p>
            <w:pPr>
              <w:spacing w:after="0"/>
            </w:pPr>
            <w:r/>
            <w:r>
              <w:rPr>
                <w:b w:val="0"/>
                <w:sz w:val="17"/>
              </w:rPr>
              <w:t>Semantic view</w:t>
            </w:r>
          </w:p>
        </w:tc>
        <w:tc>
          <w:tcPr>
            <w:tcW w:type="dxa" w:w="7776"/>
            <w:vAlign w:val="center"/>
          </w:tcPr>
          <w:p>
            <w:pPr>
              <w:spacing w:after="0"/>
            </w:pPr>
            <w:r/>
            <w:r>
              <w:rPr>
                <w:b w:val="0"/>
                <w:sz w:val="17"/>
              </w:rPr>
              <w:t>A governed analytical contract with approved joins, fields and calculations.</w:t>
            </w:r>
          </w:p>
        </w:tc>
      </w:tr>
      <w:tr>
        <w:tc>
          <w:tcPr>
            <w:tcW w:type="dxa" w:w="2592"/>
            <w:vAlign w:val="center"/>
            <w:shd w:fill="EAF2F8"/>
          </w:tcPr>
          <w:p>
            <w:pPr>
              <w:spacing w:after="0"/>
            </w:pPr>
            <w:r/>
            <w:r>
              <w:rPr>
                <w:b w:val="0"/>
                <w:sz w:val="17"/>
              </w:rPr>
              <w:t>Forecast vintage</w:t>
            </w:r>
          </w:p>
        </w:tc>
        <w:tc>
          <w:tcPr>
            <w:tcW w:type="dxa" w:w="7776"/>
            <w:vAlign w:val="center"/>
            <w:shd w:fill="EAF2F8"/>
          </w:tcPr>
          <w:p>
            <w:pPr>
              <w:spacing w:after="0"/>
            </w:pPr>
            <w:r/>
            <w:r>
              <w:rPr>
                <w:b w:val="0"/>
                <w:sz w:val="17"/>
              </w:rPr>
              <w:t>The version of a forecast defined by its generation date.</w:t>
            </w:r>
          </w:p>
        </w:tc>
      </w:tr>
      <w:tr>
        <w:tc>
          <w:tcPr>
            <w:tcW w:type="dxa" w:w="2592"/>
            <w:vAlign w:val="center"/>
          </w:tcPr>
          <w:p>
            <w:pPr>
              <w:spacing w:after="0"/>
            </w:pPr>
            <w:r/>
            <w:r>
              <w:rPr>
                <w:b w:val="0"/>
                <w:sz w:val="17"/>
              </w:rPr>
              <w:t>WMAPE</w:t>
            </w:r>
          </w:p>
        </w:tc>
        <w:tc>
          <w:tcPr>
            <w:tcW w:type="dxa" w:w="7776"/>
            <w:vAlign w:val="center"/>
          </w:tcPr>
          <w:p>
            <w:pPr>
              <w:spacing w:after="0"/>
            </w:pPr>
            <w:r/>
            <w:r>
              <w:rPr>
                <w:b w:val="0"/>
                <w:sz w:val="17"/>
              </w:rPr>
              <w:t>Total absolute error divided by total absolute actual demand.</w:t>
            </w:r>
          </w:p>
        </w:tc>
      </w:tr>
      <w:tr>
        <w:tc>
          <w:tcPr>
            <w:tcW w:type="dxa" w:w="2592"/>
            <w:vAlign w:val="center"/>
            <w:shd w:fill="EAF2F8"/>
          </w:tcPr>
          <w:p>
            <w:pPr>
              <w:spacing w:after="0"/>
            </w:pPr>
            <w:r/>
            <w:r>
              <w:rPr>
                <w:b w:val="0"/>
                <w:sz w:val="17"/>
              </w:rPr>
              <w:t>Semi-additive</w:t>
            </w:r>
          </w:p>
        </w:tc>
        <w:tc>
          <w:tcPr>
            <w:tcW w:type="dxa" w:w="7776"/>
            <w:vAlign w:val="center"/>
            <w:shd w:fill="EAF2F8"/>
          </w:tcPr>
          <w:p>
            <w:pPr>
              <w:spacing w:after="0"/>
            </w:pPr>
            <w:r/>
            <w:r>
              <w:rPr>
                <w:b w:val="0"/>
                <w:sz w:val="17"/>
              </w:rPr>
              <w:t>A measure that can be summed across some dimensions but not time.</w:t>
            </w:r>
          </w:p>
        </w:tc>
      </w:tr>
      <w:tr>
        <w:tc>
          <w:tcPr>
            <w:tcW w:type="dxa" w:w="2592"/>
            <w:vAlign w:val="center"/>
          </w:tcPr>
          <w:p>
            <w:pPr>
              <w:spacing w:after="0"/>
            </w:pPr>
            <w:r/>
            <w:r>
              <w:rPr>
                <w:b w:val="0"/>
                <w:sz w:val="17"/>
              </w:rPr>
              <w:t>Effective-dated</w:t>
            </w:r>
          </w:p>
        </w:tc>
        <w:tc>
          <w:tcPr>
            <w:tcW w:type="dxa" w:w="7776"/>
            <w:vAlign w:val="center"/>
          </w:tcPr>
          <w:p>
            <w:pPr>
              <w:spacing w:after="0"/>
            </w:pPr>
            <w:r/>
            <w:r>
              <w:rPr>
                <w:b w:val="0"/>
                <w:sz w:val="17"/>
              </w:rPr>
              <w:t>A record valid only between defined start and end dates.</w:t>
            </w:r>
          </w:p>
        </w:tc>
      </w:tr>
      <w:tr>
        <w:tc>
          <w:tcPr>
            <w:tcW w:type="dxa" w:w="2592"/>
            <w:vAlign w:val="center"/>
            <w:shd w:fill="EAF2F8"/>
          </w:tcPr>
          <w:p>
            <w:pPr>
              <w:spacing w:after="0"/>
            </w:pPr>
            <w:r/>
            <w:r>
              <w:rPr>
                <w:b w:val="0"/>
                <w:sz w:val="17"/>
              </w:rPr>
              <w:t>Certification</w:t>
            </w:r>
          </w:p>
        </w:tc>
        <w:tc>
          <w:tcPr>
            <w:tcW w:type="dxa" w:w="7776"/>
            <w:vAlign w:val="center"/>
            <w:shd w:fill="EAF2F8"/>
          </w:tcPr>
          <w:p>
            <w:pPr>
              <w:spacing w:after="0"/>
            </w:pPr>
            <w:r/>
            <w:r>
              <w:rPr>
                <w:b w:val="0"/>
                <w:sz w:val="17"/>
              </w:rPr>
              <w:t>Automated proof that a dataset meets required schema and business rules.</w:t>
            </w:r>
          </w:p>
        </w:tc>
      </w:tr>
    </w:tbl>
    <w:p>
      <w:pPr>
        <w:spacing w:after="0"/>
      </w:pPr>
    </w:p>
    <w:p>
      <w:pPr>
        <w:pStyle w:val="Heading2"/>
      </w:pPr>
      <w:r>
        <w:t>Safe wording for the interview</w:t>
      </w:r>
    </w:p>
    <w:p>
      <w:pPr>
        <w:pStyle w:val="InterviewAnswer"/>
      </w:pPr>
      <w:r>
        <w:t>“I implemented a business-analyst-facing Genie workflow and governed its analytical behavior through certified Delta views, deterministic metrics and regression benchmarks. The important engineering decision was to prevent the language model from inventing critical joins or aggregation logic.”</w:t>
      </w:r>
    </w:p>
    <w:tbl>
      <w:tblPr>
        <w:tblStyle w:val="TableGrid"/>
        <w:tblW w:type="auto" w:w="0"/>
        <w:tblLook w:firstColumn="1" w:firstRow="1" w:lastColumn="0" w:lastRow="0" w:noHBand="0" w:noVBand="1" w:val="04A0"/>
      </w:tblPr>
      <w:tblGrid>
        <w:gridCol w:w="10224"/>
      </w:tblGrid>
      <w:tr>
        <w:tc>
          <w:tcPr>
            <w:tcW w:type="dxa" w:w="10224"/>
            <w:shd w:fill="D9EAF7"/>
          </w:tcPr>
          <w:p>
            <w:pPr>
              <w:spacing w:after="40"/>
            </w:pPr>
            <w:r/>
            <w:r>
              <w:rPr>
                <w:b/>
                <w:color w:val="1F4E78"/>
              </w:rPr>
              <w:t xml:space="preserve">If asked for adoption evidence: </w:t>
            </w:r>
            <w:r>
              <w:t>Answer with the exact scope you can support: implemented workflow, hosted demonstration, pilot, or production. Do not substitute an assumed user count for evidence.</w:t>
            </w:r>
          </w:p>
        </w:tc>
      </w:tr>
    </w:tbl>
    <w:p>
      <w:pPr>
        <w:spacing w:after="0"/>
      </w:pP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Forecast Intelligence and RCA | </w:t>
    </w:r>
    <w:fldChar w:fldCharType="begin"/>
    <w:instrText xml:space="preserve">PAGE</w:instrText>
    <w:fldChar w:fldCharType="end"/>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viewAnswer">
    <w:name w:val="Interview Answer"/>
    <w:pPr>
      <w:spacing w:before="80" w:after="120"/>
      <w:ind w:left="360" w:right="360"/>
    </w:pPr>
    <w:rPr>
      <w:rFonts w:ascii="Aptos" w:hAnsi="Aptos"/>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 Intelligence and RCA Agent — Interview Guide</dc:title>
  <dc:subject>Databricks Genie, Delta semantic views, forecast intelligence and RCA</dc:subject>
  <dc:creator>Project documentation</dc:creator>
  <cp:keywords>Databricks Genie, forecasting, RCA, Delta, semantic layer, interview guide</cp:keywords>
  <dc:description>generated by python-docx</dc:description>
  <cp:lastModifiedBy/>
  <cp:revision>1</cp:revision>
  <dcterms:created xsi:type="dcterms:W3CDTF">2013-12-23T23:15:00Z</dcterms:created>
  <dcterms:modified xsi:type="dcterms:W3CDTF">2013-12-23T23:15:00Z</dcterms:modified>
  <cp:category/>
</cp:coreProperties>
</file>