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360" w:hanging="360"/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TALEND ESB</w:t>
      </w:r>
    </w:p>
    <w:p>
      <w:pPr>
        <w:ind w:left="360" w:hanging="360"/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 Syllabus</w:t>
      </w:r>
    </w:p>
    <w:p>
      <w:pPr>
        <w:ind w:left="360" w:hanging="360"/>
      </w:pPr>
      <w:r/>
    </w:p>
    <w:tbl>
      <w:tblPr>
        <w:name w:val="Table1"/>
        <w:tabOrder w:val="0"/>
        <w:jc w:val="left"/>
        <w:tblInd w:w="0" w:type="dxa"/>
        <w:tblW w:w="9360" w:type="dxa"/>
      </w:tblPr>
      <w:tblGrid>
        <w:gridCol w:w="1875"/>
        <w:gridCol w:w="2069"/>
        <w:gridCol w:w="5416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I. Introduction to Talend ESB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Module Code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ESB01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Description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This module describes the concept of ESB, what is the difference between Data Integration and how it is implemented in the Talend ESB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Duration</w:t>
            </w:r>
          </w:p>
        </w:tc>
        <w:tc>
          <w:tcPr>
            <w:tcW w:w="2069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3 hours</w:t>
            </w:r>
          </w:p>
        </w:tc>
        <w:tc>
          <w:tcPr>
            <w:tcW w:w="5416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 xml:space="preserve"> @ Day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Objectives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At the end of this lesson, the participants will be able to: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numPr>
                <w:ilvl w:val="0"/>
                <w:numId w:val="5"/>
              </w:numPr>
              <w:ind w:left="360" w:hanging="360"/>
            </w:pPr>
            <w:r>
              <w:t>Define ESB and application integration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Explore ESB capabilities vs. Data Integration capabilities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Identify the main ESB features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Describe a mediation route use case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Describe a simple ESB reference infrastructure</w:t>
            </w:r>
          </w:p>
        </w:tc>
      </w:tr>
    </w:tbl>
    <w:p>
      <w:r/>
    </w:p>
    <w:tbl>
      <w:tblPr>
        <w:name w:val="Tabel2"/>
        <w:tabOrder w:val="0"/>
        <w:jc w:val="left"/>
        <w:tblInd w:w="0" w:type="dxa"/>
        <w:tblW w:w="9360" w:type="dxa"/>
      </w:tblPr>
      <w:tblGrid>
        <w:gridCol w:w="1875"/>
        <w:gridCol w:w="2069"/>
        <w:gridCol w:w="5416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II. Webservice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Module Code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ESB02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Description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This module describes about how to create and access SOAP and REST Webservice in the Talend ESB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Duration</w:t>
            </w:r>
          </w:p>
        </w:tc>
        <w:tc>
          <w:tcPr>
            <w:tcW w:w="2069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3 hours</w:t>
            </w:r>
          </w:p>
        </w:tc>
        <w:tc>
          <w:tcPr>
            <w:tcW w:w="5416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 xml:space="preserve"> @ Day 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Objectives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At the end of this lesson, the participants will be able to: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numPr>
                <w:ilvl w:val="0"/>
                <w:numId w:val="5"/>
              </w:numPr>
              <w:ind w:left="360" w:hanging="360"/>
            </w:pPr>
            <w:r>
              <w:t>Define web services (REST &amp; SOAP)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Explain a standard web service use case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Create a web service in Talend Studio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Test a web service using a dedicated client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Create a job to consume a web service</w:t>
            </w:r>
          </w:p>
        </w:tc>
      </w:tr>
    </w:tbl>
    <w:p>
      <w:r/>
    </w:p>
    <w:tbl>
      <w:tblPr>
        <w:name w:val="Tabel3"/>
        <w:tabOrder w:val="0"/>
        <w:jc w:val="left"/>
        <w:tblInd w:w="0" w:type="dxa"/>
        <w:tblW w:w="9360" w:type="dxa"/>
      </w:tblPr>
      <w:tblGrid>
        <w:gridCol w:w="1875"/>
        <w:gridCol w:w="2069"/>
        <w:gridCol w:w="5416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III. Messages, Exchanges, and the SIMPLE Language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Module Code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ESB03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Description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This module describes the Camel message model, exchange, message headers, and how to use the SIMPLE language in the Talend ESB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Duration</w:t>
            </w:r>
          </w:p>
        </w:tc>
        <w:tc>
          <w:tcPr>
            <w:tcW w:w="2069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3 hours</w:t>
            </w:r>
          </w:p>
        </w:tc>
        <w:tc>
          <w:tcPr>
            <w:tcW w:w="5416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 xml:space="preserve"> @ Day 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Objectives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At the end of this lesson, the participants will be able to: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numPr>
                <w:ilvl w:val="0"/>
                <w:numId w:val="5"/>
              </w:numPr>
              <w:ind w:left="360" w:hanging="360"/>
            </w:pPr>
            <w:r>
              <w:t>Describe the structure of a message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Describe the structure of an exchange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Use the SIMPLE language in a mediation route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Access message elements with Java code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Send a message from one route to another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Use the cDirect component as a producer and consumer</w:t>
            </w:r>
          </w:p>
        </w:tc>
      </w:tr>
    </w:tbl>
    <w:p>
      <w:r/>
    </w:p>
    <w:tbl>
      <w:tblPr>
        <w:name w:val="Tabel1"/>
        <w:tabOrder w:val="0"/>
        <w:jc w:val="left"/>
        <w:tblInd w:w="0" w:type="dxa"/>
        <w:tblW w:w="9360" w:type="dxa"/>
      </w:tblPr>
      <w:tblGrid>
        <w:gridCol w:w="1875"/>
        <w:gridCol w:w="2069"/>
        <w:gridCol w:w="5416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IV. Case Study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Module Code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-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Description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The game to be solved by participants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Duration</w:t>
            </w:r>
          </w:p>
        </w:tc>
        <w:tc>
          <w:tcPr>
            <w:tcW w:w="2069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8 hours</w:t>
            </w:r>
          </w:p>
        </w:tc>
        <w:tc>
          <w:tcPr>
            <w:tcW w:w="5416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 xml:space="preserve"> @ Day 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Objectives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At the end of this lesson, the participants will be able to: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numPr>
                <w:ilvl w:val="0"/>
                <w:numId w:val="5"/>
              </w:numPr>
              <w:ind w:left="360" w:hanging="360"/>
            </w:pPr>
            <w:r>
              <w:t xml:space="preserve">Utilizing components in the Talend ESB 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Deploy ESB in the production environment</w:t>
            </w:r>
          </w:p>
        </w:tc>
      </w:tr>
    </w:tbl>
    <w:p>
      <w:r/>
    </w:p>
    <w:tbl>
      <w:tblPr>
        <w:name w:val="Table4"/>
        <w:tabOrder w:val="0"/>
        <w:jc w:val="left"/>
        <w:tblInd w:w="0" w:type="dxa"/>
        <w:tblW w:w="9360" w:type="dxa"/>
      </w:tblPr>
      <w:tblGrid>
        <w:gridCol w:w="1875"/>
        <w:gridCol w:w="2069"/>
        <w:gridCol w:w="5416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V. Enterprise Integration Patterns (EIP)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Module Code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ESB04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Description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 xml:space="preserve">This module describes about the Enterprise integration patterns (EIP) and how it is implemented in the Talend ESB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Duration</w:t>
            </w:r>
          </w:p>
        </w:tc>
        <w:tc>
          <w:tcPr>
            <w:tcW w:w="2069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3 hours</w:t>
            </w:r>
          </w:p>
        </w:tc>
        <w:tc>
          <w:tcPr>
            <w:tcW w:w="5416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 xml:space="preserve"> @ Day 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Objectives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At the end of this lesson, the participants will be able to: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numPr>
                <w:ilvl w:val="0"/>
                <w:numId w:val="5"/>
              </w:numPr>
              <w:ind w:left="360" w:hanging="360"/>
            </w:pPr>
            <w:r>
              <w:t>Define enterprise integration patterns (EIP)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Name four common EIPs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Use EIPs in a mediation route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Use more-advanced EIPs</w:t>
            </w:r>
          </w:p>
        </w:tc>
      </w:tr>
    </w:tbl>
    <w:p>
      <w:r/>
    </w:p>
    <w:tbl>
      <w:tblPr>
        <w:name w:val="Table7"/>
        <w:tabOrder w:val="0"/>
        <w:jc w:val="left"/>
        <w:tblInd w:w="0" w:type="dxa"/>
        <w:tblW w:w="9360" w:type="dxa"/>
      </w:tblPr>
      <w:tblGrid>
        <w:gridCol w:w="1875"/>
        <w:gridCol w:w="2069"/>
        <w:gridCol w:w="5416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VI. Calling Data Integration Jobs in Mediation Routes &amp; Use the Message Broker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Module Code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ESB05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Description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widowControl/>
            </w:pPr>
            <w:r>
              <w:t>This module describes about how to call DI Job from a route, receive a route message in a DI Job and connect to ActiveMQ message broker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Duration</w:t>
            </w:r>
          </w:p>
        </w:tc>
        <w:tc>
          <w:tcPr>
            <w:tcW w:w="2069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3 hours</w:t>
            </w:r>
          </w:p>
        </w:tc>
        <w:tc>
          <w:tcPr>
            <w:tcW w:w="5416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 xml:space="preserve"> @ Day 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5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>Objectives</w:t>
            </w:r>
          </w:p>
        </w:tc>
        <w:tc>
          <w:tcPr>
            <w:tcW w:w="7485" w:type="dxa"/>
            <w:gridSpan w:val="2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/>
            <w:r>
              <w:t xml:space="preserve"> At the end of this lesson, the participants will be able to: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3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63755912" protected="0"/>
          </w:tcPr>
          <w:p>
            <w:pPr>
              <w:numPr>
                <w:ilvl w:val="0"/>
                <w:numId w:val="5"/>
              </w:numPr>
              <w:ind w:left="360" w:hanging="360"/>
            </w:pPr>
            <w:r>
              <w:t>Call DI Jobs in mediation routes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Configure a DI Job to receive a Camel exchange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Define enterprise messaging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Choose between two messaging strategies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Send messages from a route to a message broker</w:t>
            </w:r>
          </w:p>
          <w:p>
            <w:pPr>
              <w:numPr>
                <w:ilvl w:val="0"/>
                <w:numId w:val="5"/>
              </w:numPr>
              <w:ind w:left="360" w:hanging="360"/>
            </w:pPr>
            <w:r>
              <w:t>Receive messages from a message broker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Heading List 1"/>
    <w:lvl w:ilvl="0">
      <w:start w:val="1"/>
      <w:numFmt w:val="decimal"/>
      <w:pStyle w:val="para1"/>
      <w:suff w:val="tab"/>
      <w:lvlText w:val="%1.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1.%2."/>
      <w:lvlJc w:val="left"/>
      <w:pPr>
        <w:ind w:left="0" w:hanging="0"/>
      </w:pPr>
    </w:lvl>
    <w:lvl w:ilvl="2">
      <w:start w:val="1"/>
      <w:numFmt w:val="decimal"/>
      <w:pStyle w:val="para3"/>
      <w:suff w:val="tab"/>
      <w:lvlText w:val="%1.%2.%3."/>
      <w:lvlJc w:val="left"/>
      <w:pPr>
        <w:ind w:left="0" w:hanging="0"/>
      </w:pPr>
    </w:lvl>
    <w:lvl w:ilvl="3">
      <w:start w:val="1"/>
      <w:numFmt w:val="decimal"/>
      <w:suff w:val="tab"/>
      <w:lvlText w:val="%1.%2.%3.%4."/>
      <w:lvlJc w:val="left"/>
      <w:pPr>
        <w:ind w:left="0" w:hanging="0"/>
      </w:pPr>
    </w:lvl>
    <w:lvl w:ilvl="4">
      <w:start w:val="1"/>
      <w:numFmt w:val="decimal"/>
      <w:suff w:val="tab"/>
      <w:lvlText w:val="%1.%2.%3.%4.%5."/>
      <w:lvlJc w:val="left"/>
      <w:pPr>
        <w:ind w:left="0" w:hanging="0"/>
      </w:pPr>
    </w:lvl>
    <w:lvl w:ilvl="5">
      <w:start w:val="1"/>
      <w:numFmt w:val="decimal"/>
      <w:suff w:val="tab"/>
      <w:lvlText w:val="%1.%2.%3.%4.%5.%6."/>
      <w:lvlJc w:val="left"/>
      <w:pPr>
        <w:ind w:left="0" w:hanging="0"/>
      </w:pPr>
    </w:lvl>
    <w:lvl w:ilvl="6">
      <w:start w:val="1"/>
      <w:numFmt w:val="decimal"/>
      <w:suff w:val="tab"/>
      <w:lvlText w:val="%1.%2.%3.%4.%5.%6.%7."/>
      <w:lvlJc w:val="left"/>
      <w:pPr>
        <w:ind w:left="0" w:hanging="0"/>
      </w:pPr>
    </w:lvl>
    <w:lvl w:ilvl="7">
      <w:start w:val="1"/>
      <w:numFmt w:val="decimal"/>
      <w:suff w:val="tab"/>
      <w:lvlText w:val="%1.%2.%3.%4.%5.%6.%7.%8.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2"/>
      <w:numFmt w:val="decimal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63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563755912" w:val="9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1"/>
      </w:numPr>
      <w:ind w:left="501" w:hanging="501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1"/>
      </w:numPr>
      <w:ind w:left="642" w:hanging="642"/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1"/>
      </w:numPr>
      <w:ind w:left="501" w:hanging="501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1"/>
      </w:numPr>
      <w:ind w:left="642" w:hanging="642"/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2019-07-01T03:21:46Z</dcterms:created>
  <dcterms:modified xsi:type="dcterms:W3CDTF">2019-07-22T00:38:32Z</dcterms:modified>
</cp:coreProperties>
</file>