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B35537" w:rsidP="00B35537" w:rsidRDefault="00B35537" w14:paraId="648C8EA8" w14:textId="77777777">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r w:rsidRPr="009B37C9" w:rsidR="001B6892">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sidR="001B6892">
        <w:rPr>
          <w:rFonts w:ascii="Times New Roman" w:hAnsi="Times New Roman" w:cs="Times New Roman"/>
          <w:b/>
          <w:bCs/>
          <w:sz w:val="24"/>
          <w:szCs w:val="24"/>
        </w:rPr>
        <w:t>Độc Lập - Tự Do - Hạnh</w:t>
      </w:r>
      <w:r w:rsidRPr="009B37C9" w:rsidR="001B6892">
        <w:rPr>
          <w:rFonts w:ascii="Times New Roman" w:hAnsi="Times New Roman" w:cs="Times New Roman"/>
          <w:b/>
          <w:bCs/>
          <w:spacing w:val="-6"/>
          <w:sz w:val="24"/>
          <w:szCs w:val="24"/>
        </w:rPr>
        <w:t xml:space="preserve"> </w:t>
      </w:r>
      <w:r w:rsidRPr="009B37C9" w:rsidR="001B6892">
        <w:rPr>
          <w:rFonts w:ascii="Times New Roman" w:hAnsi="Times New Roman" w:cs="Times New Roman"/>
          <w:b/>
          <w:bCs/>
          <w:sz w:val="24"/>
          <w:szCs w:val="24"/>
        </w:rPr>
        <w:t>Phúc</w:t>
      </w:r>
    </w:p>
    <w:p w:rsidR="001D6112" w:rsidP="00B35537" w:rsidRDefault="00B35537" w14:paraId="58113B3D" w14:textId="399D59D8">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p>
    <w:p>
      <w:pPr>
        <w:jc w:val="center"/>
      </w:pPr>
      <w:r>
        <w:rPr>
          <w:b w:val="true"/>
          <w:i w:val="false"/>
          <w:u w:val="none"/>
          <w:rFonts w:ascii="Times New Roman" w:hAnsi="Times New Roman" w:cs="Times New Roman"/>
          <w:sz w:val="24"/>
          <w:szCs w:val="24"/>
        </w:rPr>
        <w:t xml:space="preserve">- Căn cứ theo Hợp đồng kinh tế số: DTC_# EHS-18-W3-06 ký ngày 05/01/2019 giữa Công ty TNHH Công nghệ ứng dụng &amp; Truyền thông DTC và Công ty TNHH Kỹ nghệ gỗ Hoa Nét quy định chi tiết về việc cung cấp dịch vụ công nghệ thông tin nâng cấp hệ thống phần mềm quản lý và kiểm soát cân điện tử Mắt Thần phiên bản doanh nghiệp.</w:t>
      </w:r>
    </w:p>
    <w:p>
      <w:pPr>
        <w:jc w:val="center"/>
      </w:pPr>
      <w:r>
        <w:rPr>
          <w:b w:val="true"/>
          <w:i w:val="false"/>
          <w:u w:val="none"/>
          <w:rFonts w:ascii="Times New Roman" w:hAnsi="Times New Roman" w:cs="Times New Roman"/>
          <w:sz w:val="24"/>
          <w:szCs w:val="24"/>
        </w:rPr>
        <w:t xml:space="preserve">- Căn cứ theo phụ lục hợp đồng số: DTC_# EHS-18-W3-06_Annex 1 ký ngày 05/01/2019 giữa Công ty TNHH Công nghệ ứng dụng &amp; Truyền thông DTC và Công ty TNHH Kỹ nghệ gỗ Hoa Nét về việc xác định cụ thể danh mục các tính năng tùy biến chuyên sâu yêu cầu kỹ thuật chi tiết quy trình bàn giao vận hành và các tiêu chuẩn nghiệm thu chất lượng dự án.</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proofErr w:type="gramStart"/>
      <w:r w:rsidRPr="009B37C9">
        <w:rPr>
          <w:rFonts w:ascii="Times New Roman" w:hAnsi="Times New Roman" w:cs="Times New Roman"/>
          <w:iCs/>
          <w:sz w:val="24"/>
          <w:szCs w:val="24"/>
        </w:rPr>
        <w:t xml:space="preserve">Số: PREVIEW-SS-V1-2026-0001</w:t>
      </w:r>
      <w:proofErr w:type="gramEnd"/>
      <w:r w:rsidRPr="009B37C9">
        <w:rPr>
          <w:rFonts w:ascii="Times New Roman" w:hAnsi="Times New Roman" w:cs="Times New Roman"/>
          <w:iCs/>
          <w:sz w:val="24"/>
          <w:szCs w:val="24"/>
        </w:rPr>
        <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liên hệ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Số 01, Đường Mẫu, Hà Nội</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liên hệ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024 0000 0001</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0100000000</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proofErr w:type="gramStart"/>
      <w:r w:rsidRPr="009B37C9">
        <w:rPr>
          <w:rFonts w:ascii="Times New Roman" w:hAnsi="Times New Roman" w:cs="Times New Roman"/>
          <w:b/>
          <w:bCs/>
          <w:sz w:val="24"/>
          <w:szCs w:val="24"/>
          <w:lang w:val="fr-FR"/>
        </w:rPr>
        <w:t/>
      </w:r>
      <w:proofErr w:type="gramEnd"/>
      <w:r w:rsidRPr="009B37C9">
        <w:rPr>
          <w:rFonts w:ascii="Times New Roman" w:hAnsi="Times New Roman" w:cs="Times New Roman"/>
          <w:b/>
          <w:bCs/>
          <w:sz w:val="24"/>
          <w:szCs w:val="24"/>
          <w:lang w:val="fr-FR"/>
        </w:rPr>
        <w:t xml:space="preserve"/>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proofErr w:type="gramStart"/>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proofErr w:type="gramEnd"/>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proofErr w:type="gramStart"/>
      <w:r w:rsidRPr="009B37C9">
        <w:rPr>
          <w:rFonts w:ascii="Times New Roman" w:hAnsi="Times New Roman" w:cs="Times New Roman"/>
          <w:i/>
          <w:iCs/>
          <w:sz w:val="24"/>
          <w:szCs w:val="24"/>
          <w:lang w:val="fr-FR"/>
        </w:rPr>
        <w:t>sau:</w:t>
      </w:r>
      <w:proofErr w:type="gramEnd"/>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roofErr w:type="gramStart"/>
      <w:r w:rsidRPr="009D7A54">
        <w:rPr>
          <w:rFonts w:ascii="Times New Roman" w:hAnsi="Times New Roman" w:cs="Times New Roman"/>
          <w:lang w:val="fr-FR"/>
        </w:rPr>
        <w:t/>
      </w:r>
      <w:proofErr w:type="gramEnd"/>
      <w:r w:rsidRPr="009D7A54">
        <w:rPr>
          <w:rFonts w:ascii="Times New Roman" w:hAnsi="Times New Roman" w:cs="Times New Roman"/>
          <w:lang w:val="fr-FR"/>
        </w:rPr>
        <w:t xml:space="preserve"/>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734"/>
        <w:gridCol w:w="711"/>
        <w:gridCol w:w="2891"/>
        <w:gridCol w:w="626"/>
        <w:gridCol w:w="1252"/>
        <w:gridCol w:w="867"/>
        <w:gridCol w:w="745"/>
        <w:gridCol w:w="1811"/>
      </w:tblGrid>
      <w:tr>
        <w:tc>
          <w:tcPr>
            <w:tcW w:w="734" w:type="dxa"/>
          </w:tcPr>
          <w:p>
            <w:r>
              <w:rPr>
                <w:rFonts w:ascii="Times New Roman" w:hAnsi="Times New Roman" w:eastAsia="Times New Roman" w:cs="Times New Roman"/>
                <w:b w:val="true"/>
                <w:i w:val="false"/>
                <w:sz w:val="24"/>
                <w:szCs w:val="24"/>
                <w:u w:val="none"/>
              </w:rPr>
              <w:t xml:space="preserve">STT</w:t>
            </w:r>
          </w:p>
        </w:tc>
        <w:tc>
          <w:tcPr>
            <w:tcW w:w="711" w:type="dxa"/>
          </w:tcPr>
          <w:p>
            <w:r>
              <w:rPr>
                <w:rFonts w:ascii="Times New Roman" w:hAnsi="Times New Roman" w:eastAsia="Times New Roman" w:cs="Times New Roman"/>
                <w:b w:val="true"/>
                <w:i w:val="false"/>
                <w:sz w:val="24"/>
                <w:szCs w:val="24"/>
                <w:u w:val="none"/>
              </w:rPr>
              <w:t xml:space="preserve">Loại</w:t>
            </w:r>
          </w:p>
        </w:tc>
        <w:tc>
          <w:tcPr>
            <w:tcW w:w="2891" w:type="dxa"/>
          </w:tcPr>
          <w:p>
            <w:r>
              <w:rPr>
                <w:rFonts w:ascii="Times New Roman" w:hAnsi="Times New Roman" w:eastAsia="Times New Roman" w:cs="Times New Roman"/>
                <w:b w:val="true"/>
                <w:i w:val="false"/>
                <w:sz w:val="24"/>
                <w:szCs w:val="24"/>
                <w:u w:val="none"/>
              </w:rPr>
              <w:t xml:space="preserve">Sản phẩm, dịch vụ</w:t>
            </w:r>
          </w:p>
        </w:tc>
        <w:tc>
          <w:tcPr>
            <w:tcW w:w="626" w:type="dxa"/>
          </w:tcPr>
          <w:p>
            <w:r>
              <w:rPr>
                <w:rFonts w:ascii="Times New Roman" w:hAnsi="Times New Roman" w:eastAsia="Times New Roman" w:cs="Times New Roman"/>
                <w:b w:val="true"/>
                <w:i w:val="false"/>
                <w:sz w:val="24"/>
                <w:szCs w:val="24"/>
                <w:u w:val="none"/>
              </w:rPr>
              <w:t xml:space="preserve">SL</w:t>
            </w:r>
          </w:p>
        </w:tc>
        <w:tc>
          <w:tcPr>
            <w:tcW w:w="1252" w:type="dxa"/>
          </w:tcPr>
          <w:p>
            <w:r>
              <w:rPr>
                <w:rFonts w:ascii="Times New Roman" w:hAnsi="Times New Roman" w:eastAsia="Times New Roman" w:cs="Times New Roman"/>
                <w:b w:val="true"/>
                <w:i w:val="false"/>
                <w:sz w:val="24"/>
                <w:szCs w:val="24"/>
                <w:u w:val="none"/>
              </w:rPr>
              <w:t xml:space="preserve">Đơn giá</w:t>
            </w:r>
          </w:p>
        </w:tc>
        <w:tc>
          <w:tcPr>
            <w:tcW w:w="867" w:type="dxa"/>
          </w:tcPr>
          <w:p>
            <w:r>
              <w:rPr>
                <w:rFonts w:ascii="Times New Roman" w:hAnsi="Times New Roman" w:eastAsia="Times New Roman" w:cs="Times New Roman"/>
                <w:b w:val="true"/>
                <w:i w:val="false"/>
                <w:sz w:val="24"/>
                <w:szCs w:val="24"/>
                <w:u w:val="none"/>
              </w:rPr>
              <w:t xml:space="preserve">CK</w:t>
            </w:r>
          </w:p>
        </w:tc>
        <w:tc>
          <w:tcPr>
            <w:tcW w:w="745" w:type="dxa"/>
          </w:tcPr>
          <w:p>
            <w:r>
              <w:rPr>
                <w:rFonts w:ascii="Times New Roman" w:hAnsi="Times New Roman" w:eastAsia="Times New Roman" w:cs="Times New Roman"/>
                <w:b w:val="true"/>
                <w:i w:val="false"/>
                <w:sz w:val="24"/>
                <w:szCs w:val="24"/>
                <w:u w:val="none"/>
              </w:rPr>
              <w:t xml:space="preserve">VAT</w:t>
            </w:r>
          </w:p>
        </w:tc>
        <w:tc>
          <w:tcPr>
            <w:tcW w:w="1811" w:type="dxa"/>
          </w:tcPr>
          <w:p>
            <w:r>
              <w:rPr>
                <w:rFonts w:ascii="Times New Roman" w:hAnsi="Times New Roman" w:eastAsia="Times New Roman" w:cs="Times New Roman"/>
                <w:b w:val="true"/>
                <w:i w:val="false"/>
                <w:sz w:val="24"/>
                <w:szCs w:val="24"/>
                <w:u w:val="none"/>
              </w:rPr>
              <w:t xml:space="preserve">Thành tiền</w:t>
            </w:r>
          </w:p>
        </w:tc>
      </w:tr>
      <w:tr>
        <w:tc>
          <w:tcPr>
            <w:tcW w:w="734" w:type="dxa"/>
          </w:tcPr>
          <w:p>
            <w:r>
              <w:rPr>
                <w:rFonts w:ascii="Times New Roman" w:hAnsi="Times New Roman" w:eastAsia="Times New Roman" w:cs="Times New Roman"/>
                <w:b w:val="false"/>
                <w:i w:val="false"/>
                <w:sz w:val="24"/>
                <w:szCs w:val="24"/>
                <w:u w:val="none"/>
              </w:rPr>
              <w:t xml:space="preserve">1</w:t>
            </w:r>
          </w:p>
        </w:tc>
        <w:tc>
          <w:tcPr>
            <w:tcW w:w="711" w:type="dxa"/>
          </w:tcPr>
          <w:p>
            <w:r>
              <w:rPr>
                <w:rFonts w:ascii="Times New Roman" w:hAnsi="Times New Roman" w:eastAsia="Times New Roman" w:cs="Times New Roman"/>
                <w:b w:val="false"/>
                <w:i w:val="false"/>
                <w:sz w:val="24"/>
                <w:szCs w:val="24"/>
                <w:u w:val="none"/>
              </w:rPr>
              <w:t xml:space="preserve">Sản phẩm</w:t>
            </w:r>
          </w:p>
        </w:tc>
        <w:tc>
          <w:tcPr>
            <w:tcW w:w="2891" w:type="dxa"/>
          </w:tcPr>
          <w:p>
            <w:r>
              <w:rPr>
                <w:rFonts w:ascii="Times New Roman" w:hAnsi="Times New Roman" w:eastAsia="Times New Roman" w:cs="Times New Roman"/>
                <w:b w:val="false"/>
                <w:i w:val="false"/>
                <w:sz w:val="24"/>
                <w:szCs w:val="24"/>
                <w:u w:val="none"/>
              </w:rPr>
              <w:t xml:space="preserve">Nền tảng quản trị hợp đồng doanh nghiệp phiên bản mẫu với bộ quy trình phê duyệt đa cấp, nhật ký kiểm toán và thư viện biểu mẫu mở rộng</w:t>
            </w:r>
          </w:p>
        </w:tc>
        <w:tc>
          <w:tcPr>
            <w:tcW w:w="626" w:type="dxa"/>
          </w:tcPr>
          <w:p>
            <w:r>
              <w:rPr>
                <w:rFonts w:ascii="Times New Roman" w:hAnsi="Times New Roman" w:eastAsia="Times New Roman" w:cs="Times New Roman"/>
                <w:b w:val="false"/>
                <w:i w:val="false"/>
                <w:sz w:val="24"/>
                <w:szCs w:val="24"/>
                <w:u w:val="none"/>
              </w:rPr>
              <w:t xml:space="preserve">3</w:t>
            </w:r>
          </w:p>
        </w:tc>
        <w:tc>
          <w:tcPr>
            <w:tcW w:w="1252" w:type="dxa"/>
          </w:tcPr>
          <w:p>
            <w:r>
              <w:rPr>
                <w:rFonts w:ascii="Times New Roman" w:hAnsi="Times New Roman" w:eastAsia="Times New Roman" w:cs="Times New Roman"/>
                <w:b w:val="false"/>
                <w:i w:val="false"/>
                <w:sz w:val="24"/>
                <w:szCs w:val="24"/>
                <w:u w:val="none"/>
              </w:rPr>
              <w:t xml:space="preserve">12.500.000 VND</w:t>
            </w:r>
          </w:p>
        </w:tc>
        <w:tc>
          <w:tcPr>
            <w:tcW w:w="867" w:type="dxa"/>
          </w:tcPr>
          <w:p>
            <w:r>
              <w:rPr>
                <w:rFonts w:ascii="Times New Roman" w:hAnsi="Times New Roman" w:eastAsia="Times New Roman" w:cs="Times New Roman"/>
                <w:b w:val="false"/>
                <w:i w:val="false"/>
                <w:sz w:val="24"/>
                <w:szCs w:val="24"/>
                <w:u w:val="none"/>
              </w:rPr>
              <w:t xml:space="preserve">5%</w:t>
            </w:r>
          </w:p>
        </w:tc>
        <w:tc>
          <w:tcPr>
            <w:tcW w:w="745" w:type="dxa"/>
          </w:tcPr>
          <w:p>
            <w:r>
              <w:rPr>
                <w:rFonts w:ascii="Times New Roman" w:hAnsi="Times New Roman" w:eastAsia="Times New Roman" w:cs="Times New Roman"/>
                <w:b w:val="false"/>
                <w:i w:val="false"/>
                <w:sz w:val="24"/>
                <w:szCs w:val="24"/>
                <w:u w:val="none"/>
              </w:rPr>
              <w:t xml:space="preserve">10%</w:t>
            </w:r>
          </w:p>
        </w:tc>
        <w:tc>
          <w:tcPr>
            <w:tcW w:w="1811" w:type="dxa"/>
          </w:tcPr>
          <w:p>
            <w:r>
              <w:rPr>
                <w:rFonts w:ascii="Times New Roman" w:hAnsi="Times New Roman" w:eastAsia="Times New Roman" w:cs="Times New Roman"/>
                <w:b w:val="false"/>
                <w:i w:val="false"/>
                <w:sz w:val="24"/>
                <w:szCs w:val="24"/>
                <w:u w:val="none"/>
              </w:rPr>
              <w:t xml:space="preserve">39.187.500 VND</w:t>
            </w:r>
          </w:p>
        </w:tc>
      </w:tr>
      <w:tr>
        <w:tc>
          <w:tcPr>
            <w:tcW w:w="734" w:type="dxa"/>
          </w:tcPr>
          <w:p>
            <w:r>
              <w:rPr>
                <w:rFonts w:ascii="Times New Roman" w:hAnsi="Times New Roman" w:eastAsia="Times New Roman" w:cs="Times New Roman"/>
                <w:b w:val="false"/>
                <w:i w:val="false"/>
                <w:sz w:val="24"/>
                <w:szCs w:val="24"/>
                <w:u w:val="none"/>
              </w:rPr>
              <w:t xml:space="preserve">2</w:t>
            </w:r>
          </w:p>
        </w:tc>
        <w:tc>
          <w:tcPr>
            <w:tcW w:w="711" w:type="dxa"/>
          </w:tcPr>
          <w:p>
            <w:r>
              <w:rPr>
                <w:rFonts w:ascii="Times New Roman" w:hAnsi="Times New Roman" w:eastAsia="Times New Roman" w:cs="Times New Roman"/>
                <w:b w:val="false"/>
                <w:i w:val="false"/>
                <w:sz w:val="24"/>
                <w:szCs w:val="24"/>
                <w:u w:val="none"/>
              </w:rPr>
              <w:t xml:space="preserve">Dịch vụ</w:t>
            </w:r>
          </w:p>
        </w:tc>
        <w:tc>
          <w:tcPr>
            <w:tcW w:w="2891" w:type="dxa"/>
          </w:tcPr>
          <w:p>
            <w:r>
              <w:rPr>
                <w:rFonts w:ascii="Times New Roman" w:hAnsi="Times New Roman" w:eastAsia="Times New Roman" w:cs="Times New Roman"/>
                <w:b w:val="false"/>
                <w:i w:val="false"/>
                <w:sz w:val="24"/>
                <w:szCs w:val="24"/>
                <w:u w:val="none"/>
              </w:rPr>
              <w:t xml:space="preserve">Dịch vụ triển khai, cấu hình và hỗ trợ vận hành từ xa cho hệ thống mẫu trong 12 tháng, bao gồm đào tạo người dùng chủ chốt</w:t>
            </w:r>
          </w:p>
        </w:tc>
        <w:tc>
          <w:tcPr>
            <w:tcW w:w="626" w:type="dxa"/>
          </w:tcPr>
          <w:p>
            <w:r>
              <w:rPr>
                <w:rFonts w:ascii="Times New Roman" w:hAnsi="Times New Roman" w:eastAsia="Times New Roman" w:cs="Times New Roman"/>
                <w:b w:val="false"/>
                <w:i w:val="false"/>
                <w:sz w:val="24"/>
                <w:szCs w:val="24"/>
                <w:u w:val="none"/>
              </w:rPr>
              <w:t xml:space="preserve">12</w:t>
            </w:r>
          </w:p>
        </w:tc>
        <w:tc>
          <w:tcPr>
            <w:tcW w:w="1252" w:type="dxa"/>
          </w:tcPr>
          <w:p>
            <w:r>
              <w:rPr>
                <w:rFonts w:ascii="Times New Roman" w:hAnsi="Times New Roman" w:eastAsia="Times New Roman" w:cs="Times New Roman"/>
                <w:b w:val="false"/>
                <w:i w:val="false"/>
                <w:sz w:val="24"/>
                <w:szCs w:val="24"/>
                <w:u w:val="none"/>
              </w:rPr>
              <w:t xml:space="preserve">2.500.000 VND</w:t>
            </w:r>
          </w:p>
        </w:tc>
        <w:tc>
          <w:tcPr>
            <w:tcW w:w="867" w:type="dxa"/>
          </w:tcPr>
          <w:p>
            <w:r>
              <w:rPr>
                <w:rFonts w:ascii="Times New Roman" w:hAnsi="Times New Roman" w:eastAsia="Times New Roman" w:cs="Times New Roman"/>
                <w:b w:val="false"/>
                <w:i w:val="false"/>
                <w:sz w:val="24"/>
                <w:szCs w:val="24"/>
                <w:u w:val="none"/>
              </w:rPr>
              <w:t xml:space="preserve">0%</w:t>
            </w:r>
          </w:p>
        </w:tc>
        <w:tc>
          <w:tcPr>
            <w:tcW w:w="745" w:type="dxa"/>
          </w:tcPr>
          <w:p>
            <w:r>
              <w:rPr>
                <w:rFonts w:ascii="Times New Roman" w:hAnsi="Times New Roman" w:eastAsia="Times New Roman" w:cs="Times New Roman"/>
                <w:b w:val="false"/>
                <w:i w:val="false"/>
                <w:sz w:val="24"/>
                <w:szCs w:val="24"/>
                <w:u w:val="none"/>
              </w:rPr>
              <w:t xml:space="preserve">10%</w:t>
            </w:r>
          </w:p>
        </w:tc>
        <w:tc>
          <w:tcPr>
            <w:tcW w:w="1811" w:type="dxa"/>
          </w:tcPr>
          <w:p>
            <w:r>
              <w:rPr>
                <w:rFonts w:ascii="Times New Roman" w:hAnsi="Times New Roman" w:eastAsia="Times New Roman" w:cs="Times New Roman"/>
                <w:b w:val="false"/>
                <w:i w:val="false"/>
                <w:sz w:val="24"/>
                <w:szCs w:val="24"/>
                <w:u w:val="none"/>
              </w:rPr>
              <w:t xml:space="preserve">33.000.000 VND</w:t>
            </w:r>
          </w:p>
        </w:tc>
      </w:tr>
      <w:tr>
        <w:tc>
          <w:tcPr>
            <w:tcW w:w="734" w:type="dxa"/>
          </w:tcPr>
          <w:p>
            <w:r>
              <w:rPr>
                <w:rFonts w:ascii="Times New Roman" w:hAnsi="Times New Roman" w:eastAsia="Times New Roman" w:cs="Times New Roman"/>
                <w:b w:val="false"/>
                <w:i w:val="false"/>
                <w:sz w:val="24"/>
                <w:szCs w:val="24"/>
                <w:u w:val="none"/>
              </w:rPr>
              <w:t xml:space="preserve"/>
            </w:r>
          </w:p>
        </w:tc>
        <w:tc>
          <w:tcPr>
            <w:tcW w:w="711" w:type="dxa"/>
          </w:tcPr>
          <w:p>
            <w:r>
              <w:rPr>
                <w:rFonts w:ascii="Times New Roman" w:hAnsi="Times New Roman" w:eastAsia="Times New Roman" w:cs="Times New Roman"/>
                <w:b w:val="false"/>
                <w:i w:val="false"/>
                <w:sz w:val="24"/>
                <w:szCs w:val="24"/>
                <w:u w:val="none"/>
              </w:rPr>
              <w:t xml:space="preserve"/>
            </w:r>
          </w:p>
        </w:tc>
        <w:tc>
          <w:tcPr>
            <w:tcW w:w="2891" w:type="dxa"/>
          </w:tcPr>
          <w:p>
            <w:r>
              <w:rPr>
                <w:rFonts w:ascii="Times New Roman" w:hAnsi="Times New Roman" w:eastAsia="Times New Roman" w:cs="Times New Roman"/>
                <w:b w:val="false"/>
                <w:i w:val="false"/>
                <w:sz w:val="24"/>
                <w:szCs w:val="24"/>
                <w:u w:val="none"/>
              </w:rPr>
              <w:t xml:space="preserve">DỮ LIỆU MẪU — KHÔNG CÓ GIÁ TRỊ PHÁP LÝ</w:t>
            </w:r>
          </w:p>
        </w:tc>
        <w:tc>
          <w:tcPr>
            <w:tcW w:w="626" w:type="dxa"/>
          </w:tcPr>
          <w:p>
            <w:r>
              <w:rPr>
                <w:rFonts w:ascii="Times New Roman" w:hAnsi="Times New Roman" w:eastAsia="Times New Roman" w:cs="Times New Roman"/>
                <w:b w:val="false"/>
                <w:i w:val="false"/>
                <w:sz w:val="24"/>
                <w:szCs w:val="24"/>
                <w:u w:val="none"/>
              </w:rPr>
              <w:t xml:space="preserve"/>
            </w:r>
          </w:p>
        </w:tc>
        <w:tc>
          <w:tcPr>
            <w:tcW w:w="1252"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745" w:type="dxa"/>
          </w:tcPr>
          <w:p>
            <w:r>
              <w:rPr>
                <w:rFonts w:ascii="Times New Roman" w:hAnsi="Times New Roman" w:eastAsia="Times New Roman" w:cs="Times New Roman"/>
                <w:b w:val="false"/>
                <w:i w:val="false"/>
                <w:sz w:val="24"/>
                <w:szCs w:val="24"/>
                <w:u w:val="none"/>
              </w:rPr>
              <w:t xml:space="preserve">TỔNG CỘNG</w:t>
            </w:r>
          </w:p>
        </w:tc>
        <w:tc>
          <w:tcPr>
            <w:tcW w:w="1811" w:type="dxa"/>
          </w:tcPr>
          <w:p>
            <w:r>
              <w:rPr>
                <w:rFonts w:ascii="Times New Roman" w:hAnsi="Times New Roman" w:eastAsia="Times New Roman" w:cs="Times New Roman"/>
                <w:b w:val="false"/>
                <w:i w:val="false"/>
                <w:sz w:val="24"/>
                <w:szCs w:val="24"/>
                <w:u w:val="none"/>
              </w:rPr>
              <w:t xml:space="preserve">72.187.500 VND</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lastRenderedPageBreak/>
        <w:t>ĐIỀU KHOẢN HỢP ĐỒNG</w:t>
      </w:r>
    </w:p>
    <w:p>
      <w:r>
        <w:rPr>
          <w:b w:val="true"/>
          <w:i w:val="false"/>
          <w:sz w:val="24"/>
          <w:szCs w:val="24"/>
          <w:u w:val="none"/>
          <w:rFonts w:ascii="Times New Roman" w:hAnsi="Times New Roman" w:cs="Times New Roman"/>
        </w:rPr>
        <w:t xml:space="preserve">DỮ LIỆU MẪU — KHÔNG CÓ GIÁ TRỊ PHÁP LÝ</w:t>
      </w:r>
    </w:p>
    <w:p>
      <w:r>
        <w:rPr>
          <w:b w:val="true"/>
          <w:i w:val="false"/>
          <w:sz w:val="24"/>
          <w:szCs w:val="24"/>
          <w:u w:val="none"/>
          <w:rFonts w:ascii="Times New Roman" w:hAnsi="Times New Roman" w:cs="Times New Roman"/>
        </w:rPr>
        <w:t xml:space="preserve">Điều 1. Thanh toán</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876"/>
        <w:gridCol w:w="1028"/>
        <w:gridCol w:w="2538"/>
        <w:gridCol w:w="943"/>
        <w:gridCol w:w="4252"/>
      </w:tblGrid>
      <w:tr>
        <w:tc>
          <w:tcPr>
            <w:tcW w:w="876" w:type="dxa"/>
          </w:tcPr>
          <w:p>
            <w:pPr>
              <w:jc w:val="center"/>
            </w:pPr>
            <w:r>
              <w:rPr>
                <w:rFonts w:ascii="Times New Roman" w:hAnsi="Times New Roman" w:eastAsia="Times New Roman" w:cs="Times New Roman"/>
                <w:b w:val="true"/>
                <w:i w:val="false"/>
                <w:sz w:val="24"/>
                <w:szCs w:val="24"/>
                <w:u w:val="none"/>
              </w:rPr>
              <w:t xml:space="preserve">Đợt</w:t>
            </w:r>
          </w:p>
        </w:tc>
        <w:tc>
          <w:tcPr>
            <w:tcW w:w="1028" w:type="dxa"/>
          </w:tcPr>
          <w:p>
            <w:pPr>
              <w:jc w:val="center"/>
            </w:pPr>
            <w:r>
              <w:rPr>
                <w:rFonts w:ascii="Times New Roman" w:hAnsi="Times New Roman" w:eastAsia="Times New Roman" w:cs="Times New Roman"/>
                <w:b w:val="true"/>
                <w:i w:val="false"/>
                <w:sz w:val="24"/>
                <w:szCs w:val="24"/>
                <w:u w:val="none"/>
              </w:rPr>
              <w:t xml:space="preserve">Tỷ lệ</w:t>
            </w:r>
          </w:p>
        </w:tc>
        <w:tc>
          <w:tcPr>
            <w:tcW w:w="2538" w:type="dxa"/>
          </w:tcPr>
          <w:p>
            <w:pPr>
              <w:jc w:val="center"/>
            </w:pPr>
            <w:r>
              <w:rPr>
                <w:rFonts w:ascii="Times New Roman" w:hAnsi="Times New Roman" w:eastAsia="Times New Roman" w:cs="Times New Roman"/>
                <w:b w:val="true"/>
                <w:i w:val="false"/>
                <w:sz w:val="24"/>
                <w:szCs w:val="24"/>
                <w:u w:val="none"/>
              </w:rPr>
              <w:t xml:space="preserve">Thời hạn thanh toán</w:t>
            </w:r>
          </w:p>
        </w:tc>
        <w:tc>
          <w:tcPr>
            <w:tcW w:w="943" w:type="dxa"/>
          </w:tcPr>
          <w:p>
            <w:pPr>
              <w:jc w:val="center"/>
            </w:pPr>
            <w:r>
              <w:rPr>
                <w:rFonts w:ascii="Times New Roman" w:hAnsi="Times New Roman" w:eastAsia="Times New Roman" w:cs="Times New Roman"/>
                <w:b w:val="true"/>
                <w:i w:val="false"/>
                <w:sz w:val="24"/>
                <w:szCs w:val="24"/>
                <w:u w:val="none"/>
              </w:rPr>
              <w:t xml:space="preserve">Thành tiền (VND)</w:t>
            </w:r>
          </w:p>
        </w:tc>
        <w:tc>
          <w:tcPr>
            <w:tcW w:w="4252" w:type="dxa"/>
          </w:tcPr>
          <w:p>
            <w:pPr>
              <w:jc w:val="center"/>
            </w:pPr>
            <w:r>
              <w:rPr>
                <w:rFonts w:ascii="Times New Roman" w:hAnsi="Times New Roman" w:eastAsia="Times New Roman" w:cs="Times New Roman"/>
                <w:b w:val="true"/>
                <w:i w:val="false"/>
                <w:sz w:val="24"/>
                <w:szCs w:val="24"/>
                <w:u w:val="none"/>
              </w:rPr>
              <w:t xml:space="preserve">Hồ sơ thanh toán</w:t>
            </w:r>
          </w:p>
        </w:tc>
      </w:tr>
      <w:tr>
        <w:tc>
          <w:tcPr>
            <w:tcW w:w="876" w:type="dxa"/>
          </w:tcPr>
          <w:p>
            <w:r>
              <w:rPr>
                <w:rFonts w:ascii="Times New Roman" w:hAnsi="Times New Roman" w:eastAsia="Times New Roman" w:cs="Times New Roman"/>
                <w:b w:val="false"/>
                <w:i w:val="false"/>
                <w:sz w:val="24"/>
                <w:szCs w:val="24"/>
                <w:u w:val="none"/>
              </w:rPr>
              <w:t xml:space="preserve">1.</w:t>
            </w:r>
          </w:p>
        </w:tc>
        <w:tc>
          <w:tcPr>
            <w:tcW w:w="1028" w:type="dxa"/>
          </w:tcPr>
          <w:p>
            <w:r>
              <w:rPr>
                <w:rFonts w:ascii="Times New Roman" w:hAnsi="Times New Roman" w:eastAsia="Times New Roman" w:cs="Times New Roman"/>
                <w:b w:val="false"/>
                <w:i w:val="false"/>
                <w:sz w:val="24"/>
                <w:szCs w:val="24"/>
                <w:u w:val="none"/>
              </w:rPr>
              <w:t xml:space="preserve">40%</w:t>
            </w:r>
          </w:p>
        </w:tc>
        <w:tc>
          <w:tcPr>
            <w:tcW w:w="2538" w:type="dxa"/>
          </w:tcPr>
          <w:p>
            <w:r>
              <w:rPr>
                <w:rFonts w:ascii="Times New Roman" w:hAnsi="Times New Roman" w:eastAsia="Times New Roman" w:cs="Times New Roman"/>
                <w:b w:val="false"/>
                <w:i w:val="false"/>
                <w:sz w:val="24"/>
                <w:szCs w:val="24"/>
                <w:u w:val="none"/>
              </w:rPr>
              <w:t xml:space="preserve">Trong vòng 05 ngày làm việc kể khi ký kết Hợp đồng.</w:t>
            </w:r>
          </w:p>
        </w:tc>
        <w:tc>
          <w:tcPr>
            <w:tcW w:w="943" w:type="dxa"/>
          </w:tcPr>
          <w:p/>
        </w:tc>
        <w:tc>
          <w:tcPr>
            <w:tcW w:w="4252" w:type="dxa"/>
          </w:tcPr>
          <w:p>
            <w:r>
              <w:rPr>
                <w:rFonts w:ascii="Times New Roman" w:hAnsi="Times New Roman" w:eastAsia="Times New Roman" w:cs="Times New Roman"/>
                <w:b w:val="false"/>
                <w:i w:val="false"/>
                <w:sz w:val="24"/>
                <w:szCs w:val="24"/>
                <w:u w:val="none"/>
              </w:rPr>
              <w:t xml:space="preserve">Đề nghị thanh toán.</w:t>
            </w:r>
          </w:p>
        </w:tc>
      </w:tr>
      <w:tr>
        <w:tc>
          <w:tcPr>
            <w:tcW w:w="876" w:type="dxa"/>
          </w:tcPr>
          <w:p>
            <w:r>
              <w:rPr>
                <w:rFonts w:ascii="Times New Roman" w:hAnsi="Times New Roman" w:eastAsia="Times New Roman" w:cs="Times New Roman"/>
                <w:b w:val="false"/>
                <w:i w:val="false"/>
                <w:sz w:val="24"/>
                <w:szCs w:val="24"/>
                <w:u w:val="none"/>
              </w:rPr>
              <w:t xml:space="preserve">2.</w:t>
            </w:r>
          </w:p>
        </w:tc>
        <w:tc>
          <w:tcPr>
            <w:tcW w:w="1028" w:type="dxa"/>
          </w:tcPr>
          <w:p>
            <w:r>
              <w:rPr>
                <w:rFonts w:ascii="Times New Roman" w:hAnsi="Times New Roman" w:eastAsia="Times New Roman" w:cs="Times New Roman"/>
                <w:b w:val="false"/>
                <w:i w:val="false"/>
                <w:sz w:val="24"/>
                <w:szCs w:val="24"/>
                <w:u w:val="none"/>
              </w:rPr>
              <w:t xml:space="preserve">30%</w:t>
            </w:r>
          </w:p>
        </w:tc>
        <w:tc>
          <w:tcPr>
            <w:tcW w:w="2538" w:type="dxa"/>
          </w:tcPr>
          <w:p>
            <w:r>
              <w:rPr>
                <w:rFonts w:ascii="Times New Roman" w:hAnsi="Times New Roman" w:eastAsia="Times New Roman" w:cs="Times New Roman"/>
                <w:b w:val="false"/>
                <w:i w:val="false"/>
                <w:sz w:val="24"/>
                <w:szCs w:val="24"/>
                <w:u w:val="none"/>
              </w:rPr>
              <w:t xml:space="preserve">Trong vòng 05 ngày làm việc kể từ ngày ký Biên Bản Giao Nhận Phần Cứng.</w:t>
            </w:r>
          </w:p>
        </w:tc>
        <w:tc>
          <w:tcPr>
            <w:tcW w:w="943" w:type="dxa"/>
          </w:tcPr>
          <w:p/>
        </w:tc>
        <w:tc>
          <w:tcPr>
            <w:tcW w:w="4252" w:type="dxa"/>
          </w:tcPr>
          <w:p>
            <w:r>
              <w:rPr>
                <w:rFonts w:ascii="Times New Roman" w:hAnsi="Times New Roman" w:eastAsia="Times New Roman" w:cs="Times New Roman"/>
                <w:b w:val="false"/>
                <w:i w:val="false"/>
                <w:sz w:val="24"/>
                <w:szCs w:val="24"/>
                <w:u w:val="none"/>
              </w:rPr>
              <w:t xml:space="preserve">Yêu cầu thanh toán; Biên bản giao nhận Phần Cứng.</w:t>
            </w:r>
          </w:p>
        </w:tc>
      </w:tr>
      <w:tr>
        <w:tc>
          <w:tcPr>
            <w:tcW w:w="876" w:type="dxa"/>
          </w:tcPr>
          <w:p>
            <w:r>
              <w:rPr>
                <w:rFonts w:ascii="Times New Roman" w:hAnsi="Times New Roman" w:eastAsia="Times New Roman" w:cs="Times New Roman"/>
                <w:b w:val="false"/>
                <w:i w:val="false"/>
                <w:sz w:val="24"/>
                <w:szCs w:val="24"/>
                <w:u w:val="none"/>
              </w:rPr>
              <w:t xml:space="preserve">3.</w:t>
            </w:r>
          </w:p>
        </w:tc>
        <w:tc>
          <w:tcPr>
            <w:tcW w:w="1028" w:type="dxa"/>
          </w:tcPr>
          <w:p>
            <w:r>
              <w:rPr>
                <w:rFonts w:ascii="Times New Roman" w:hAnsi="Times New Roman" w:eastAsia="Times New Roman" w:cs="Times New Roman"/>
                <w:b w:val="false"/>
                <w:i w:val="false"/>
                <w:sz w:val="24"/>
                <w:szCs w:val="24"/>
                <w:u w:val="none"/>
              </w:rPr>
              <w:t xml:space="preserve">30%</w:t>
            </w:r>
          </w:p>
        </w:tc>
        <w:tc>
          <w:tcPr>
            <w:tcW w:w="2538" w:type="dxa"/>
          </w:tcPr>
          <w:p>
            <w:r>
              <w:rPr>
                <w:rFonts w:ascii="Times New Roman" w:hAnsi="Times New Roman" w:eastAsia="Times New Roman" w:cs="Times New Roman"/>
                <w:b w:val="false"/>
                <w:i w:val="false"/>
                <w:sz w:val="24"/>
                <w:szCs w:val="24"/>
                <w:u w:val="none"/>
              </w:rPr>
              <w:t xml:space="preserve">Trong vòng 05 ngày làm việc kể từ ngày ký Biên Bản Nghiệm Thu.</w:t>
            </w:r>
          </w:p>
        </w:tc>
        <w:tc>
          <w:tcPr>
            <w:tcW w:w="943" w:type="dxa"/>
          </w:tcPr>
          <w:p/>
        </w:tc>
        <w:tc>
          <w:tcPr>
            <w:tcW w:w="4252" w:type="dxa"/>
          </w:tcPr>
          <w:p>
            <w:r>
              <w:rPr>
                <w:rFonts w:ascii="Times New Roman" w:hAnsi="Times New Roman" w:eastAsia="Times New Roman" w:cs="Times New Roman"/>
                <w:b w:val="false"/>
                <w:i w:val="false"/>
                <w:sz w:val="24"/>
                <w:szCs w:val="24"/>
                <w:u w:val="none"/>
              </w:rPr>
              <w:t xml:space="preserve">Yêu cầu thanh toán; Hóa đơn GTGT; Biên bản nghiệm thu toàn bộ; Danh sách huấn luyện; Hướng dẫn sử dụng.</w:t>
            </w:r>
          </w:p>
        </w:tc>
      </w:tr>
      <w:tr>
        <w:tc>
          <w:tcPr>
            <w:tcW w:w="4442" w:type="dxa"/>
            <w:gridSpan w:val="3"/>
          </w:tcPr>
          <w:p>
            <w:pPr>
              <w:jc w:val="right"/>
            </w:pPr>
            <w:r>
              <w:rPr>
                <w:rFonts w:ascii="Times New Roman" w:hAnsi="Times New Roman" w:eastAsia="Times New Roman" w:cs="Times New Roman"/>
                <w:b w:val="false"/>
                <w:i w:val="false"/>
                <w:sz w:val="24"/>
                <w:szCs w:val="24"/>
                <w:u w:val="none"/>
              </w:rPr>
              <w:t xml:space="preserve">Tổng cộng (đã bao gồm 10% thuế GTGT)</w:t>
            </w:r>
          </w:p>
        </w:tc>
        <w:tc>
          <w:tcPr>
            <w:tcW w:w="943" w:type="dxa"/>
          </w:tcPr>
          <w:p/>
        </w:tc>
        <w:tc>
          <w:tcPr>
            <w:tcW w:w="4252" w:type="dxa"/>
          </w:tcPr>
          <w:p/>
        </w:tc>
      </w:tr>
    </w:tbl>
    <w:p/>
    <w:p>
      <w:r>
        <w:rPr>
          <w:b w:val="true"/>
          <w:i w:val="false"/>
          <w:sz w:val="24"/>
          <w:szCs w:val="24"/>
          <w:u w:val="none"/>
          <w:rFonts w:ascii="Times New Roman" w:hAnsi="Times New Roman" w:cs="Times New Roman"/>
        </w:rPr>
        <w:t xml:space="preserve">Điều 2. Trách nhiệm và Nghĩa vụ của Bên B</w:t>
      </w:r>
    </w:p>
    <w:p>
      <w:r>
        <w:rPr>
          <w:b w:val="false"/>
          <w:i w:val="false"/>
          <w:sz w:val="24"/>
          <w:szCs w:val="24"/>
          <w:u w:val="none"/>
          <w:rFonts w:ascii="Times New Roman" w:hAnsi="Times New Roman" w:cs="Times New Roman"/>
        </w:rPr>
        <w:t xml:space="preserve">Bên B chịu trách nhiệm triển khai cài đặt và cấu hình hệ thống phần mềm quản lý và kiểm soát cân điện tử Mắt Thần đúng thời hạn và đáp ứng đầy đủ các tiêu chuẩn kỹ thuật tính năng đã được hai bên thống nhất. Bên B phải cung cấp đầy đủ tài liệu hướng dẫn sử dụng chi tiết và tổ chức các buổi đào tạo trực tiếp cho đội ngũ nhân viên vận hành của Bên A đảm bảo nhân sự của Bên A có thể tiếp nhận và sử dụng thành thạo toàn bộ hệ thống. Bên B cam kết đội ngũ kỹ thuật viên tham gia dự án có đủ năng lực chuyên môn và phải tuân thủ tuyệt đối các quy định về an ninh an toàn lao động cũng như nội quy nhà máy khi làm việc tại khu vực trạm cân của Bên A.</w:t>
      </w:r>
    </w:p>
    <w:p>
      <w:r>
        <w:rPr>
          <w:b w:val="true"/>
          <w:i w:val="false"/>
          <w:sz w:val="24"/>
          <w:szCs w:val="24"/>
          <w:u w:val="none"/>
          <w:rFonts w:ascii="Times New Roman" w:hAnsi="Times New Roman" w:cs="Times New Roman"/>
        </w:rPr>
        <w:t xml:space="preserve">Điều 3. Trách nhiệm và Nghĩa vụ của Bên A</w:t>
      </w:r>
    </w:p>
    <w:p>
      <w:r>
        <w:rPr>
          <w:b w:val="false"/>
          <w:i w:val="false"/>
          <w:sz w:val="24"/>
          <w:szCs w:val="24"/>
          <w:u w:val="none"/>
          <w:rFonts w:ascii="Times New Roman" w:hAnsi="Times New Roman" w:cs="Times New Roman"/>
        </w:rPr>
        <w:t xml:space="preserve">Bên A có trách nhiệm cử cán bộ chuyên trách phối hợp chặt chẽ với Bên B trong suốt quá trình khảo sát thực tế cung cấp số liệu quy trình cài đặt và vận hành thử nghiệm hệ thống. Bên A phải chuẩn bị sẵn sàng mặt bằng hệ thống nguồn điện hạ tầng mạng internet và các thiết bị phần cứng liên quan bao gồm máy tính máy in đầu cân điện tử đảm bảo tiêu chuẩn kỹ thuật để Bên B tiến hành triển khai phần mềm. Bất kỳ sự chậm trễ nào trong khâu chuẩn bị hạ tầng thiết bị từ phía Bên A dẫn đến việc kéo dài thời gian hoàn thành dự án sẽ không thuộc phạm vi trách nhiệm của Bên B.</w:t>
      </w:r>
    </w:p>
    <w:p>
      <w:r>
        <w:rPr>
          <w:b w:val="true"/>
          <w:i w:val="false"/>
          <w:sz w:val="24"/>
          <w:szCs w:val="24"/>
          <w:u w:val="none"/>
          <w:rFonts w:ascii="Times New Roman" w:hAnsi="Times New Roman" w:cs="Times New Roman"/>
        </w:rPr>
        <w:t xml:space="preserve">Điều 4. Điều khoản Bảo hành và Khắc phục sự cố</w:t>
      </w:r>
    </w:p>
    <w:p>
      <w:r>
        <w:rPr>
          <w:b w:val="false"/>
          <w:i w:val="false"/>
          <w:sz w:val="24"/>
          <w:szCs w:val="24"/>
          <w:u w:val="none"/>
          <w:rFonts w:ascii="Times New Roman" w:hAnsi="Times New Roman" w:cs="Times New Roman"/>
        </w:rPr>
        <w:t xml:space="preserve">Toàn bộ hệ thống phần mềm được bảo hành miễn phí trong thời hạn mười hai tháng tính từ ngày hai bên chính thức ký kết biên bản nghiệm thu bàn giao và đưa hệ thống vào vận hành thực tế. Trong khoảng thời gian này nếu hệ thống phát sinh lỗi kỹ thuật do sai sót trong quá trình thiết kế hoặc lập trình từ phía Bên B chuyên viên kỹ thuật của Bên B phải tiến hành kiểm tra và khắc phục sự cố qua hình thức hỗ trợ trực tuyến hoặc có mặt trực tiếp tại hiện trường trong vòng hai mươi bốn giờ làm việc kể từ khi nhận được thông báo từ Bên A. Chế độ bảo hành sẽ không được áp dụng trong trường hợp Bên A tự ý can thiệp vào cấu trúc mã nguồn thay đổi cơ sở dữ liệu hệ thống bị hỏng hóc do lỗi phần cứng vận hành sai quy trình hoặc do các nguyên nhân bất khả kháng như thiên tai hỏa hoạn và sự cố an ninh mạng do virus tấn công.</w:t>
      </w:r>
    </w:p>
    <w:p>
      <w:r>
        <w:rPr>
          <w:b w:val="true"/>
          <w:i w:val="false"/>
          <w:sz w:val="24"/>
          <w:szCs w:val="24"/>
          <w:u w:val="none"/>
          <w:rFonts w:ascii="Times New Roman" w:hAnsi="Times New Roman" w:cs="Times New Roman"/>
        </w:rPr>
        <w:t xml:space="preserve">Điều 5. Bản quyền và Quyền Sở hữu trí tuệ</w:t>
      </w:r>
    </w:p>
    <w:p>
      <w:r>
        <w:rPr>
          <w:b w:val="false"/>
          <w:i w:val="false"/>
          <w:sz w:val="24"/>
          <w:szCs w:val="24"/>
          <w:u w:val="none"/>
          <w:rFonts w:ascii="Times New Roman" w:hAnsi="Times New Roman" w:cs="Times New Roman"/>
        </w:rPr>
        <w:t xml:space="preserve">Bên B là đơn vị nắm giữ toàn quyền sở hữu trí tuệ và bản quyền đối với phần mềm và bộ mã nguồn gốc của hệ thống quản lý cân điện tử Mắt Thần. Khi hoàn tất nghĩa vụ thanh toán Bên A được cấp giấy phép quyền sử dụng phần mềm vô thời hạn cho mục đích phục vụ hoạt động sản xuất kinh doanh nội bộ tại các trạm cân của công ty. Bên A tuyệt đối không được phép sao chép dịch ngược mã nguồn chuyển giao phân phối cho bất kỳ một bên thứ ba nào khác hoặc sử dụng phần mềm này để kinh doanh thương mại dưới mọi hình thức nếu chưa có sự đồng ý chính thức bằng văn bản từ Bên B.</w:t>
      </w:r>
    </w:p>
    <w:p>
      <w:r>
        <w:rPr>
          <w:b w:val="true"/>
          <w:i w:val="false"/>
          <w:sz w:val="24"/>
          <w:szCs w:val="24"/>
          <w:u w:val="none"/>
          <w:rFonts w:ascii="Times New Roman" w:hAnsi="Times New Roman" w:cs="Times New Roman"/>
        </w:rPr>
        <w:t xml:space="preserve">Điều 6. Cam kết Bảo mật thông tin</w:t>
      </w:r>
    </w:p>
    <w:p>
      <w:r>
        <w:rPr>
          <w:b w:val="false"/>
          <w:i w:val="false"/>
          <w:sz w:val="24"/>
          <w:szCs w:val="24"/>
          <w:u w:val="none"/>
          <w:rFonts w:ascii="Times New Roman" w:hAnsi="Times New Roman" w:cs="Times New Roman"/>
        </w:rPr>
        <w:t xml:space="preserve">Hai bên cùng cam kết giữ bí mật tuyệt đối đối với tất cả các thông tin dữ liệu số liệu kinh doanh tài liệu kỹ thuật và sơ đồ công nghệ nhận được từ bên còn lại trong suốt quá trình thương thảo và thực hiện hợp đồng. Bên B đặc biệt cam kết bảo mật toàn bộ dữ liệu về khối lượng hàng hóa thông tin đối tác và lịch sử giao dịch được lưu trữ trên cơ sở dữ liệu phần mềm của Bên A. Nghĩa vụ bảo mật này mang tính bắt buộc và vẫn duy trì hiệu lực pháp lý ngay cả khi hợp đồng này đã kết thúc hoặc bị hủy bỏ. Mọi hành vi làm rò rỉ thông tin gây ra thiệt hại cho một bên do sự chủ quan hoặc cố ý của bên còn lại thì bên vi phạm phải chịu trách nhiệm bồi thường toàn bộ thiệt hại phát sinh theo đúng quy định của pháp luật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pPr>
              <w:jc w:val="center"/>
            </w:pPr>
            <w:r>
              <w:rPr>
                <w:b w:val="true"/>
                <w:i w:val="false"/>
                <w:sz w:val="24"/>
                <w:szCs w:val="24"/>
                <w:u w:val="none"/>
                <w:rFonts w:ascii="Times New Roman" w:hAnsi="Times New Roman" w:cs="Times New Roman"/>
              </w:rPr>
              <w:t xml:space="preserve">ĐẠI DIỆN BÊN KHÁCH HÀNG</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DỮ LIỆU MẪU — KHÔNG CÓ GIÁ TRỊ PHÁP LÝ</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Trần Thị Mẫu — Người đại diện (dữ liệu mẫu)</w:t>
            </w:r>
          </w:p>
        </w:tc>
        <w:tc>
          <w:tcPr>
            <w:tcW w:w="4818" w:type="dxa"/>
          </w:tcPr>
          <w:p>
            <w:pPr>
              <w:jc w:val="center"/>
            </w:pPr>
            <w:r>
              <w:rPr>
                <w:b w:val="true"/>
                <w:i w:val="false"/>
                <w:sz w:val="24"/>
                <w:szCs w:val="24"/>
                <w:u w:val="none"/>
                <w:rFonts w:ascii="Times New Roman" w:hAnsi="Times New Roman" w:cs="Times New Roman"/>
              </w:rPr>
              <w:t xml:space="preserve">ĐẠI DIỆN BÊN CUNG CẤP</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DỮ LIỆU MẪU — KHÔNG CÓ GIÁ TRỊ PHÁP LÝ</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Nguyễn Văn Mẫu — Giám đốc dự án (dữ liệu mẫu)</w:t>
            </w:r>
          </w:p>
        </w:tc>
      </w:tr>
    </w:tbl>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APPENDIX_1: APPENDIX_1</w:t>
      </w:r>
    </w:p>
    <w:p>
      <w:r>
        <w:rPr>
          <w:b w:val="false"/>
          <w:i w:val="true"/>
          <w:sz w:val="24"/>
          <w:szCs w:val="24"/>
          <w:u w:val="none"/>
          <w:rFonts w:ascii="Times New Roman" w:hAnsi="Times New Roman" w:cs="Times New Roman"/>
        </w:rPr>
        <w:t xml:space="preserve">Căn cứ Hợp đồng số HD-MAU giữa Công ty mẫu bên cung cấp và Công ty mẫu khách hàng về việc Hợp đồng mẫu.</w:t>
      </w:r>
    </w:p>
    <w:p>
      <w:r>
        <w:rPr>
          <w:b w:val="true"/>
          <w:i w:val="false"/>
          <w:sz w:val="24"/>
          <w:szCs w:val="24"/>
          <w:u w:val="none"/>
          <w:rFonts w:ascii="Times New Roman" w:hAnsi="Times New Roman" w:cs="Times New Roman"/>
        </w:rPr>
        <w:t xml:space="preserve">Điều 1. Danh mục tính năng phần mềm đã nâng cấp</w:t>
      </w:r>
    </w:p>
    <w:p>
      <w:r>
        <w:rPr>
          <w:b w:val="false"/>
          <w:i w:val="false"/>
          <w:sz w:val="24"/>
          <w:szCs w:val="24"/>
          <w:u w:val="none"/>
          <w:rFonts w:ascii="Times New Roman" w:hAnsi="Times New Roman" w:cs="Times New Roman"/>
        </w:rPr>
        <w:t xml:space="preserve">Phụ lục này quy định chi tiết danh sách các phân hệ và chức năng đã được Bên B nâng cấp và tích hợp thành công vào hệ thống phần mềm quản lý trạm cân Mắt Thần của Bên A. Các tính năng bao gồm nhưng không giới hạn ở việc tự động đồng bộ số liệu cân từ đầu cân điện tử lên phần mềm quản trị trung tâm xuất báo cáo thống kê theo ca làm việc theo ngày và theo từng loại vật tư gỗ. Hệ thống cũng đã được bổ sung chức năng phân quyền chi tiết cho từng tài khoản người dùng và ghi nhận nhật ký thao tác nhằm đảm bảo tính minh bạch và an toàn dữ liệu.</w:t>
      </w:r>
    </w:p>
    <w:p>
      <w:r>
        <w:rPr>
          <w:b w:val="true"/>
          <w:i w:val="false"/>
          <w:sz w:val="24"/>
          <w:szCs w:val="24"/>
          <w:u w:val="none"/>
          <w:rFonts w:ascii="Times New Roman" w:hAnsi="Times New Roman" w:cs="Times New Roman"/>
        </w:rPr>
        <w:t xml:space="preserve">Điều 2. Danh mục tài liệu và hạng mục bàn giao</w:t>
      </w:r>
    </w:p>
    <w:p>
      <w:r>
        <w:rPr>
          <w:b w:val="false"/>
          <w:i w:val="false"/>
          <w:sz w:val="24"/>
          <w:szCs w:val="24"/>
          <w:u w:val="none"/>
          <w:rFonts w:ascii="Times New Roman" w:hAnsi="Times New Roman" w:cs="Times New Roman"/>
        </w:rPr>
        <w:t xml:space="preserve">Bên B tiến hành bàn giao toàn bộ quyền truy cập hệ thống bao gồm tài khoản quản trị cấp cao nhất và các tài khoản người dùng theo phân quyền đã thiết lập. Đồng thời Bên B cung cấp đầy đủ bộ tài liệu hướng dẫn sử dụng phần mềm chi tiết từng bước bằng văn bản và video kèm theo sơ đồ cấu trúc cơ sở dữ liệu để bộ phận công nghệ thông tin của Bên A có thể chủ động tiếp quản và duy trì vận hành hệ thống sau khi quá trình nghiệm thu hoàn tất.</w:t>
      </w:r>
    </w:p>
    <w:p>
      <w:r>
        <w:rPr>
          <w:b w:val="true"/>
          <w:i w:val="false"/>
          <w:sz w:val="24"/>
          <w:szCs w:val="24"/>
          <w:u w:val="none"/>
          <w:rFonts w:ascii="Times New Roman" w:hAnsi="Times New Roman" w:cs="Times New Roman"/>
        </w:rPr>
        <w:t xml:space="preserve">Điều 3. Yêu cầu về hạ tầng và thiết bị phần cứng</w:t>
      </w:r>
    </w:p>
    <w:p>
      <w:r>
        <w:rPr>
          <w:b w:val="false"/>
          <w:i w:val="false"/>
          <w:sz w:val="24"/>
          <w:szCs w:val="24"/>
          <w:u w:val="none"/>
          <w:rFonts w:ascii="Times New Roman" w:hAnsi="Times New Roman" w:cs="Times New Roman"/>
        </w:rPr>
        <w:t xml:space="preserve">Phần mềm sau khi nâng cấp yêu cầu Bên A phải duy trì hệ thống máy chủ vật lý hoặc máy chủ ảo hóa có cấu hình tối thiểu bộ vi xử lý bốn nhân bộ nhớ trong tám gigabyte và dung lượng ổ cứng khả dụng một trăm gigabyte. Mạng nội bộ kết nối giữa khu vực trạm cân và phòng điều hành trung tâm phải luôn đảm bảo tốc độ truyền tải ổn định và không bị gián đoạn. Bên B sẽ không chịu trách nhiệm đối với các sự cố gián đoạn phần mềm bắt nguồn từ việc hạ tầng mạng hoặc máy tính vận hành của Bên A suy giảm hiệu năng hoặc không đáp ứng đúng tiêu chuẩn kỹ thuật đã khuyến cáo.</w:t>
      </w:r>
    </w:p>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APPENDIX_3: APPENDIX_3</w:t>
      </w:r>
    </w:p>
    <w:p>
      <w:r>
        <w:rPr>
          <w:b w:val="false"/>
          <w:i w:val="true"/>
          <w:sz w:val="24"/>
          <w:szCs w:val="24"/>
          <w:u w:val="none"/>
          <w:rFonts w:ascii="Times New Roman" w:hAnsi="Times New Roman" w:cs="Times New Roman"/>
        </w:rPr>
        <w:t xml:space="preserve">Căn cứ Hợp đồng số HD-MAU giữa Công ty mẫu bên cung cấp và Công ty mẫu khách hàng về việc Hợp đồng mẫu.</w:t>
      </w:r>
    </w:p>
    <w:p>
      <w:r>
        <w:rPr>
          <w:b w:val="true"/>
          <w:i w:val="false"/>
          <w:sz w:val="24"/>
          <w:szCs w:val="24"/>
          <w:u w:val="none"/>
          <w:rFonts w:ascii="Times New Roman" w:hAnsi="Times New Roman" w:cs="Times New Roman"/>
        </w:rPr>
        <w:t xml:space="preserve">Điều 1. Lịch trình đào tạo và chuyển giao công nghệ</w:t>
      </w:r>
    </w:p>
    <w:p>
      <w:r>
        <w:rPr>
          <w:b w:val="false"/>
          <w:i w:val="false"/>
          <w:sz w:val="24"/>
          <w:szCs w:val="24"/>
          <w:u w:val="none"/>
          <w:rFonts w:ascii="Times New Roman" w:hAnsi="Times New Roman" w:cs="Times New Roman"/>
        </w:rPr>
        <w:t xml:space="preserve">Bên B cam kết tổ chức các buổi đào tạo trực tiếp tại nhà máy của Bên A tại Bình Dương với thời lượng tối thiểu bốn buổi làm việc. Nội dung đào tạo tập trung vào việc hướng dẫn nhân viên trạm cân thao tác trên giao diện phần mềm mới hướng dẫn kế toán đối soát số liệu và hướng dẫn quản trị viên hệ thống cách bảo trì và xử lý các lỗi cơ bản. Hai bên sẽ lập danh sách cán bộ tham gia đào tạo và ký xác nhận sau mỗi buổi học để làm cơ sở đánh giá chất lượng hoàn thành chuyển giao.</w:t>
      </w:r>
    </w:p>
    <w:p>
      <w:r>
        <w:rPr>
          <w:b w:val="true"/>
          <w:i w:val="false"/>
          <w:sz w:val="24"/>
          <w:szCs w:val="24"/>
          <w:u w:val="none"/>
          <w:rFonts w:ascii="Times New Roman" w:hAnsi="Times New Roman" w:cs="Times New Roman"/>
        </w:rPr>
        <w:t xml:space="preserve">Điều 2. Quy trình tiếp nhận và cam kết xử lý sự cố kỹ thu</w:t>
      </w:r>
    </w:p>
    <w:p>
      <w:r>
        <w:rPr>
          <w:b w:val="false"/>
          <w:i w:val="false"/>
          <w:sz w:val="24"/>
          <w:szCs w:val="24"/>
          <w:u w:val="none"/>
          <w:rFonts w:ascii="Times New Roman" w:hAnsi="Times New Roman" w:cs="Times New Roman"/>
        </w:rPr>
        <w:t xml:space="preserve">Mọi yêu cầu hỗ trợ hoặc báo lỗi từ phía Bên A phải được gửi trực tiếp qua hệ thống thư điện tử chính thức hoặc số điện thoại đường dây nóng của bộ phận kỹ thuật Bên B. Thời gian tiếp nhận yêu cầu là trong khung giờ hành chính các ngày làm việc trong tuần. Đối với các lỗi nghiêm trọng làm hệ thống ngừng hoạt động hoàn toàn Bên B bắt buộc phải can thiệp xử lý từ xa trong vòng tối đa hai giờ đồng hồ. Đối với các yêu cầu tùy chỉnh nhỏ hoặc các lỗi hiển thị không ảnh hưởng trực tiếp đến tiến trình cân hàng hóa thời gian hoàn thành khắc phục tối đa không vượt quá ba ngày làm việc.</w:t>
      </w: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80" w:rsidRDefault="003B2B80" w14:paraId="4A812043" w14:textId="77777777">
      <w:pPr>
        <w:spacing w:after="0" w:line="240" w:lineRule="auto"/>
      </w:pPr>
      <w:r>
        <w:separator/>
      </w:r>
    </w:p>
  </w:endnote>
  <w:endnote w:type="continuationSeparator" w:id="0">
    <w:p w:rsidR="003B2B80" w:rsidRDefault="003B2B80" w14:paraId="0D07E1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80" w:rsidRDefault="003B2B80" w14:paraId="7ADC642B" w14:textId="77777777">
      <w:pPr>
        <w:spacing w:after="0" w:line="240" w:lineRule="auto"/>
      </w:pPr>
      <w:r>
        <w:separator/>
      </w:r>
    </w:p>
  </w:footnote>
  <w:footnote w:type="continuationSeparator" w:id="0">
    <w:p w:rsidR="003B2B80" w:rsidRDefault="003B2B80" w14:paraId="19FE42B7"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17E85"/>
    <w:rsid w:val="00245966"/>
    <w:rsid w:val="00267279"/>
    <w:rsid w:val="00272CDE"/>
    <w:rsid w:val="002A00F7"/>
    <w:rsid w:val="002A71ED"/>
    <w:rsid w:val="00307BD2"/>
    <w:rsid w:val="00325A88"/>
    <w:rsid w:val="00362456"/>
    <w:rsid w:val="003710AD"/>
    <w:rsid w:val="00376AE8"/>
    <w:rsid w:val="003A76FF"/>
    <w:rsid w:val="003B2B80"/>
    <w:rsid w:val="003B6E0D"/>
    <w:rsid w:val="00425353"/>
    <w:rsid w:val="004341C2"/>
    <w:rsid w:val="004502A2"/>
    <w:rsid w:val="004748F1"/>
    <w:rsid w:val="004C09B2"/>
    <w:rsid w:val="004C46D1"/>
    <w:rsid w:val="004D1883"/>
    <w:rsid w:val="004E6545"/>
    <w:rsid w:val="00623CA8"/>
    <w:rsid w:val="00627EEB"/>
    <w:rsid w:val="00640D4F"/>
    <w:rsid w:val="006416CE"/>
    <w:rsid w:val="00674A42"/>
    <w:rsid w:val="006D4AFD"/>
    <w:rsid w:val="006E1731"/>
    <w:rsid w:val="006E373A"/>
    <w:rsid w:val="00732B23"/>
    <w:rsid w:val="00736C65"/>
    <w:rsid w:val="00751D0F"/>
    <w:rsid w:val="00763D5C"/>
    <w:rsid w:val="00780121"/>
    <w:rsid w:val="007E7140"/>
    <w:rsid w:val="0080092F"/>
    <w:rsid w:val="0087019F"/>
    <w:rsid w:val="008835A9"/>
    <w:rsid w:val="00887973"/>
    <w:rsid w:val="00891B80"/>
    <w:rsid w:val="008B0016"/>
    <w:rsid w:val="008C40E8"/>
    <w:rsid w:val="008C5E7F"/>
    <w:rsid w:val="008F47F7"/>
    <w:rsid w:val="00973C34"/>
    <w:rsid w:val="00993C3C"/>
    <w:rsid w:val="0099477D"/>
    <w:rsid w:val="009B37C9"/>
    <w:rsid w:val="009C3833"/>
    <w:rsid w:val="009D7A54"/>
    <w:rsid w:val="009F7907"/>
    <w:rsid w:val="00A538B9"/>
    <w:rsid w:val="00A837D2"/>
    <w:rsid w:val="00A949EC"/>
    <w:rsid w:val="00AD23D5"/>
    <w:rsid w:val="00AD7BE4"/>
    <w:rsid w:val="00B32432"/>
    <w:rsid w:val="00B35537"/>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37</cp:revision>
  <dcterms:created xsi:type="dcterms:W3CDTF">2026-08-14T15:54:00Z</dcterms:created>
  <dcterms:modified xsi:type="dcterms:W3CDTF">2026-09-20T03:32:00Z</dcterms:modified>
</cp:coreProperties>
</file>