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4"/>
          <w:szCs w:val="44"/>
        </w:rPr>
        <w:t xml:space="preserve">Professional Experience — Full Story Context</w:t>
      </w:r>
    </w:p>
    <w:p>
      <w:pPr>
        <w:pBdr>
          <w:bottom w:val="single" w:color="2E75B6" w:sz="8" w:space="4"/>
        </w:pBdr>
        <w:spacing w:after="200" w:before="0"/>
      </w:pPr>
      <w:r>
        <w:rPr>
          <w:rFonts w:ascii="Arial" w:cs="Arial" w:eastAsia="Arial" w:hAnsi="Arial"/>
          <w:i/>
          <w:iCs/>
          <w:color w:val="595959"/>
          <w:sz w:val="20"/>
          <w:szCs w:val="20"/>
        </w:rPr>
        <w:t xml:space="preserve">Insight Enterprises (formerly Hanu Software)  ·  2022–2023  ·  Tuned for 2025–2026 Job Market</w:t>
      </w:r>
    </w:p>
    <w:p>
      <w:pPr>
        <w:spacing w:after="40" w:before="80"/>
      </w:pPr>
      <w:r>
        <w:rPr>
          <w:rFonts w:ascii="Arial" w:cs="Arial" w:eastAsia="Arial" w:hAnsi="Arial"/>
          <w:b/>
          <w:bCs/>
          <w:color w:val="1F4E79"/>
          <w:sz w:val="22"/>
          <w:szCs w:val="22"/>
        </w:rPr>
        <w:t xml:space="preserve">How to use this document</w:t>
      </w:r>
    </w:p>
    <w:p>
      <w:pPr>
        <w:spacing w:after="80" w:before="0"/>
      </w:pPr>
      <w:r>
        <w:rPr>
          <w:rFonts w:ascii="Arial" w:cs="Arial" w:eastAsia="Arial" w:hAnsi="Arial"/>
          <w:color w:val="000000"/>
          <w:sz w:val="20"/>
          <w:szCs w:val="20"/>
        </w:rPr>
        <w:t xml:space="preserve">Each bullet point from your resume is expanded here into six dimensions: why the story is relevant in 2025-2026, the system architecture behind it, your SDLC process, your collaboration approach, the tools used, a ready-to-speak STAR interview answer, and the impact metrics. Use these as context when working with other AI sessions, preparing for interviews, or writing cover letters.</w:t>
      </w:r>
    </w:p>
    <w:p>
      <w:pPr>
        <w:pBdr>
          <w:bottom w:val="single" w:color="CCCCCC" w:sz="2" w:space="1"/>
        </w:pBd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2023 — Insight Enterprises</w:t>
      </w:r>
    </w:p>
    <w:p>
      <w:pPr>
        <w:spacing w:after="120" w:before="40"/>
      </w:pPr>
      <w:r>
        <w:rPr>
          <w:rFonts w:ascii="Arial" w:cs="Arial" w:eastAsia="Arial" w:hAnsi="Arial"/>
          <w:i/>
          <w:iCs/>
          <w:color w:val="595959"/>
          <w:sz w:val="18"/>
          <w:szCs w:val="18"/>
        </w:rPr>
        <w:t xml:space="preserve">Software Engineer, Cloud &amp; AI Platform Engineering  ·  Jan 2023 – Dec 2023  ·  Remote</w:t>
      </w:r>
    </w:p>
    <w:p>
      <w:pPr>
        <w:spacing w:after="60" w:before="160"/>
      </w:pPr>
      <w:r>
        <w:rPr>
          <w:rFonts w:ascii="Arial" w:cs="Arial" w:eastAsia="Arial" w:hAnsi="Arial"/>
          <w:b/>
          <w:bCs/>
          <w:color w:val="FFFFFF"/>
          <w:sz w:val="19"/>
          <w:szCs w:val="19"/>
          <w:highlight w:val="darkBlue"/>
          <w:highlightCs w:val="darkBlue"/>
        </w:rPr>
        <w:t xml:space="preserve">[GenAI Platform]  </w:t>
      </w:r>
      <w:r>
        <w:t xml:space="preserve">  </w:t>
      </w:r>
      <w:r>
        <w:rPr>
          <w:rFonts w:ascii="Arial" w:cs="Arial" w:eastAsia="Arial" w:hAnsi="Arial"/>
          <w:b/>
          <w:bCs/>
          <w:color w:val="1F4E79"/>
          <w:sz w:val="21"/>
          <w:szCs w:val="21"/>
        </w:rPr>
        <w:t xml:space="preserve">Built a production LLM platform on Azure — OpenAI-backed microservices with circuit breaking, caching, and multi-tenant access control, enabling GenAI adoption across 13,000+ teammates</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In 2023, every enterprise was racing to give internal teams access to LLMs. The challenge was not the model — it was safe, governed, cost-controlled access at scale. This is exactly the kind of internal developer platform (IDP) investment that hiring managers in AI-forward orgs recognize immediately.</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Designed a multi-layer LLM gateway: Azure API Management as the front door enforcing rate limits, JWT validation, and per-tenant quota policies. Behind it, independently scalable .NET 7 and Java Spring Boot 3 microservices on AKS — each owning a single model capability (completions, embeddings, function calling) so teams could scale hot paths without touching cold ones. Resilience built on Polly (.NET) and Resilience4j (Java): circuit breakers tripped after consecutive 429s from OpenAI, exponential backoff with jitter prevented thundering herd on retry storms. Azure Cache for Redis handled prompt-hash-keyed response caching with TTL policies, cutting redundant token consumption significantly. Helm charts parameterized per environment, stored in Azure Container Registry. Infrastructure provisioned and version-controlled via Terraform.</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Two-week sprints in Azure DevOps. Architecture decisions captured as ADRs in Confluence before implementation began — any design with cross-service impact required a written proposal and async review. PRs required two approvals including a senior platform engineer. Feature flags via Azure App Configuration controlled rollout to pilot teams before org-wide release, reducing blast radius on configuration changes.</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Daily async standups via Teams. Architecture reviews on Miro whiteboards shared with Principal Engineers and the Cloud Architect. Regular syncs with the internal AI adoption team to understand how teams were consuming the platform and where friction lived. Slack-style Teams channels per service for incident communication and war-room coordination.</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Azure Kubernetes Service</w:t>
      </w:r>
    </w:p>
    <w:p>
      <w:pPr>
        <w:pStyle w:val="ListParagraph"/>
        <w:numPr>
          <w:ilvl w:val="0"/>
          <w:numId w:val="2"/>
        </w:numPr>
        <w:spacing w:after="40" w:before="40"/>
      </w:pPr>
      <w:r>
        <w:rPr>
          <w:rFonts w:ascii="Arial" w:cs="Arial" w:eastAsia="Arial" w:hAnsi="Arial"/>
          <w:color w:val="000000"/>
          <w:sz w:val="20"/>
          <w:szCs w:val="20"/>
        </w:rPr>
        <w:t xml:space="preserve">Azure API Management</w:t>
      </w:r>
    </w:p>
    <w:p>
      <w:pPr>
        <w:pStyle w:val="ListParagraph"/>
        <w:numPr>
          <w:ilvl w:val="0"/>
          <w:numId w:val="2"/>
        </w:numPr>
        <w:spacing w:after="40" w:before="40"/>
      </w:pPr>
      <w:r>
        <w:rPr>
          <w:rFonts w:ascii="Arial" w:cs="Arial" w:eastAsia="Arial" w:hAnsi="Arial"/>
          <w:color w:val="000000"/>
          <w:sz w:val="20"/>
          <w:szCs w:val="20"/>
        </w:rPr>
        <w:t xml:space="preserve">Azure Cache for Redis</w:t>
      </w:r>
    </w:p>
    <w:p>
      <w:pPr>
        <w:pStyle w:val="ListParagraph"/>
        <w:numPr>
          <w:ilvl w:val="0"/>
          <w:numId w:val="2"/>
        </w:numPr>
        <w:spacing w:after="40" w:before="40"/>
      </w:pPr>
      <w:r>
        <w:rPr>
          <w:rFonts w:ascii="Arial" w:cs="Arial" w:eastAsia="Arial" w:hAnsi="Arial"/>
          <w:color w:val="000000"/>
          <w:sz w:val="20"/>
          <w:szCs w:val="20"/>
        </w:rPr>
        <w:t xml:space="preserve">.NET 7</w:t>
      </w:r>
    </w:p>
    <w:p>
      <w:pPr>
        <w:pStyle w:val="ListParagraph"/>
        <w:numPr>
          <w:ilvl w:val="0"/>
          <w:numId w:val="2"/>
        </w:numPr>
        <w:spacing w:after="40" w:before="40"/>
      </w:pPr>
      <w:r>
        <w:rPr>
          <w:rFonts w:ascii="Arial" w:cs="Arial" w:eastAsia="Arial" w:hAnsi="Arial"/>
          <w:color w:val="000000"/>
          <w:sz w:val="20"/>
          <w:szCs w:val="20"/>
        </w:rPr>
        <w:t xml:space="preserve">Java Spring Boot 3</w:t>
      </w:r>
    </w:p>
    <w:p>
      <w:pPr>
        <w:pStyle w:val="ListParagraph"/>
        <w:numPr>
          <w:ilvl w:val="0"/>
          <w:numId w:val="2"/>
        </w:numPr>
        <w:spacing w:after="40" w:before="40"/>
      </w:pPr>
      <w:r>
        <w:rPr>
          <w:rFonts w:ascii="Arial" w:cs="Arial" w:eastAsia="Arial" w:hAnsi="Arial"/>
          <w:color w:val="000000"/>
          <w:sz w:val="20"/>
          <w:szCs w:val="20"/>
        </w:rPr>
        <w:t xml:space="preserve">Polly</w:t>
      </w:r>
    </w:p>
    <w:p>
      <w:pPr>
        <w:pStyle w:val="ListParagraph"/>
        <w:numPr>
          <w:ilvl w:val="0"/>
          <w:numId w:val="2"/>
        </w:numPr>
        <w:spacing w:after="40" w:before="40"/>
      </w:pPr>
      <w:r>
        <w:rPr>
          <w:rFonts w:ascii="Arial" w:cs="Arial" w:eastAsia="Arial" w:hAnsi="Arial"/>
          <w:color w:val="000000"/>
          <w:sz w:val="20"/>
          <w:szCs w:val="20"/>
        </w:rPr>
        <w:t xml:space="preserve">Resilience4j</w:t>
      </w:r>
    </w:p>
    <w:p>
      <w:pPr>
        <w:pStyle w:val="ListParagraph"/>
        <w:numPr>
          <w:ilvl w:val="0"/>
          <w:numId w:val="2"/>
        </w:numPr>
        <w:spacing w:after="40" w:before="40"/>
      </w:pPr>
      <w:r>
        <w:rPr>
          <w:rFonts w:ascii="Arial" w:cs="Arial" w:eastAsia="Arial" w:hAnsi="Arial"/>
          <w:color w:val="000000"/>
          <w:sz w:val="20"/>
          <w:szCs w:val="20"/>
        </w:rPr>
        <w:t xml:space="preserve">Helm</w:t>
      </w:r>
    </w:p>
    <w:p>
      <w:pPr>
        <w:pStyle w:val="ListParagraph"/>
        <w:numPr>
          <w:ilvl w:val="0"/>
          <w:numId w:val="2"/>
        </w:numPr>
        <w:spacing w:after="40" w:before="40"/>
      </w:pPr>
      <w:r>
        <w:rPr>
          <w:rFonts w:ascii="Arial" w:cs="Arial" w:eastAsia="Arial" w:hAnsi="Arial"/>
          <w:color w:val="000000"/>
          <w:sz w:val="20"/>
          <w:szCs w:val="20"/>
        </w:rPr>
        <w:t xml:space="preserve">Azure Container Registry</w:t>
      </w:r>
    </w:p>
    <w:p>
      <w:pPr>
        <w:pStyle w:val="ListParagraph"/>
        <w:numPr>
          <w:ilvl w:val="0"/>
          <w:numId w:val="2"/>
        </w:numPr>
        <w:spacing w:after="40" w:before="40"/>
      </w:pPr>
      <w:r>
        <w:rPr>
          <w:rFonts w:ascii="Arial" w:cs="Arial" w:eastAsia="Arial" w:hAnsi="Arial"/>
          <w:color w:val="000000"/>
          <w:sz w:val="20"/>
          <w:szCs w:val="20"/>
        </w:rPr>
        <w:t xml:space="preserve">Terraform</w:t>
      </w:r>
    </w:p>
    <w:p>
      <w:pPr>
        <w:pStyle w:val="ListParagraph"/>
        <w:numPr>
          <w:ilvl w:val="0"/>
          <w:numId w:val="2"/>
        </w:numPr>
        <w:spacing w:after="40" w:before="40"/>
      </w:pPr>
      <w:r>
        <w:rPr>
          <w:rFonts w:ascii="Arial" w:cs="Arial" w:eastAsia="Arial" w:hAnsi="Arial"/>
          <w:color w:val="000000"/>
          <w:sz w:val="20"/>
          <w:szCs w:val="20"/>
        </w:rPr>
        <w:t xml:space="preserve">Azure App Configuration</w:t>
      </w:r>
    </w:p>
    <w:p>
      <w:pPr>
        <w:pStyle w:val="ListParagraph"/>
        <w:numPr>
          <w:ilvl w:val="0"/>
          <w:numId w:val="2"/>
        </w:numPr>
        <w:spacing w:after="40" w:before="40"/>
      </w:pPr>
      <w:r>
        <w:rPr>
          <w:rFonts w:ascii="Arial" w:cs="Arial" w:eastAsia="Arial" w:hAnsi="Arial"/>
          <w:color w:val="000000"/>
          <w:sz w:val="20"/>
          <w:szCs w:val="20"/>
        </w:rPr>
        <w:t xml:space="preserve">Azure DevOps</w:t>
      </w:r>
    </w:p>
    <w:p>
      <w:pPr>
        <w:pStyle w:val="ListParagraph"/>
        <w:numPr>
          <w:ilvl w:val="0"/>
          <w:numId w:val="2"/>
        </w:numPr>
        <w:spacing w:after="40" w:before="40"/>
      </w:pPr>
      <w:r>
        <w:rPr>
          <w:rFonts w:ascii="Arial" w:cs="Arial" w:eastAsia="Arial" w:hAnsi="Arial"/>
          <w:color w:val="000000"/>
          <w:sz w:val="20"/>
          <w:szCs w:val="20"/>
        </w:rPr>
        <w:t xml:space="preserve">OpenAI API</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When Insight needed to give 13,000+ internal teammates access to OpenAI safely and at scale, I designed and built the LLM-as-a-service gateway from the ground up. I architected independently scalable .NET and Java microservices on AKS with circuit breaking and Redis caching, deployed behind Azure APIM for quota enforcement and JWT auth. The platform launched on schedule and became the foundation for all internal GenAI tooling adoption across the org.</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13,000+ teammates unblocked on GenAI tooling</w:t>
      </w:r>
    </w:p>
    <w:p>
      <w:pPr>
        <w:pStyle w:val="ListParagraph"/>
        <w:numPr>
          <w:ilvl w:val="0"/>
          <w:numId w:val="3"/>
        </w:numPr>
        <w:spacing w:after="40" w:before="40"/>
      </w:pPr>
      <w:r>
        <w:rPr>
          <w:rFonts w:ascii="Arial" w:cs="Arial" w:eastAsia="Arial" w:hAnsi="Arial"/>
          <w:color w:val="000000"/>
          <w:sz w:val="20"/>
          <w:szCs w:val="20"/>
        </w:rPr>
        <w:t xml:space="preserve">Circuit breaking prevented cascade failures on OpenAI rate limits</w:t>
      </w:r>
    </w:p>
    <w:p>
      <w:pPr>
        <w:pStyle w:val="ListParagraph"/>
        <w:numPr>
          <w:ilvl w:val="0"/>
          <w:numId w:val="3"/>
        </w:numPr>
        <w:spacing w:after="40" w:before="40"/>
      </w:pPr>
      <w:r>
        <w:rPr>
          <w:rFonts w:ascii="Arial" w:cs="Arial" w:eastAsia="Arial" w:hAnsi="Arial"/>
          <w:color w:val="000000"/>
          <w:sz w:val="20"/>
          <w:szCs w:val="20"/>
        </w:rPr>
        <w:t xml:space="preserve">Redis caching reduced redundant token spend significantly within 6 weeks</w:t>
      </w:r>
    </w:p>
    <w:p>
      <w:pPr>
        <w:pStyle w:val="ListParagraph"/>
        <w:numPr>
          <w:ilvl w:val="0"/>
          <w:numId w:val="3"/>
        </w:numPr>
        <w:spacing w:after="40" w:before="40"/>
      </w:pPr>
      <w:r>
        <w:rPr>
          <w:rFonts w:ascii="Arial" w:cs="Arial" w:eastAsia="Arial" w:hAnsi="Arial"/>
          <w:color w:val="000000"/>
          <w:sz w:val="20"/>
          <w:szCs w:val="20"/>
        </w:rPr>
        <w:t xml:space="preserve">Zero-downtime blue-green rollout via Helm on AKS</w:t>
      </w:r>
    </w:p>
    <w:p>
      <w:pPr>
        <w:pStyle w:val="ListParagraph"/>
        <w:numPr>
          <w:ilvl w:val="0"/>
          <w:numId w:val="3"/>
        </w:numPr>
        <w:spacing w:after="40" w:before="40"/>
      </w:pPr>
      <w:r>
        <w:rPr>
          <w:rFonts w:ascii="Arial" w:cs="Arial" w:eastAsia="Arial" w:hAnsi="Arial"/>
          <w:color w:val="000000"/>
          <w:sz w:val="20"/>
          <w:szCs w:val="20"/>
        </w:rPr>
        <w:t xml:space="preserve">Platform became the internal standard for all GenAI service consumption</w:t>
      </w:r>
    </w:p>
    <w:p>
      <w:pPr>
        <w:pBdr>
          <w:bottom w:val="single" w:color="CCCCCC" w:sz="2" w:space="1"/>
        </w:pBdr>
        <w:spacing w:after="120" w:before="120"/>
      </w:pPr>
      <w:r>
        <w:t xml:space="preserve"/>
      </w:r>
    </w:p>
    <w:p>
      <w:pPr>
        <w:spacing w:after="60" w:before="160"/>
      </w:pPr>
      <w:r>
        <w:rPr>
          <w:rFonts w:ascii="Arial" w:cs="Arial" w:eastAsia="Arial" w:hAnsi="Arial"/>
          <w:b/>
          <w:bCs/>
          <w:color w:val="FFFFFF"/>
          <w:sz w:val="19"/>
          <w:szCs w:val="19"/>
          <w:highlight w:val="darkBlue"/>
          <w:highlightCs w:val="darkBlue"/>
        </w:rPr>
        <w:t xml:space="preserve">[AIOps / MLOps]  </w:t>
      </w:r>
      <w:r>
        <w:t xml:space="preserve">  </w:t>
      </w:r>
      <w:r>
        <w:rPr>
          <w:rFonts w:ascii="Arial" w:cs="Arial" w:eastAsia="Arial" w:hAnsi="Arial"/>
          <w:b/>
          <w:bCs/>
          <w:color w:val="1F4E79"/>
          <w:sz w:val="21"/>
          <w:szCs w:val="21"/>
        </w:rPr>
        <w:t xml:space="preserve">Engineered an AIOps observability pipeline using Z-Score and EWMA anomaly detection — shifting production triage from reactive paging to automated pre-escalation across 3 services</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AIOps and intelligent observability are high-signal keywords in 2025-2026 SRE and platform engineering roles. Demonstrating that you applied statistical ML to operational data — not just dashboards — positions you above engineers who have only consumed monitoring tools rather than built the intelligence layer.</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Telemetry from 3 production services ingested via Azure Event Hubs (Kafka-compatible surface) into a Python stream processing layer containerized on AKS. Two detection models ran in parallel: Z-Score for sudden spike detection (stateless, sub-second latency) and EWMA for gradual trend-drift on rolling windows — covering both acute incidents and slow degradations. Anomaly verdicts published back to a downstream Event Hub topic, consumed by a routing microservice that classified signals as P1/P2/P3 and dispatched pre-escalation alerts to PagerDuty and Teams Adaptive Cards before the SLO breach window closed. Model baselines and EWMA parameters stored in Azure Blob, refreshed on a nightly retraining job to adapt to traffic seasonality.</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Wrote an RFC justifying statistical detection over a full ML model — lower operational overhead, fully explainable decisions, easier to tune with on-call SREs. Built across 3 sprints: data pipeline, detection layer, then alert routing. Validated against a 30-day replay of historical production signals before go-live. Runbooks written in parallel with the code — required to ship.</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Detection thresholds co-designed with the on-call SRE rotation — they owned the P1/P2/P3 routing logic. Alert rules validated against 30 days of PagerDuty incident history to confirm false positive rate below 5%. Approach presented to the Platform Engineering guild for visibility and buy-in before rollout.</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Azure Event Hubs (Kafka surface)</w:t>
      </w:r>
    </w:p>
    <w:p>
      <w:pPr>
        <w:pStyle w:val="ListParagraph"/>
        <w:numPr>
          <w:ilvl w:val="0"/>
          <w:numId w:val="2"/>
        </w:numPr>
        <w:spacing w:after="40" w:before="40"/>
      </w:pPr>
      <w:r>
        <w:rPr>
          <w:rFonts w:ascii="Arial" w:cs="Arial" w:eastAsia="Arial" w:hAnsi="Arial"/>
          <w:color w:val="000000"/>
          <w:sz w:val="20"/>
          <w:szCs w:val="20"/>
        </w:rPr>
        <w:t xml:space="preserve">Python</w:t>
      </w:r>
    </w:p>
    <w:p>
      <w:pPr>
        <w:pStyle w:val="ListParagraph"/>
        <w:numPr>
          <w:ilvl w:val="0"/>
          <w:numId w:val="2"/>
        </w:numPr>
        <w:spacing w:after="40" w:before="40"/>
      </w:pPr>
      <w:r>
        <w:rPr>
          <w:rFonts w:ascii="Arial" w:cs="Arial" w:eastAsia="Arial" w:hAnsi="Arial"/>
          <w:color w:val="000000"/>
          <w:sz w:val="20"/>
          <w:szCs w:val="20"/>
        </w:rPr>
        <w:t xml:space="preserve">NumPy</w:t>
      </w:r>
    </w:p>
    <w:p>
      <w:pPr>
        <w:pStyle w:val="ListParagraph"/>
        <w:numPr>
          <w:ilvl w:val="0"/>
          <w:numId w:val="2"/>
        </w:numPr>
        <w:spacing w:after="40" w:before="40"/>
      </w:pPr>
      <w:r>
        <w:rPr>
          <w:rFonts w:ascii="Arial" w:cs="Arial" w:eastAsia="Arial" w:hAnsi="Arial"/>
          <w:color w:val="000000"/>
          <w:sz w:val="20"/>
          <w:szCs w:val="20"/>
        </w:rPr>
        <w:t xml:space="preserve">Pandas</w:t>
      </w:r>
    </w:p>
    <w:p>
      <w:pPr>
        <w:pStyle w:val="ListParagraph"/>
        <w:numPr>
          <w:ilvl w:val="0"/>
          <w:numId w:val="2"/>
        </w:numPr>
        <w:spacing w:after="40" w:before="40"/>
      </w:pPr>
      <w:r>
        <w:rPr>
          <w:rFonts w:ascii="Arial" w:cs="Arial" w:eastAsia="Arial" w:hAnsi="Arial"/>
          <w:color w:val="000000"/>
          <w:sz w:val="20"/>
          <w:szCs w:val="20"/>
        </w:rPr>
        <w:t xml:space="preserve">SciPy</w:t>
      </w:r>
    </w:p>
    <w:p>
      <w:pPr>
        <w:pStyle w:val="ListParagraph"/>
        <w:numPr>
          <w:ilvl w:val="0"/>
          <w:numId w:val="2"/>
        </w:numPr>
        <w:spacing w:after="40" w:before="40"/>
      </w:pPr>
      <w:r>
        <w:rPr>
          <w:rFonts w:ascii="Arial" w:cs="Arial" w:eastAsia="Arial" w:hAnsi="Arial"/>
          <w:color w:val="000000"/>
          <w:sz w:val="20"/>
          <w:szCs w:val="20"/>
        </w:rPr>
        <w:t xml:space="preserve">Azure Kubernetes Service</w:t>
      </w:r>
    </w:p>
    <w:p>
      <w:pPr>
        <w:pStyle w:val="ListParagraph"/>
        <w:numPr>
          <w:ilvl w:val="0"/>
          <w:numId w:val="2"/>
        </w:numPr>
        <w:spacing w:after="40" w:before="40"/>
      </w:pPr>
      <w:r>
        <w:rPr>
          <w:rFonts w:ascii="Arial" w:cs="Arial" w:eastAsia="Arial" w:hAnsi="Arial"/>
          <w:color w:val="000000"/>
          <w:sz w:val="20"/>
          <w:szCs w:val="20"/>
        </w:rPr>
        <w:t xml:space="preserve">Azure Blob Storage</w:t>
      </w:r>
    </w:p>
    <w:p>
      <w:pPr>
        <w:pStyle w:val="ListParagraph"/>
        <w:numPr>
          <w:ilvl w:val="0"/>
          <w:numId w:val="2"/>
        </w:numPr>
        <w:spacing w:after="40" w:before="40"/>
      </w:pPr>
      <w:r>
        <w:rPr>
          <w:rFonts w:ascii="Arial" w:cs="Arial" w:eastAsia="Arial" w:hAnsi="Arial"/>
          <w:color w:val="000000"/>
          <w:sz w:val="20"/>
          <w:szCs w:val="20"/>
        </w:rPr>
        <w:t xml:space="preserve">PagerDuty API</w:t>
      </w:r>
    </w:p>
    <w:p>
      <w:pPr>
        <w:pStyle w:val="ListParagraph"/>
        <w:numPr>
          <w:ilvl w:val="0"/>
          <w:numId w:val="2"/>
        </w:numPr>
        <w:spacing w:after="40" w:before="40"/>
      </w:pPr>
      <w:r>
        <w:rPr>
          <w:rFonts w:ascii="Arial" w:cs="Arial" w:eastAsia="Arial" w:hAnsi="Arial"/>
          <w:color w:val="000000"/>
          <w:sz w:val="20"/>
          <w:szCs w:val="20"/>
        </w:rPr>
        <w:t xml:space="preserve">Azure Monitor</w:t>
      </w:r>
    </w:p>
    <w:p>
      <w:pPr>
        <w:pStyle w:val="ListParagraph"/>
        <w:numPr>
          <w:ilvl w:val="0"/>
          <w:numId w:val="2"/>
        </w:numPr>
        <w:spacing w:after="40" w:before="40"/>
      </w:pPr>
      <w:r>
        <w:rPr>
          <w:rFonts w:ascii="Arial" w:cs="Arial" w:eastAsia="Arial" w:hAnsi="Arial"/>
          <w:color w:val="000000"/>
          <w:sz w:val="20"/>
          <w:szCs w:val="20"/>
        </w:rPr>
        <w:t xml:space="preserve">Grafana</w:t>
      </w:r>
    </w:p>
    <w:p>
      <w:pPr>
        <w:pStyle w:val="ListParagraph"/>
        <w:numPr>
          <w:ilvl w:val="0"/>
          <w:numId w:val="2"/>
        </w:numPr>
        <w:spacing w:after="40" w:before="40"/>
      </w:pPr>
      <w:r>
        <w:rPr>
          <w:rFonts w:ascii="Arial" w:cs="Arial" w:eastAsia="Arial" w:hAnsi="Arial"/>
          <w:color w:val="000000"/>
          <w:sz w:val="20"/>
          <w:szCs w:val="20"/>
        </w:rPr>
        <w:t xml:space="preserve">Azure DevOps CI/CD</w:t>
      </w:r>
    </w:p>
    <w:p>
      <w:pPr>
        <w:pStyle w:val="ListParagraph"/>
        <w:numPr>
          <w:ilvl w:val="0"/>
          <w:numId w:val="2"/>
        </w:numPr>
        <w:spacing w:after="40" w:before="40"/>
      </w:pPr>
      <w:r>
        <w:rPr>
          <w:rFonts w:ascii="Arial" w:cs="Arial" w:eastAsia="Arial" w:hAnsi="Arial"/>
          <w:color w:val="000000"/>
          <w:sz w:val="20"/>
          <w:szCs w:val="20"/>
        </w:rPr>
        <w:t xml:space="preserve">Docker</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Production incidents across 3 services were being caught too late — on-call engineers were paged after SLO breaches, not before. I built an AIOps telemetry pipeline using Z-Score and EWMA anomaly detection to identify signal drift early. The pipeline consumed live telemetry from Azure Event Hubs, ran statistical inference on AKS, and routed pre-escalation alerts to PagerDuty before breach thresholds were crossed. Mean time to detection dropped measurably and the on-call team shifted from reactive firefighting to proactive triage.</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Mean time to detection reduced across 3 production services</w:t>
      </w:r>
    </w:p>
    <w:p>
      <w:pPr>
        <w:pStyle w:val="ListParagraph"/>
        <w:numPr>
          <w:ilvl w:val="0"/>
          <w:numId w:val="3"/>
        </w:numPr>
        <w:spacing w:after="40" w:before="40"/>
      </w:pPr>
      <w:r>
        <w:rPr>
          <w:rFonts w:ascii="Arial" w:cs="Arial" w:eastAsia="Arial" w:hAnsi="Arial"/>
          <w:color w:val="000000"/>
          <w:sz w:val="20"/>
          <w:szCs w:val="20"/>
        </w:rPr>
        <w:t xml:space="preserve">Triage shifted from reactive page to automated pre-escalation</w:t>
      </w:r>
    </w:p>
    <w:p>
      <w:pPr>
        <w:pStyle w:val="ListParagraph"/>
        <w:numPr>
          <w:ilvl w:val="0"/>
          <w:numId w:val="3"/>
        </w:numPr>
        <w:spacing w:after="40" w:before="40"/>
      </w:pPr>
      <w:r>
        <w:rPr>
          <w:rFonts w:ascii="Arial" w:cs="Arial" w:eastAsia="Arial" w:hAnsi="Arial"/>
          <w:color w:val="000000"/>
          <w:sz w:val="20"/>
          <w:szCs w:val="20"/>
        </w:rPr>
        <w:t xml:space="preserve">False positive rate held below 5% after threshold tuning with SRE team</w:t>
      </w:r>
    </w:p>
    <w:p>
      <w:pPr>
        <w:pStyle w:val="ListParagraph"/>
        <w:numPr>
          <w:ilvl w:val="0"/>
          <w:numId w:val="3"/>
        </w:numPr>
        <w:spacing w:after="40" w:before="40"/>
      </w:pPr>
      <w:r>
        <w:rPr>
          <w:rFonts w:ascii="Arial" w:cs="Arial" w:eastAsia="Arial" w:hAnsi="Arial"/>
          <w:color w:val="000000"/>
          <w:sz w:val="20"/>
          <w:szCs w:val="20"/>
        </w:rPr>
        <w:t xml:space="preserve">On-call fatigue reduced — fewer midnight pages on known drift patterns</w:t>
      </w:r>
    </w:p>
    <w:p>
      <w:pPr>
        <w:pStyle w:val="ListParagraph"/>
        <w:numPr>
          <w:ilvl w:val="0"/>
          <w:numId w:val="3"/>
        </w:numPr>
        <w:spacing w:after="40" w:before="40"/>
      </w:pPr>
      <w:r>
        <w:rPr>
          <w:rFonts w:ascii="Arial" w:cs="Arial" w:eastAsia="Arial" w:hAnsi="Arial"/>
          <w:color w:val="000000"/>
          <w:sz w:val="20"/>
          <w:szCs w:val="20"/>
        </w:rPr>
        <w:t xml:space="preserve">Retraining job kept baselines fresh across seasonal traffic changes</w:t>
      </w:r>
    </w:p>
    <w:p>
      <w:pPr>
        <w:pBdr>
          <w:bottom w:val="single" w:color="CCCCCC" w:sz="2" w:space="1"/>
        </w:pBdr>
        <w:spacing w:after="120" w:before="120"/>
      </w:pPr>
      <w:r>
        <w:t xml:space="preserve"/>
      </w:r>
    </w:p>
    <w:p>
      <w:pPr>
        <w:spacing w:after="60" w:before="160"/>
      </w:pPr>
      <w:r>
        <w:rPr>
          <w:rFonts w:ascii="Arial" w:cs="Arial" w:eastAsia="Arial" w:hAnsi="Arial"/>
          <w:b/>
          <w:bCs/>
          <w:color w:val="FFFFFF"/>
          <w:sz w:val="19"/>
          <w:szCs w:val="19"/>
          <w:highlight w:val="darkBlue"/>
          <w:highlightCs w:val="darkBlue"/>
        </w:rPr>
        <w:t xml:space="preserve">[Reliability Engineering]  </w:t>
      </w:r>
      <w:r>
        <w:t xml:space="preserve">  </w:t>
      </w:r>
      <w:r>
        <w:rPr>
          <w:rFonts w:ascii="Arial" w:cs="Arial" w:eastAsia="Arial" w:hAnsi="Arial"/>
          <w:b/>
          <w:bCs/>
          <w:color w:val="1F4E79"/>
          <w:sz w:val="21"/>
          <w:szCs w:val="21"/>
        </w:rPr>
        <w:t xml:space="preserve">Maintained 99.86% SLO across 12,143 production signals at 3,412 req/sec — resolving connection pool exhaustion, tuning Kafka partitioning, and owning the DRI incident response framework</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Site reliability and SLO ownership is a top-tier signal for Staff and Senior SWE roles in 2025-2026. Showing that you did not just monitor reliability but diagnosed root causes, made architectural changes, and built the operational framework around it is exactly what separates mid-level from senior-level candidates.</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Root-caused a recurring P2 incident to HttpClientFactory misconfiguration in the .NET services — sockets were not being reused, creating TIME_WAIT storms at scale. Fixed by enforcing singleton-scoped typed HttpClient registration and tuning connection lease timeouts. Kafka partition count had become a bottleneck: 12 partitions were too few for the throughput tier — repartitioned to 48, aligned to consumer group concurrency. Multi-region failover relied on Azure Traffic Manager with health-probe-based routing; distributed config state used Azure App Configuration with regional replicas for consistency. Incident runbooks codified as version-controlled Markdown with decision trees, owned and updated by the DRI rotation.</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Every incident post-mortemed within 24 hours using 5-Whys root cause analysis. Runbook changes version-controlled in Git alongside the service repo — no out-of-band documentation drift. Load testing with k6 against a staging environment mirroring production topology. Quarterly chaos experiments via Azure Chaos Studio to validate failover paths and surface hidden dependencies.</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Owned the DRI (Directly Responsible Individual) rotation weekly among senior engineers. Incident bridges run on Teams with structured communication: timeline, hypothesis, mitigation status, all logged in real-time. Post-mortems shared with VP Engineering and the Cloud Director for organizational visibility.</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Apache Kafka (Azure Event Hubs)</w:t>
      </w:r>
    </w:p>
    <w:p>
      <w:pPr>
        <w:pStyle w:val="ListParagraph"/>
        <w:numPr>
          <w:ilvl w:val="0"/>
          <w:numId w:val="2"/>
        </w:numPr>
        <w:spacing w:after="40" w:before="40"/>
      </w:pPr>
      <w:r>
        <w:rPr>
          <w:rFonts w:ascii="Arial" w:cs="Arial" w:eastAsia="Arial" w:hAnsi="Arial"/>
          <w:color w:val="000000"/>
          <w:sz w:val="20"/>
          <w:szCs w:val="20"/>
        </w:rPr>
        <w:t xml:space="preserve">Azure Traffic Manager</w:t>
      </w:r>
    </w:p>
    <w:p>
      <w:pPr>
        <w:pStyle w:val="ListParagraph"/>
        <w:numPr>
          <w:ilvl w:val="0"/>
          <w:numId w:val="2"/>
        </w:numPr>
        <w:spacing w:after="40" w:before="40"/>
      </w:pPr>
      <w:r>
        <w:rPr>
          <w:rFonts w:ascii="Arial" w:cs="Arial" w:eastAsia="Arial" w:hAnsi="Arial"/>
          <w:color w:val="000000"/>
          <w:sz w:val="20"/>
          <w:szCs w:val="20"/>
        </w:rPr>
        <w:t xml:space="preserve">Azure App Configuration</w:t>
      </w:r>
    </w:p>
    <w:p>
      <w:pPr>
        <w:pStyle w:val="ListParagraph"/>
        <w:numPr>
          <w:ilvl w:val="0"/>
          <w:numId w:val="2"/>
        </w:numPr>
        <w:spacing w:after="40" w:before="40"/>
      </w:pPr>
      <w:r>
        <w:rPr>
          <w:rFonts w:ascii="Arial" w:cs="Arial" w:eastAsia="Arial" w:hAnsi="Arial"/>
          <w:color w:val="000000"/>
          <w:sz w:val="20"/>
          <w:szCs w:val="20"/>
        </w:rPr>
        <w:t xml:space="preserve">k6</w:t>
      </w:r>
    </w:p>
    <w:p>
      <w:pPr>
        <w:pStyle w:val="ListParagraph"/>
        <w:numPr>
          <w:ilvl w:val="0"/>
          <w:numId w:val="2"/>
        </w:numPr>
        <w:spacing w:after="40" w:before="40"/>
      </w:pPr>
      <w:r>
        <w:rPr>
          <w:rFonts w:ascii="Arial" w:cs="Arial" w:eastAsia="Arial" w:hAnsi="Arial"/>
          <w:color w:val="000000"/>
          <w:sz w:val="20"/>
          <w:szCs w:val="20"/>
        </w:rPr>
        <w:t xml:space="preserve">Azure Chaos Studio</w:t>
      </w:r>
    </w:p>
    <w:p>
      <w:pPr>
        <w:pStyle w:val="ListParagraph"/>
        <w:numPr>
          <w:ilvl w:val="0"/>
          <w:numId w:val="2"/>
        </w:numPr>
        <w:spacing w:after="40" w:before="40"/>
      </w:pPr>
      <w:r>
        <w:rPr>
          <w:rFonts w:ascii="Arial" w:cs="Arial" w:eastAsia="Arial" w:hAnsi="Arial"/>
          <w:color w:val="000000"/>
          <w:sz w:val="20"/>
          <w:szCs w:val="20"/>
        </w:rPr>
        <w:t xml:space="preserve">.NET 7 HttpClientFactory</w:t>
      </w:r>
    </w:p>
    <w:p>
      <w:pPr>
        <w:pStyle w:val="ListParagraph"/>
        <w:numPr>
          <w:ilvl w:val="0"/>
          <w:numId w:val="2"/>
        </w:numPr>
        <w:spacing w:after="40" w:before="40"/>
      </w:pPr>
      <w:r>
        <w:rPr>
          <w:rFonts w:ascii="Arial" w:cs="Arial" w:eastAsia="Arial" w:hAnsi="Arial"/>
          <w:color w:val="000000"/>
          <w:sz w:val="20"/>
          <w:szCs w:val="20"/>
        </w:rPr>
        <w:t xml:space="preserve">Grafana</w:t>
      </w:r>
    </w:p>
    <w:p>
      <w:pPr>
        <w:pStyle w:val="ListParagraph"/>
        <w:numPr>
          <w:ilvl w:val="0"/>
          <w:numId w:val="2"/>
        </w:numPr>
        <w:spacing w:after="40" w:before="40"/>
      </w:pPr>
      <w:r>
        <w:rPr>
          <w:rFonts w:ascii="Arial" w:cs="Arial" w:eastAsia="Arial" w:hAnsi="Arial"/>
          <w:color w:val="000000"/>
          <w:sz w:val="20"/>
          <w:szCs w:val="20"/>
        </w:rPr>
        <w:t xml:space="preserve">Azure Monitor</w:t>
      </w:r>
    </w:p>
    <w:p>
      <w:pPr>
        <w:pStyle w:val="ListParagraph"/>
        <w:numPr>
          <w:ilvl w:val="0"/>
          <w:numId w:val="2"/>
        </w:numPr>
        <w:spacing w:after="40" w:before="40"/>
      </w:pPr>
      <w:r>
        <w:rPr>
          <w:rFonts w:ascii="Arial" w:cs="Arial" w:eastAsia="Arial" w:hAnsi="Arial"/>
          <w:color w:val="000000"/>
          <w:sz w:val="20"/>
          <w:szCs w:val="20"/>
        </w:rPr>
        <w:t xml:space="preserve">PagerDuty</w:t>
      </w:r>
    </w:p>
    <w:p>
      <w:pPr>
        <w:pStyle w:val="ListParagraph"/>
        <w:numPr>
          <w:ilvl w:val="0"/>
          <w:numId w:val="2"/>
        </w:numPr>
        <w:spacing w:after="40" w:before="40"/>
      </w:pPr>
      <w:r>
        <w:rPr>
          <w:rFonts w:ascii="Arial" w:cs="Arial" w:eastAsia="Arial" w:hAnsi="Arial"/>
          <w:color w:val="000000"/>
          <w:sz w:val="20"/>
          <w:szCs w:val="20"/>
        </w:rPr>
        <w:t xml:space="preserve">Azure DevOps</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With 12,143 production signals and over 3,400 concurrent requests per second, a recurring connection saturation issue was pushing us toward SLO breach. I traced it to HttpClientFactory misconfiguration causing TIME_WAIT exhaustion under load, fixed the socket reuse pattern, and repartitioned Kafka from 12 to 48 partitions to unblock consumer throughput. I also formalized the DRI rotation and codified all runbooks as version-controlled decision trees. The result was a sustained 99.86% SLO and a measurable reduction in incident resolution time.</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99.86% SLO sustained across 12,143 signals</w:t>
      </w:r>
    </w:p>
    <w:p>
      <w:pPr>
        <w:pStyle w:val="ListParagraph"/>
        <w:numPr>
          <w:ilvl w:val="0"/>
          <w:numId w:val="3"/>
        </w:numPr>
        <w:spacing w:after="40" w:before="40"/>
      </w:pPr>
      <w:r>
        <w:rPr>
          <w:rFonts w:ascii="Arial" w:cs="Arial" w:eastAsia="Arial" w:hAnsi="Arial"/>
          <w:color w:val="000000"/>
          <w:sz w:val="20"/>
          <w:szCs w:val="20"/>
        </w:rPr>
        <w:t xml:space="preserve">3,412 concurrent req/sec handled without saturation post-fix</w:t>
      </w:r>
    </w:p>
    <w:p>
      <w:pPr>
        <w:pStyle w:val="ListParagraph"/>
        <w:numPr>
          <w:ilvl w:val="0"/>
          <w:numId w:val="3"/>
        </w:numPr>
        <w:spacing w:after="40" w:before="40"/>
      </w:pPr>
      <w:r>
        <w:rPr>
          <w:rFonts w:ascii="Arial" w:cs="Arial" w:eastAsia="Arial" w:hAnsi="Arial"/>
          <w:color w:val="000000"/>
          <w:sz w:val="20"/>
          <w:szCs w:val="20"/>
        </w:rPr>
        <w:t xml:space="preserve">Connection pool fix eliminated a recurring class of P2 incidents</w:t>
      </w:r>
    </w:p>
    <w:p>
      <w:pPr>
        <w:pStyle w:val="ListParagraph"/>
        <w:numPr>
          <w:ilvl w:val="0"/>
          <w:numId w:val="3"/>
        </w:numPr>
        <w:spacing w:after="40" w:before="40"/>
      </w:pPr>
      <w:r>
        <w:rPr>
          <w:rFonts w:ascii="Arial" w:cs="Arial" w:eastAsia="Arial" w:hAnsi="Arial"/>
          <w:color w:val="000000"/>
          <w:sz w:val="20"/>
          <w:szCs w:val="20"/>
        </w:rPr>
        <w:t xml:space="preserve">Kafka repartitioning removed consumer lag under peak load</w:t>
      </w:r>
    </w:p>
    <w:p>
      <w:pPr>
        <w:pStyle w:val="ListParagraph"/>
        <w:numPr>
          <w:ilvl w:val="0"/>
          <w:numId w:val="3"/>
        </w:numPr>
        <w:spacing w:after="40" w:before="40"/>
      </w:pPr>
      <w:r>
        <w:rPr>
          <w:rFonts w:ascii="Arial" w:cs="Arial" w:eastAsia="Arial" w:hAnsi="Arial"/>
          <w:color w:val="000000"/>
          <w:sz w:val="20"/>
          <w:szCs w:val="20"/>
        </w:rPr>
        <w:t xml:space="preserve">Runbooks reduced mean time to resolution on repeated incident patterns</w:t>
      </w:r>
    </w:p>
    <w:p>
      <w:pPr>
        <w:pBdr>
          <w:bottom w:val="single" w:color="CCCCCC" w:sz="2" w:space="1"/>
        </w:pBdr>
        <w:spacing w:after="120" w:before="120"/>
      </w:pPr>
      <w:r>
        <w:t xml:space="preserve"/>
      </w:r>
    </w:p>
    <w:p>
      <w:pPr>
        <w:spacing w:after="60" w:before="160"/>
      </w:pPr>
      <w:r>
        <w:rPr>
          <w:rFonts w:ascii="Arial" w:cs="Arial" w:eastAsia="Arial" w:hAnsi="Arial"/>
          <w:b/>
          <w:bCs/>
          <w:color w:val="FFFFFF"/>
          <w:sz w:val="19"/>
          <w:szCs w:val="19"/>
          <w:highlight w:val="darkBlue"/>
          <w:highlightCs w:val="darkBlue"/>
        </w:rPr>
        <w:t xml:space="preserve">[Internal Developer Platform]  </w:t>
      </w:r>
      <w:r>
        <w:t xml:space="preserve">  </w:t>
      </w:r>
      <w:r>
        <w:rPr>
          <w:rFonts w:ascii="Arial" w:cs="Arial" w:eastAsia="Arial" w:hAnsi="Arial"/>
          <w:b/>
          <w:bCs/>
          <w:color w:val="1F4E79"/>
          <w:sz w:val="21"/>
          <w:szCs w:val="21"/>
        </w:rPr>
        <w:t xml:space="preserve">Shipped an Angular 15 real-time ops dashboard with WebSocket feeds, OnPush rendering, lazy-loaded modules, and Entra ID RBAC — the primary operational interface for the AIOps platform</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In 2025-2026, 'internal developer platform' and 'platform engineering' are the dominant framings for this kind of work. Candidates who built the tooling that other engineers depended on — especially with security (RBAC), performance (OnPush), and real-time data — stand out over pure feature-ship engineers.</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Angular 15 SPA deployed to Azure Static Web Apps with CDN distribution for global low-latency delivery. Real-time AIOps signal health and LLM latency percentiles streamed via Azure SignalR Service — no polling, WebSocket-based push kept dashboards current for on-call engineers without manual refresh. OnPush change detection applied across all components, limiting re-renders to explicit input reference changes or observable emissions — critical for maintaining 60fps under high-frequency signal feeds. Lazy-loaded feature modules reduced initial bundle size significantly. Entra ID OIDC with Angular route guards enforced role-based access: SREs saw raw signal data, developers saw service latency, managers saw aggregated health only.</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Figma designs reviewed and signed off by stakeholders before implementation. Shared component library published to an internal npm registry for cross-team reuse. Cypress E2E tests covered WebSocket reconnection flows and RBAC redirect logic. Lighthouse performance and accessibility budgets enforced per sprint — scores tracked and blocked merges if they degraded.</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Weekly design reviews with the internal DevEx team and AIOps platform consumers. Async feedback from SREs via Loom recordings of on-call usage — surfaced UX friction that sync reviews missed. Accessibility review with a team member who relied exclusively on keyboard navigation.</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Angular 15</w:t>
      </w:r>
    </w:p>
    <w:p>
      <w:pPr>
        <w:pStyle w:val="ListParagraph"/>
        <w:numPr>
          <w:ilvl w:val="0"/>
          <w:numId w:val="2"/>
        </w:numPr>
        <w:spacing w:after="40" w:before="40"/>
      </w:pPr>
      <w:r>
        <w:rPr>
          <w:rFonts w:ascii="Arial" w:cs="Arial" w:eastAsia="Arial" w:hAnsi="Arial"/>
          <w:color w:val="000000"/>
          <w:sz w:val="20"/>
          <w:szCs w:val="20"/>
        </w:rPr>
        <w:t xml:space="preserve">Azure SignalR Service</w:t>
      </w:r>
    </w:p>
    <w:p>
      <w:pPr>
        <w:pStyle w:val="ListParagraph"/>
        <w:numPr>
          <w:ilvl w:val="0"/>
          <w:numId w:val="2"/>
        </w:numPr>
        <w:spacing w:after="40" w:before="40"/>
      </w:pPr>
      <w:r>
        <w:rPr>
          <w:rFonts w:ascii="Arial" w:cs="Arial" w:eastAsia="Arial" w:hAnsi="Arial"/>
          <w:color w:val="000000"/>
          <w:sz w:val="20"/>
          <w:szCs w:val="20"/>
        </w:rPr>
        <w:t xml:space="preserve">Azure Static Web Apps</w:t>
      </w:r>
    </w:p>
    <w:p>
      <w:pPr>
        <w:pStyle w:val="ListParagraph"/>
        <w:numPr>
          <w:ilvl w:val="0"/>
          <w:numId w:val="2"/>
        </w:numPr>
        <w:spacing w:after="40" w:before="40"/>
      </w:pPr>
      <w:r>
        <w:rPr>
          <w:rFonts w:ascii="Arial" w:cs="Arial" w:eastAsia="Arial" w:hAnsi="Arial"/>
          <w:color w:val="000000"/>
          <w:sz w:val="20"/>
          <w:szCs w:val="20"/>
        </w:rPr>
        <w:t xml:space="preserve">Azure CDN</w:t>
      </w:r>
    </w:p>
    <w:p>
      <w:pPr>
        <w:pStyle w:val="ListParagraph"/>
        <w:numPr>
          <w:ilvl w:val="0"/>
          <w:numId w:val="2"/>
        </w:numPr>
        <w:spacing w:after="40" w:before="40"/>
      </w:pPr>
      <w:r>
        <w:rPr>
          <w:rFonts w:ascii="Arial" w:cs="Arial" w:eastAsia="Arial" w:hAnsi="Arial"/>
          <w:color w:val="000000"/>
          <w:sz w:val="20"/>
          <w:szCs w:val="20"/>
        </w:rPr>
        <w:t xml:space="preserve">Entra ID (OIDC/RBAC)</w:t>
      </w:r>
    </w:p>
    <w:p>
      <w:pPr>
        <w:pStyle w:val="ListParagraph"/>
        <w:numPr>
          <w:ilvl w:val="0"/>
          <w:numId w:val="2"/>
        </w:numPr>
        <w:spacing w:after="40" w:before="40"/>
      </w:pPr>
      <w:r>
        <w:rPr>
          <w:rFonts w:ascii="Arial" w:cs="Arial" w:eastAsia="Arial" w:hAnsi="Arial"/>
          <w:color w:val="000000"/>
          <w:sz w:val="20"/>
          <w:szCs w:val="20"/>
        </w:rPr>
        <w:t xml:space="preserve">RxJS</w:t>
      </w:r>
    </w:p>
    <w:p>
      <w:pPr>
        <w:pStyle w:val="ListParagraph"/>
        <w:numPr>
          <w:ilvl w:val="0"/>
          <w:numId w:val="2"/>
        </w:numPr>
        <w:spacing w:after="40" w:before="40"/>
      </w:pPr>
      <w:r>
        <w:rPr>
          <w:rFonts w:ascii="Arial" w:cs="Arial" w:eastAsia="Arial" w:hAnsi="Arial"/>
          <w:color w:val="000000"/>
          <w:sz w:val="20"/>
          <w:szCs w:val="20"/>
        </w:rPr>
        <w:t xml:space="preserve">Cypress</w:t>
      </w:r>
    </w:p>
    <w:p>
      <w:pPr>
        <w:pStyle w:val="ListParagraph"/>
        <w:numPr>
          <w:ilvl w:val="0"/>
          <w:numId w:val="2"/>
        </w:numPr>
        <w:spacing w:after="40" w:before="40"/>
      </w:pPr>
      <w:r>
        <w:rPr>
          <w:rFonts w:ascii="Arial" w:cs="Arial" w:eastAsia="Arial" w:hAnsi="Arial"/>
          <w:color w:val="000000"/>
          <w:sz w:val="20"/>
          <w:szCs w:val="20"/>
        </w:rPr>
        <w:t xml:space="preserve">Webpack Bundle Analyzer</w:t>
      </w:r>
    </w:p>
    <w:p>
      <w:pPr>
        <w:pStyle w:val="ListParagraph"/>
        <w:numPr>
          <w:ilvl w:val="0"/>
          <w:numId w:val="2"/>
        </w:numPr>
        <w:spacing w:after="40" w:before="40"/>
      </w:pPr>
      <w:r>
        <w:rPr>
          <w:rFonts w:ascii="Arial" w:cs="Arial" w:eastAsia="Arial" w:hAnsi="Arial"/>
          <w:color w:val="000000"/>
          <w:sz w:val="20"/>
          <w:szCs w:val="20"/>
        </w:rPr>
        <w:t xml:space="preserve">Figma</w:t>
      </w:r>
    </w:p>
    <w:p>
      <w:pPr>
        <w:pStyle w:val="ListParagraph"/>
        <w:numPr>
          <w:ilvl w:val="0"/>
          <w:numId w:val="2"/>
        </w:numPr>
        <w:spacing w:after="40" w:before="40"/>
      </w:pPr>
      <w:r>
        <w:rPr>
          <w:rFonts w:ascii="Arial" w:cs="Arial" w:eastAsia="Arial" w:hAnsi="Arial"/>
          <w:color w:val="000000"/>
          <w:sz w:val="20"/>
          <w:szCs w:val="20"/>
        </w:rPr>
        <w:t xml:space="preserve">internal npm registry</w:t>
      </w:r>
    </w:p>
    <w:p>
      <w:pPr>
        <w:pStyle w:val="ListParagraph"/>
        <w:numPr>
          <w:ilvl w:val="0"/>
          <w:numId w:val="2"/>
        </w:numPr>
        <w:spacing w:after="40" w:before="40"/>
      </w:pPr>
      <w:r>
        <w:rPr>
          <w:rFonts w:ascii="Arial" w:cs="Arial" w:eastAsia="Arial" w:hAnsi="Arial"/>
          <w:color w:val="000000"/>
          <w:sz w:val="20"/>
          <w:szCs w:val="20"/>
        </w:rPr>
        <w:t xml:space="preserve">Azure DevOps</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The AIOps and LLM platform had no unified operational view — on-call engineers were jumping between Azure Monitor tabs and raw logs during incidents. I built a real-time Angular 15 dashboard connected to Azure SignalR for live signal feeds, with Entra ID RBAC gating what each role could see. OnPush change detection kept it performant under high-frequency data. It became the primary operational interface for the platform and reduced context-switching for on-call engineers during active incidents.</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Became the primary operational interface for the AIOps platform org-wide</w:t>
      </w:r>
    </w:p>
    <w:p>
      <w:pPr>
        <w:pStyle w:val="ListParagraph"/>
        <w:numPr>
          <w:ilvl w:val="0"/>
          <w:numId w:val="3"/>
        </w:numPr>
        <w:spacing w:after="40" w:before="40"/>
      </w:pPr>
      <w:r>
        <w:rPr>
          <w:rFonts w:ascii="Arial" w:cs="Arial" w:eastAsia="Arial" w:hAnsi="Arial"/>
          <w:color w:val="000000"/>
          <w:sz w:val="20"/>
          <w:szCs w:val="20"/>
        </w:rPr>
        <w:t xml:space="preserve">Real-time signal health visible without page refresh during live incidents</w:t>
      </w:r>
    </w:p>
    <w:p>
      <w:pPr>
        <w:pStyle w:val="ListParagraph"/>
        <w:numPr>
          <w:ilvl w:val="0"/>
          <w:numId w:val="3"/>
        </w:numPr>
        <w:spacing w:after="40" w:before="40"/>
      </w:pPr>
      <w:r>
        <w:rPr>
          <w:rFonts w:ascii="Arial" w:cs="Arial" w:eastAsia="Arial" w:hAnsi="Arial"/>
          <w:color w:val="000000"/>
          <w:sz w:val="20"/>
          <w:szCs w:val="20"/>
        </w:rPr>
        <w:t xml:space="preserve">RBAC enforcement prevented junior devs from accessing PII-adjacent signal data</w:t>
      </w:r>
    </w:p>
    <w:p>
      <w:pPr>
        <w:pStyle w:val="ListParagraph"/>
        <w:numPr>
          <w:ilvl w:val="0"/>
          <w:numId w:val="3"/>
        </w:numPr>
        <w:spacing w:after="40" w:before="40"/>
      </w:pPr>
      <w:r>
        <w:rPr>
          <w:rFonts w:ascii="Arial" w:cs="Arial" w:eastAsia="Arial" w:hAnsi="Arial"/>
          <w:color w:val="000000"/>
          <w:sz w:val="20"/>
          <w:szCs w:val="20"/>
        </w:rPr>
        <w:t xml:space="preserve">Lazy loading cut initial bundle — measurable improvement in on-call load time</w:t>
      </w:r>
    </w:p>
    <w:p>
      <w:pPr>
        <w:pStyle w:val="ListParagraph"/>
        <w:numPr>
          <w:ilvl w:val="0"/>
          <w:numId w:val="3"/>
        </w:numPr>
        <w:spacing w:after="40" w:before="40"/>
      </w:pPr>
      <w:r>
        <w:rPr>
          <w:rFonts w:ascii="Arial" w:cs="Arial" w:eastAsia="Arial" w:hAnsi="Arial"/>
          <w:color w:val="000000"/>
          <w:sz w:val="20"/>
          <w:szCs w:val="20"/>
        </w:rPr>
        <w:t xml:space="preserve">Shared component library adopted by 2 additional internal dashboard projects</w:t>
      </w:r>
    </w:p>
    <w:p>
      <w:pPr>
        <w:pBdr>
          <w:bottom w:val="single" w:color="CCCCCC" w:sz="2" w:space="1"/>
        </w:pBd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2022 — Hanu Software</w:t>
      </w:r>
    </w:p>
    <w:p>
      <w:pPr>
        <w:spacing w:after="120" w:before="40"/>
      </w:pPr>
      <w:r>
        <w:rPr>
          <w:rFonts w:ascii="Arial" w:cs="Arial" w:eastAsia="Arial" w:hAnsi="Arial"/>
          <w:i/>
          <w:iCs/>
          <w:color w:val="595959"/>
          <w:sz w:val="18"/>
          <w:szCs w:val="18"/>
        </w:rPr>
        <w:t xml:space="preserve">Software Engineer, API Development &amp; Cloud Security  ·  Jan 2022 – Jan 2023  ·  Remote</w:t>
      </w:r>
    </w:p>
    <w:p>
      <w:pPr>
        <w:spacing w:after="60" w:before="160"/>
      </w:pPr>
      <w:r>
        <w:rPr>
          <w:rFonts w:ascii="Arial" w:cs="Arial" w:eastAsia="Arial" w:hAnsi="Arial"/>
          <w:b/>
          <w:bCs/>
          <w:color w:val="FFFFFF"/>
          <w:sz w:val="19"/>
          <w:szCs w:val="19"/>
          <w:highlight w:val="darkBlue"/>
          <w:highlightCs w:val="darkBlue"/>
        </w:rPr>
        <w:t xml:space="preserve">[Performance Engineering]  </w:t>
      </w:r>
      <w:r>
        <w:t xml:space="preserve">  </w:t>
      </w:r>
      <w:r>
        <w:rPr>
          <w:rFonts w:ascii="Arial" w:cs="Arial" w:eastAsia="Arial" w:hAnsi="Arial"/>
          <w:b/>
          <w:bCs/>
          <w:color w:val="1F4E79"/>
          <w:sz w:val="21"/>
          <w:szCs w:val="21"/>
        </w:rPr>
        <w:t xml:space="preserve">Sustained sub-100ms p95 latency under millions of enterprise API requests — eliminating GC pressure in .NET hot paths, redesigning CosmosDB partition keys, and centralizing auth at the API gateway</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Performance engineering at this depth — allocation-level .NET profiling, CosmosDB partition strategy, gateway-centralized auth — is a differentiator in 2025. Most engineers know how to add caching; fewer have profiled GC pause frequency and redesigned data access patterns to eliminate hot partitions.</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Profiled high-throughput C# .NET service hot paths with dotnet-trace and the Visual Studio profiler to identify heap allocation patterns causing GC pressure. Rewrote inner-loop logic using Span&lt;T&gt; and ArrayPool&lt;T&gt; to eliminate per-request heap allocations — reducing GC pause frequency under sustained load. Audited C++ P/Invoke interop layers for marshalling overhead: struct layouts realigned to eliminate padding waste. CosmosDB partition key redesign: original tenant-only keys caused hot partitions under enterprise workload skew — redesigned to composite keys (tenantId + entityType) distributing RU consumption evenly. Centralized OAuth 2.0 token validation and RBAC claim inspection at the Azure API Management gateway, removing duplicated auth logic from 5+ downstream services.</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Baseline p95 benchmarks captured with k6 before any change was touched. Each optimization shipped as an isolated PR with before/after benchmark attached as evidence — no optimization merged without a regression test proving the hot path improved. Performance testing ran in a dedicated environment matching production VM SKUs exactly.</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Paired with a senior C++ engineer during the P/Invoke audit. CosmosDB partition redesign reviewed with the Azure data architect. APIM policy changes peer-reviewed by the security team lead before any production deployment. Benchmark results shared in Confluence with Engineering Director visibility.</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C# .NET 6</w:t>
      </w:r>
    </w:p>
    <w:p>
      <w:pPr>
        <w:pStyle w:val="ListParagraph"/>
        <w:numPr>
          <w:ilvl w:val="0"/>
          <w:numId w:val="2"/>
        </w:numPr>
        <w:spacing w:after="40" w:before="40"/>
      </w:pPr>
      <w:r>
        <w:rPr>
          <w:rFonts w:ascii="Arial" w:cs="Arial" w:eastAsia="Arial" w:hAnsi="Arial"/>
          <w:color w:val="000000"/>
          <w:sz w:val="20"/>
          <w:szCs w:val="20"/>
        </w:rPr>
        <w:t xml:space="preserve">C++</w:t>
      </w:r>
    </w:p>
    <w:p>
      <w:pPr>
        <w:pStyle w:val="ListParagraph"/>
        <w:numPr>
          <w:ilvl w:val="0"/>
          <w:numId w:val="2"/>
        </w:numPr>
        <w:spacing w:after="40" w:before="40"/>
      </w:pPr>
      <w:r>
        <w:rPr>
          <w:rFonts w:ascii="Arial" w:cs="Arial" w:eastAsia="Arial" w:hAnsi="Arial"/>
          <w:color w:val="000000"/>
          <w:sz w:val="20"/>
          <w:szCs w:val="20"/>
        </w:rPr>
        <w:t xml:space="preserve">Span&lt;T&gt;</w:t>
      </w:r>
    </w:p>
    <w:p>
      <w:pPr>
        <w:pStyle w:val="ListParagraph"/>
        <w:numPr>
          <w:ilvl w:val="0"/>
          <w:numId w:val="2"/>
        </w:numPr>
        <w:spacing w:after="40" w:before="40"/>
      </w:pPr>
      <w:r>
        <w:rPr>
          <w:rFonts w:ascii="Arial" w:cs="Arial" w:eastAsia="Arial" w:hAnsi="Arial"/>
          <w:color w:val="000000"/>
          <w:sz w:val="20"/>
          <w:szCs w:val="20"/>
        </w:rPr>
        <w:t xml:space="preserve">ArrayPool&lt;T&gt;</w:t>
      </w:r>
    </w:p>
    <w:p>
      <w:pPr>
        <w:pStyle w:val="ListParagraph"/>
        <w:numPr>
          <w:ilvl w:val="0"/>
          <w:numId w:val="2"/>
        </w:numPr>
        <w:spacing w:after="40" w:before="40"/>
      </w:pPr>
      <w:r>
        <w:rPr>
          <w:rFonts w:ascii="Arial" w:cs="Arial" w:eastAsia="Arial" w:hAnsi="Arial"/>
          <w:color w:val="000000"/>
          <w:sz w:val="20"/>
          <w:szCs w:val="20"/>
        </w:rPr>
        <w:t xml:space="preserve">dotnet-trace</w:t>
      </w:r>
    </w:p>
    <w:p>
      <w:pPr>
        <w:pStyle w:val="ListParagraph"/>
        <w:numPr>
          <w:ilvl w:val="0"/>
          <w:numId w:val="2"/>
        </w:numPr>
        <w:spacing w:after="40" w:before="40"/>
      </w:pPr>
      <w:r>
        <w:rPr>
          <w:rFonts w:ascii="Arial" w:cs="Arial" w:eastAsia="Arial" w:hAnsi="Arial"/>
          <w:color w:val="000000"/>
          <w:sz w:val="20"/>
          <w:szCs w:val="20"/>
        </w:rPr>
        <w:t xml:space="preserve">Visual Studio Profiler</w:t>
      </w:r>
    </w:p>
    <w:p>
      <w:pPr>
        <w:pStyle w:val="ListParagraph"/>
        <w:numPr>
          <w:ilvl w:val="0"/>
          <w:numId w:val="2"/>
        </w:numPr>
        <w:spacing w:after="40" w:before="40"/>
      </w:pPr>
      <w:r>
        <w:rPr>
          <w:rFonts w:ascii="Arial" w:cs="Arial" w:eastAsia="Arial" w:hAnsi="Arial"/>
          <w:color w:val="000000"/>
          <w:sz w:val="20"/>
          <w:szCs w:val="20"/>
        </w:rPr>
        <w:t xml:space="preserve">Azure CosmosDB</w:t>
      </w:r>
    </w:p>
    <w:p>
      <w:pPr>
        <w:pStyle w:val="ListParagraph"/>
        <w:numPr>
          <w:ilvl w:val="0"/>
          <w:numId w:val="2"/>
        </w:numPr>
        <w:spacing w:after="40" w:before="40"/>
      </w:pPr>
      <w:r>
        <w:rPr>
          <w:rFonts w:ascii="Arial" w:cs="Arial" w:eastAsia="Arial" w:hAnsi="Arial"/>
          <w:color w:val="000000"/>
          <w:sz w:val="20"/>
          <w:szCs w:val="20"/>
        </w:rPr>
        <w:t xml:space="preserve">Azure API Management</w:t>
      </w:r>
    </w:p>
    <w:p>
      <w:pPr>
        <w:pStyle w:val="ListParagraph"/>
        <w:numPr>
          <w:ilvl w:val="0"/>
          <w:numId w:val="2"/>
        </w:numPr>
        <w:spacing w:after="40" w:before="40"/>
      </w:pPr>
      <w:r>
        <w:rPr>
          <w:rFonts w:ascii="Arial" w:cs="Arial" w:eastAsia="Arial" w:hAnsi="Arial"/>
          <w:color w:val="000000"/>
          <w:sz w:val="20"/>
          <w:szCs w:val="20"/>
        </w:rPr>
        <w:t xml:space="preserve">k6</w:t>
      </w:r>
    </w:p>
    <w:p>
      <w:pPr>
        <w:pStyle w:val="ListParagraph"/>
        <w:numPr>
          <w:ilvl w:val="0"/>
          <w:numId w:val="2"/>
        </w:numPr>
        <w:spacing w:after="40" w:before="40"/>
      </w:pPr>
      <w:r>
        <w:rPr>
          <w:rFonts w:ascii="Arial" w:cs="Arial" w:eastAsia="Arial" w:hAnsi="Arial"/>
          <w:color w:val="000000"/>
          <w:sz w:val="20"/>
          <w:szCs w:val="20"/>
        </w:rPr>
        <w:t xml:space="preserve">Entra ID</w:t>
      </w:r>
    </w:p>
    <w:p>
      <w:pPr>
        <w:pStyle w:val="ListParagraph"/>
        <w:numPr>
          <w:ilvl w:val="0"/>
          <w:numId w:val="2"/>
        </w:numPr>
        <w:spacing w:after="40" w:before="40"/>
      </w:pPr>
      <w:r>
        <w:rPr>
          <w:rFonts w:ascii="Arial" w:cs="Arial" w:eastAsia="Arial" w:hAnsi="Arial"/>
          <w:color w:val="000000"/>
          <w:sz w:val="20"/>
          <w:szCs w:val="20"/>
        </w:rPr>
        <w:t xml:space="preserve">OAuth 2.0</w:t>
      </w:r>
    </w:p>
    <w:p>
      <w:pPr>
        <w:pStyle w:val="ListParagraph"/>
        <w:numPr>
          <w:ilvl w:val="0"/>
          <w:numId w:val="2"/>
        </w:numPr>
        <w:spacing w:after="40" w:before="40"/>
      </w:pPr>
      <w:r>
        <w:rPr>
          <w:rFonts w:ascii="Arial" w:cs="Arial" w:eastAsia="Arial" w:hAnsi="Arial"/>
          <w:color w:val="000000"/>
          <w:sz w:val="20"/>
          <w:szCs w:val="20"/>
        </w:rPr>
        <w:t xml:space="preserve">Postman</w:t>
      </w:r>
    </w:p>
    <w:p>
      <w:pPr>
        <w:pStyle w:val="ListParagraph"/>
        <w:numPr>
          <w:ilvl w:val="0"/>
          <w:numId w:val="2"/>
        </w:numPr>
        <w:spacing w:after="40" w:before="40"/>
      </w:pPr>
      <w:r>
        <w:rPr>
          <w:rFonts w:ascii="Arial" w:cs="Arial" w:eastAsia="Arial" w:hAnsi="Arial"/>
          <w:color w:val="000000"/>
          <w:sz w:val="20"/>
          <w:szCs w:val="20"/>
        </w:rPr>
        <w:t xml:space="preserve">Azure DevOps</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Critical API services were struggling to hold p95 latency under enterprise-scale load. I profiled the .NET hot paths and identified heap allocation patterns creating GC pressure at high concurrency — rewrote the inner loops using Span&lt;T&gt; and ArrayPool to eliminate per-request allocations. In parallel, I redesigned the CosmosDB partition key strategy from single-tenant keys to composite keys, eliminating throttling errors from hot partitions. Centralized OAuth 2.0 enforcement at the APIM gateway removed duplicated auth logic across 5+ services. Together these changes sustained sub-100ms p95 latency across millions of requests.</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Sub-100ms p95 latency sustained under millions of enterprise requests</w:t>
      </w:r>
    </w:p>
    <w:p>
      <w:pPr>
        <w:pStyle w:val="ListParagraph"/>
        <w:numPr>
          <w:ilvl w:val="0"/>
          <w:numId w:val="3"/>
        </w:numPr>
        <w:spacing w:after="40" w:before="40"/>
      </w:pPr>
      <w:r>
        <w:rPr>
          <w:rFonts w:ascii="Arial" w:cs="Arial" w:eastAsia="Arial" w:hAnsi="Arial"/>
          <w:color w:val="000000"/>
          <w:sz w:val="20"/>
          <w:szCs w:val="20"/>
        </w:rPr>
        <w:t xml:space="preserve">GC pause frequency reduced — throughput increase measurable under sustained load</w:t>
      </w:r>
    </w:p>
    <w:p>
      <w:pPr>
        <w:pStyle w:val="ListParagraph"/>
        <w:numPr>
          <w:ilvl w:val="0"/>
          <w:numId w:val="3"/>
        </w:numPr>
        <w:spacing w:after="40" w:before="40"/>
      </w:pPr>
      <w:r>
        <w:rPr>
          <w:rFonts w:ascii="Arial" w:cs="Arial" w:eastAsia="Arial" w:hAnsi="Arial"/>
          <w:color w:val="000000"/>
          <w:sz w:val="20"/>
          <w:szCs w:val="20"/>
        </w:rPr>
        <w:t xml:space="preserve">CosmosDB hot partition elimination removed RU throttling errors</w:t>
      </w:r>
    </w:p>
    <w:p>
      <w:pPr>
        <w:pStyle w:val="ListParagraph"/>
        <w:numPr>
          <w:ilvl w:val="0"/>
          <w:numId w:val="3"/>
        </w:numPr>
        <w:spacing w:after="40" w:before="40"/>
      </w:pPr>
      <w:r>
        <w:rPr>
          <w:rFonts w:ascii="Arial" w:cs="Arial" w:eastAsia="Arial" w:hAnsi="Arial"/>
          <w:color w:val="000000"/>
          <w:sz w:val="20"/>
          <w:szCs w:val="20"/>
        </w:rPr>
        <w:t xml:space="preserve">Centralized APIM auth removed duplicated security logic across 5+ services</w:t>
      </w:r>
    </w:p>
    <w:p>
      <w:pPr>
        <w:pStyle w:val="ListParagraph"/>
        <w:numPr>
          <w:ilvl w:val="0"/>
          <w:numId w:val="3"/>
        </w:numPr>
        <w:spacing w:after="40" w:before="40"/>
      </w:pPr>
      <w:r>
        <w:rPr>
          <w:rFonts w:ascii="Arial" w:cs="Arial" w:eastAsia="Arial" w:hAnsi="Arial"/>
          <w:color w:val="000000"/>
          <w:sz w:val="20"/>
          <w:szCs w:val="20"/>
        </w:rPr>
        <w:t xml:space="preserve">Benchmark-driven PR process became team standard for performance changes</w:t>
      </w:r>
    </w:p>
    <w:p>
      <w:pPr>
        <w:pBdr>
          <w:bottom w:val="single" w:color="CCCCCC" w:sz="2" w:space="1"/>
        </w:pBdr>
        <w:spacing w:after="120" w:before="120"/>
      </w:pPr>
      <w:r>
        <w:t xml:space="preserve"/>
      </w:r>
    </w:p>
    <w:p>
      <w:pPr>
        <w:spacing w:after="60" w:before="160"/>
      </w:pPr>
      <w:r>
        <w:rPr>
          <w:rFonts w:ascii="Arial" w:cs="Arial" w:eastAsia="Arial" w:hAnsi="Arial"/>
          <w:b/>
          <w:bCs/>
          <w:color w:val="FFFFFF"/>
          <w:sz w:val="19"/>
          <w:szCs w:val="19"/>
          <w:highlight w:val="darkBlue"/>
          <w:highlightCs w:val="darkBlue"/>
        </w:rPr>
        <w:t xml:space="preserve">[DevSecOps]  </w:t>
      </w:r>
      <w:r>
        <w:t xml:space="preserve">  </w:t>
      </w:r>
      <w:r>
        <w:rPr>
          <w:rFonts w:ascii="Arial" w:cs="Arial" w:eastAsia="Arial" w:hAnsi="Arial"/>
          <w:b/>
          <w:bCs/>
          <w:color w:val="1F4E79"/>
          <w:sz w:val="21"/>
          <w:szCs w:val="21"/>
        </w:rPr>
        <w:t xml:space="preserve">Drove SAST critical findings to zero and raised unit test coverage 21% — engineering GitHub Actions pipelines with security gates, secrets scanning, and branch protection across Entra ID service modules</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DevSecOps, shift-left security, and supply chain security are board-level concerns in 2025-2026. Engineers who built the security automation — not just used it — and can speak to SAST triage, false positive management, and secrets scanning implementation are increasingly valuable, especially at companies that handle enterprise identity.</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GitHub Actions pipelines built per service with a mandatory security gate stage: Semgrep with custom rule sets targeting .NET-specific patterns and OWASP Top 10 — critical findings blocked merge automatically. Gitleaks ran on every push, detecting high-entropy strings (API keys, connection strings, tokens) before they reached the remote. SonarQube enforced coverage delta gating — PRs that reduced coverage below threshold were blocked. Branch protection rules on main and all release branches: 2 approvals required, CI must pass, direct push disabled.</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SAST finding triage board maintained in GitHub Projects with weekly AppSec review. Coverage trend graphed per sprint in Confluence. Secrets scanning rule list updated monthly. All pipeline templates maintained in a shared GitHub Actions workflow library for consistency across teams.</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Semgrep rule sets co-configured with the AppSec team lead — ensured rules were relevant to the Azure/.NET stack and minimized false positives. Onboarded 4 additional service teams to the same pipeline template via an internal golden path workflow library. Security findings reviewed weekly with the AppSec team to track remediation velocity.</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GitHub Actions</w:t>
      </w:r>
    </w:p>
    <w:p>
      <w:pPr>
        <w:pStyle w:val="ListParagraph"/>
        <w:numPr>
          <w:ilvl w:val="0"/>
          <w:numId w:val="2"/>
        </w:numPr>
        <w:spacing w:after="40" w:before="40"/>
      </w:pPr>
      <w:r>
        <w:rPr>
          <w:rFonts w:ascii="Arial" w:cs="Arial" w:eastAsia="Arial" w:hAnsi="Arial"/>
          <w:color w:val="000000"/>
          <w:sz w:val="20"/>
          <w:szCs w:val="20"/>
        </w:rPr>
        <w:t xml:space="preserve">Semgrep</w:t>
      </w:r>
    </w:p>
    <w:p>
      <w:pPr>
        <w:pStyle w:val="ListParagraph"/>
        <w:numPr>
          <w:ilvl w:val="0"/>
          <w:numId w:val="2"/>
        </w:numPr>
        <w:spacing w:after="40" w:before="40"/>
      </w:pPr>
      <w:r>
        <w:rPr>
          <w:rFonts w:ascii="Arial" w:cs="Arial" w:eastAsia="Arial" w:hAnsi="Arial"/>
          <w:color w:val="000000"/>
          <w:sz w:val="20"/>
          <w:szCs w:val="20"/>
        </w:rPr>
        <w:t xml:space="preserve">Gitleaks</w:t>
      </w:r>
    </w:p>
    <w:p>
      <w:pPr>
        <w:pStyle w:val="ListParagraph"/>
        <w:numPr>
          <w:ilvl w:val="0"/>
          <w:numId w:val="2"/>
        </w:numPr>
        <w:spacing w:after="40" w:before="40"/>
      </w:pPr>
      <w:r>
        <w:rPr>
          <w:rFonts w:ascii="Arial" w:cs="Arial" w:eastAsia="Arial" w:hAnsi="Arial"/>
          <w:color w:val="000000"/>
          <w:sz w:val="20"/>
          <w:szCs w:val="20"/>
        </w:rPr>
        <w:t xml:space="preserve">SonarQube</w:t>
      </w:r>
    </w:p>
    <w:p>
      <w:pPr>
        <w:pStyle w:val="ListParagraph"/>
        <w:numPr>
          <w:ilvl w:val="0"/>
          <w:numId w:val="2"/>
        </w:numPr>
        <w:spacing w:after="40" w:before="40"/>
      </w:pPr>
      <w:r>
        <w:rPr>
          <w:rFonts w:ascii="Arial" w:cs="Arial" w:eastAsia="Arial" w:hAnsi="Arial"/>
          <w:color w:val="000000"/>
          <w:sz w:val="20"/>
          <w:szCs w:val="20"/>
        </w:rPr>
        <w:t xml:space="preserve">xUnit</w:t>
      </w:r>
    </w:p>
    <w:p>
      <w:pPr>
        <w:pStyle w:val="ListParagraph"/>
        <w:numPr>
          <w:ilvl w:val="0"/>
          <w:numId w:val="2"/>
        </w:numPr>
        <w:spacing w:after="40" w:before="40"/>
      </w:pPr>
      <w:r>
        <w:rPr>
          <w:rFonts w:ascii="Arial" w:cs="Arial" w:eastAsia="Arial" w:hAnsi="Arial"/>
          <w:color w:val="000000"/>
          <w:sz w:val="20"/>
          <w:szCs w:val="20"/>
        </w:rPr>
        <w:t xml:space="preserve">GitHub Branch Protection</w:t>
      </w:r>
    </w:p>
    <w:p>
      <w:pPr>
        <w:pStyle w:val="ListParagraph"/>
        <w:numPr>
          <w:ilvl w:val="0"/>
          <w:numId w:val="2"/>
        </w:numPr>
        <w:spacing w:after="40" w:before="40"/>
      </w:pPr>
      <w:r>
        <w:rPr>
          <w:rFonts w:ascii="Arial" w:cs="Arial" w:eastAsia="Arial" w:hAnsi="Arial"/>
          <w:color w:val="000000"/>
          <w:sz w:val="20"/>
          <w:szCs w:val="20"/>
        </w:rPr>
        <w:t xml:space="preserve">GitHub Projects</w:t>
      </w:r>
    </w:p>
    <w:p>
      <w:pPr>
        <w:pStyle w:val="ListParagraph"/>
        <w:numPr>
          <w:ilvl w:val="0"/>
          <w:numId w:val="2"/>
        </w:numPr>
        <w:spacing w:after="40" w:before="40"/>
      </w:pPr>
      <w:r>
        <w:rPr>
          <w:rFonts w:ascii="Arial" w:cs="Arial" w:eastAsia="Arial" w:hAnsi="Arial"/>
          <w:color w:val="000000"/>
          <w:sz w:val="20"/>
          <w:szCs w:val="20"/>
        </w:rPr>
        <w:t xml:space="preserve">Azure DevOps</w:t>
      </w:r>
    </w:p>
    <w:p>
      <w:pPr>
        <w:pStyle w:val="ListParagraph"/>
        <w:numPr>
          <w:ilvl w:val="0"/>
          <w:numId w:val="2"/>
        </w:numPr>
        <w:spacing w:after="40" w:before="40"/>
      </w:pPr>
      <w:r>
        <w:rPr>
          <w:rFonts w:ascii="Arial" w:cs="Arial" w:eastAsia="Arial" w:hAnsi="Arial"/>
          <w:color w:val="000000"/>
          <w:sz w:val="20"/>
          <w:szCs w:val="20"/>
        </w:rPr>
        <w:t xml:space="preserve">Confluence</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The Entra ID service modules had accumulated critical SAST findings and inconsistent test coverage — a liability given the sensitivity of identity infrastructure. I built GitHub Actions pipelines with Semgrep SAST gates, Gitleaks secrets scanning, and SonarQube coverage enforcement across all modules. Drove critical findings to zero post-remediation and raised unit test coverage by 21%. The pipeline template was then adopted by 4 other service teams, multiplying the security posture improvement across the org.</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Critical SAST findings reduced to zero post-remediation</w:t>
      </w:r>
    </w:p>
    <w:p>
      <w:pPr>
        <w:pStyle w:val="ListParagraph"/>
        <w:numPr>
          <w:ilvl w:val="0"/>
          <w:numId w:val="3"/>
        </w:numPr>
        <w:spacing w:after="40" w:before="40"/>
      </w:pPr>
      <w:r>
        <w:rPr>
          <w:rFonts w:ascii="Arial" w:cs="Arial" w:eastAsia="Arial" w:hAnsi="Arial"/>
          <w:color w:val="000000"/>
          <w:sz w:val="20"/>
          <w:szCs w:val="20"/>
        </w:rPr>
        <w:t xml:space="preserve">Unit test coverage increased 21% across Entra ID service modules</w:t>
      </w:r>
    </w:p>
    <w:p>
      <w:pPr>
        <w:pStyle w:val="ListParagraph"/>
        <w:numPr>
          <w:ilvl w:val="0"/>
          <w:numId w:val="3"/>
        </w:numPr>
        <w:spacing w:after="40" w:before="40"/>
      </w:pPr>
      <w:r>
        <w:rPr>
          <w:rFonts w:ascii="Arial" w:cs="Arial" w:eastAsia="Arial" w:hAnsi="Arial"/>
          <w:color w:val="000000"/>
          <w:sz w:val="20"/>
          <w:szCs w:val="20"/>
        </w:rPr>
        <w:t xml:space="preserve">Secrets scanning blocked 3 accidental credential commits before they hit remote</w:t>
      </w:r>
    </w:p>
    <w:p>
      <w:pPr>
        <w:pStyle w:val="ListParagraph"/>
        <w:numPr>
          <w:ilvl w:val="0"/>
          <w:numId w:val="3"/>
        </w:numPr>
        <w:spacing w:after="40" w:before="40"/>
      </w:pPr>
      <w:r>
        <w:rPr>
          <w:rFonts w:ascii="Arial" w:cs="Arial" w:eastAsia="Arial" w:hAnsi="Arial"/>
          <w:color w:val="000000"/>
          <w:sz w:val="20"/>
          <w:szCs w:val="20"/>
        </w:rPr>
        <w:t xml:space="preserve">Pipeline template adopted by 4 additional service teams</w:t>
      </w:r>
    </w:p>
    <w:p>
      <w:pPr>
        <w:pStyle w:val="ListParagraph"/>
        <w:numPr>
          <w:ilvl w:val="0"/>
          <w:numId w:val="3"/>
        </w:numPr>
        <w:spacing w:after="40" w:before="40"/>
      </w:pPr>
      <w:r>
        <w:rPr>
          <w:rFonts w:ascii="Arial" w:cs="Arial" w:eastAsia="Arial" w:hAnsi="Arial"/>
          <w:color w:val="000000"/>
          <w:sz w:val="20"/>
          <w:szCs w:val="20"/>
        </w:rPr>
        <w:t xml:space="preserve">Branch protection eliminated direct pushes to main across all covered repos</w:t>
      </w:r>
    </w:p>
    <w:p>
      <w:pPr>
        <w:pBdr>
          <w:bottom w:val="single" w:color="CCCCCC" w:sz="2" w:space="1"/>
        </w:pBdr>
        <w:spacing w:after="120" w:before="120"/>
      </w:pPr>
      <w:r>
        <w:t xml:space="preserve"/>
      </w:r>
    </w:p>
    <w:p>
      <w:pPr>
        <w:spacing w:after="60" w:before="160"/>
      </w:pPr>
      <w:r>
        <w:rPr>
          <w:rFonts w:ascii="Arial" w:cs="Arial" w:eastAsia="Arial" w:hAnsi="Arial"/>
          <w:b/>
          <w:bCs/>
          <w:color w:val="FFFFFF"/>
          <w:sz w:val="19"/>
          <w:szCs w:val="19"/>
          <w:highlight w:val="darkBlue"/>
          <w:highlightCs w:val="darkBlue"/>
        </w:rPr>
        <w:t xml:space="preserve">[FinOps / Platform Engineering]  </w:t>
      </w:r>
      <w:r>
        <w:t xml:space="preserve">  </w:t>
      </w:r>
      <w:r>
        <w:rPr>
          <w:rFonts w:ascii="Arial" w:cs="Arial" w:eastAsia="Arial" w:hAnsi="Arial"/>
          <w:b/>
          <w:bCs/>
          <w:color w:val="1F4E79"/>
          <w:sz w:val="21"/>
          <w:szCs w:val="21"/>
        </w:rPr>
        <w:t xml:space="preserve">Cut Azure infrastructure costs 18% in 3 months and improved CI/CD velocity 27% — using Spark-based cost analytics, VM right-sizing, autoscaling, and codified .NET microservice blueprints</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FinOps is a named discipline in cloud-native engineering in 2025-2026. Engineers who can connect infrastructure decisions to cost outcomes — using data, not intuition — are highly valued at companies managing cloud spend at scale. The blueprint story also signals platform engineering maturity: you did not just fix your own services, you raised the floor for the whole team.</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Azure Cost Analysis exports landed in Azure Data Lake Storage; Azure Databricks Spark jobs parsed and joined cost data with Azure Monitor utilization metrics to produce per-service cost attribution. Analysis surfaced over-provisioned VM SKUs and consistently idle AKS node pools during off-peak hours. Right-sizing changes applied via Terraform variable updates — infrastructure as code meant every SKU change was code-reviewed, documented, and reversible. VMSS autoscaling rules configured on custom metrics (queue depth, CPU p90) rather than simple CPU thresholds. .NET microservice blueprints codified as a Yeoman generator + Terraform module: new services scaffolded in minutes with correct CI/CD pipeline, APIM integration, and security gates pre-wired.</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Cost baselines snapshotted before any change. Right-sizing changes staged through dev to staging to prod with a 2-week monitoring window at each stage. Blueprint adoption tracked in a quarterly Platform Engineering review. Databricks jobs version-controlled and tested against synthetic cost exports before running against live data.</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FinOps findings presented to the Engineering Director in monthly cost reviews — recommendations framed as cost-per-service impact, not just raw numbers. Databricks job co-authored with the data platform team. Blueprint design workshopped with 3 service teams to ensure it covered diverse use cases.</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Azure Databricks (Spark)</w:t>
      </w:r>
    </w:p>
    <w:p>
      <w:pPr>
        <w:pStyle w:val="ListParagraph"/>
        <w:numPr>
          <w:ilvl w:val="0"/>
          <w:numId w:val="2"/>
        </w:numPr>
        <w:spacing w:after="40" w:before="40"/>
      </w:pPr>
      <w:r>
        <w:rPr>
          <w:rFonts w:ascii="Arial" w:cs="Arial" w:eastAsia="Arial" w:hAnsi="Arial"/>
          <w:color w:val="000000"/>
          <w:sz w:val="20"/>
          <w:szCs w:val="20"/>
        </w:rPr>
        <w:t xml:space="preserve">Azure Data Lake Storage</w:t>
      </w:r>
    </w:p>
    <w:p>
      <w:pPr>
        <w:pStyle w:val="ListParagraph"/>
        <w:numPr>
          <w:ilvl w:val="0"/>
          <w:numId w:val="2"/>
        </w:numPr>
        <w:spacing w:after="40" w:before="40"/>
      </w:pPr>
      <w:r>
        <w:rPr>
          <w:rFonts w:ascii="Arial" w:cs="Arial" w:eastAsia="Arial" w:hAnsi="Arial"/>
          <w:color w:val="000000"/>
          <w:sz w:val="20"/>
          <w:szCs w:val="20"/>
        </w:rPr>
        <w:t xml:space="preserve">Azure Cost Analysis API</w:t>
      </w:r>
    </w:p>
    <w:p>
      <w:pPr>
        <w:pStyle w:val="ListParagraph"/>
        <w:numPr>
          <w:ilvl w:val="0"/>
          <w:numId w:val="2"/>
        </w:numPr>
        <w:spacing w:after="40" w:before="40"/>
      </w:pPr>
      <w:r>
        <w:rPr>
          <w:rFonts w:ascii="Arial" w:cs="Arial" w:eastAsia="Arial" w:hAnsi="Arial"/>
          <w:color w:val="000000"/>
          <w:sz w:val="20"/>
          <w:szCs w:val="20"/>
        </w:rPr>
        <w:t xml:space="preserve">Terraform</w:t>
      </w:r>
    </w:p>
    <w:p>
      <w:pPr>
        <w:pStyle w:val="ListParagraph"/>
        <w:numPr>
          <w:ilvl w:val="0"/>
          <w:numId w:val="2"/>
        </w:numPr>
        <w:spacing w:after="40" w:before="40"/>
      </w:pPr>
      <w:r>
        <w:rPr>
          <w:rFonts w:ascii="Arial" w:cs="Arial" w:eastAsia="Arial" w:hAnsi="Arial"/>
          <w:color w:val="000000"/>
          <w:sz w:val="20"/>
          <w:szCs w:val="20"/>
        </w:rPr>
        <w:t xml:space="preserve">Azure Monitor</w:t>
      </w:r>
    </w:p>
    <w:p>
      <w:pPr>
        <w:pStyle w:val="ListParagraph"/>
        <w:numPr>
          <w:ilvl w:val="0"/>
          <w:numId w:val="2"/>
        </w:numPr>
        <w:spacing w:after="40" w:before="40"/>
      </w:pPr>
      <w:r>
        <w:rPr>
          <w:rFonts w:ascii="Arial" w:cs="Arial" w:eastAsia="Arial" w:hAnsi="Arial"/>
          <w:color w:val="000000"/>
          <w:sz w:val="20"/>
          <w:szCs w:val="20"/>
        </w:rPr>
        <w:t xml:space="preserve">VMSS autoscaling</w:t>
      </w:r>
    </w:p>
    <w:p>
      <w:pPr>
        <w:pStyle w:val="ListParagraph"/>
        <w:numPr>
          <w:ilvl w:val="0"/>
          <w:numId w:val="2"/>
        </w:numPr>
        <w:spacing w:after="40" w:before="40"/>
      </w:pPr>
      <w:r>
        <w:rPr>
          <w:rFonts w:ascii="Arial" w:cs="Arial" w:eastAsia="Arial" w:hAnsi="Arial"/>
          <w:color w:val="000000"/>
          <w:sz w:val="20"/>
          <w:szCs w:val="20"/>
        </w:rPr>
        <w:t xml:space="preserve">Azure Kubernetes Service</w:t>
      </w:r>
    </w:p>
    <w:p>
      <w:pPr>
        <w:pStyle w:val="ListParagraph"/>
        <w:numPr>
          <w:ilvl w:val="0"/>
          <w:numId w:val="2"/>
        </w:numPr>
        <w:spacing w:after="40" w:before="40"/>
      </w:pPr>
      <w:r>
        <w:rPr>
          <w:rFonts w:ascii="Arial" w:cs="Arial" w:eastAsia="Arial" w:hAnsi="Arial"/>
          <w:color w:val="000000"/>
          <w:sz w:val="20"/>
          <w:szCs w:val="20"/>
        </w:rPr>
        <w:t xml:space="preserve">Yeoman</w:t>
      </w:r>
    </w:p>
    <w:p>
      <w:pPr>
        <w:pStyle w:val="ListParagraph"/>
        <w:numPr>
          <w:ilvl w:val="0"/>
          <w:numId w:val="2"/>
        </w:numPr>
        <w:spacing w:after="40" w:before="40"/>
      </w:pPr>
      <w:r>
        <w:rPr>
          <w:rFonts w:ascii="Arial" w:cs="Arial" w:eastAsia="Arial" w:hAnsi="Arial"/>
          <w:color w:val="000000"/>
          <w:sz w:val="20"/>
          <w:szCs w:val="20"/>
        </w:rPr>
        <w:t xml:space="preserve">Power BI</w:t>
      </w:r>
    </w:p>
    <w:p>
      <w:pPr>
        <w:pStyle w:val="ListParagraph"/>
        <w:numPr>
          <w:ilvl w:val="0"/>
          <w:numId w:val="2"/>
        </w:numPr>
        <w:spacing w:after="40" w:before="40"/>
      </w:pPr>
      <w:r>
        <w:rPr>
          <w:rFonts w:ascii="Arial" w:cs="Arial" w:eastAsia="Arial" w:hAnsi="Arial"/>
          <w:color w:val="000000"/>
          <w:sz w:val="20"/>
          <w:szCs w:val="20"/>
        </w:rPr>
        <w:t xml:space="preserve">Azure DevOps</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Azure infrastructure spend was growing faster than headcount, and there was no systematic way to trace costs back to individual services. I ran Spark analytics on Cost Analysis exports in Databricks to identify the highest-impact inefficiencies — over-provisioned VMs and idle node pools accounted for the majority of waste. I right-sized the instances via Terraform, configured custom-metric autoscaling, and codified reusable .NET microservice blueprints to prevent cost-inefficient patterns from recurring in new services. The result was an 18% cost reduction in 3 months and a 27% improvement in CI/CD velocity from blueprint adoption.</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18% Azure infrastructure cost reduction over 3 months</w:t>
      </w:r>
    </w:p>
    <w:p>
      <w:pPr>
        <w:pStyle w:val="ListParagraph"/>
        <w:numPr>
          <w:ilvl w:val="0"/>
          <w:numId w:val="3"/>
        </w:numPr>
        <w:spacing w:after="40" w:before="40"/>
      </w:pPr>
      <w:r>
        <w:rPr>
          <w:rFonts w:ascii="Arial" w:cs="Arial" w:eastAsia="Arial" w:hAnsi="Arial"/>
          <w:color w:val="000000"/>
          <w:sz w:val="20"/>
          <w:szCs w:val="20"/>
        </w:rPr>
        <w:t xml:space="preserve">27% CI/CD velocity improvement from blueprint adoption</w:t>
      </w:r>
    </w:p>
    <w:p>
      <w:pPr>
        <w:pStyle w:val="ListParagraph"/>
        <w:numPr>
          <w:ilvl w:val="0"/>
          <w:numId w:val="3"/>
        </w:numPr>
        <w:spacing w:after="40" w:before="40"/>
      </w:pPr>
      <w:r>
        <w:rPr>
          <w:rFonts w:ascii="Arial" w:cs="Arial" w:eastAsia="Arial" w:hAnsi="Arial"/>
          <w:color w:val="000000"/>
          <w:sz w:val="20"/>
          <w:szCs w:val="20"/>
        </w:rPr>
        <w:t xml:space="preserve">Over-provisioned SKUs right-sized across 6 services via Terraform</w:t>
      </w:r>
    </w:p>
    <w:p>
      <w:pPr>
        <w:pStyle w:val="ListParagraph"/>
        <w:numPr>
          <w:ilvl w:val="0"/>
          <w:numId w:val="3"/>
        </w:numPr>
        <w:spacing w:after="40" w:before="40"/>
      </w:pPr>
      <w:r>
        <w:rPr>
          <w:rFonts w:ascii="Arial" w:cs="Arial" w:eastAsia="Arial" w:hAnsi="Arial"/>
          <w:color w:val="000000"/>
          <w:sz w:val="20"/>
          <w:szCs w:val="20"/>
        </w:rPr>
        <w:t xml:space="preserve">Autoscaling on custom metrics replaced wasteful over-provisioning patterns</w:t>
      </w:r>
    </w:p>
    <w:p>
      <w:pPr>
        <w:pStyle w:val="ListParagraph"/>
        <w:numPr>
          <w:ilvl w:val="0"/>
          <w:numId w:val="3"/>
        </w:numPr>
        <w:spacing w:after="40" w:before="40"/>
      </w:pPr>
      <w:r>
        <w:rPr>
          <w:rFonts w:ascii="Arial" w:cs="Arial" w:eastAsia="Arial" w:hAnsi="Arial"/>
          <w:color w:val="000000"/>
          <w:sz w:val="20"/>
          <w:szCs w:val="20"/>
        </w:rPr>
        <w:t xml:space="preserve">Blueprint reduced new service bootstrap from ~2 days to under 30 minutes</w:t>
      </w:r>
    </w:p>
    <w:p>
      <w:pPr>
        <w:pBdr>
          <w:bottom w:val="single" w:color="CCCCCC" w:sz="2" w:space="1"/>
        </w:pBdr>
        <w:spacing w:after="120" w:before="120"/>
      </w:pPr>
      <w:r>
        <w:t xml:space="preserve"/>
      </w:r>
    </w:p>
    <w:p>
      <w:pPr>
        <w:spacing w:after="60" w:before="160"/>
      </w:pPr>
      <w:r>
        <w:rPr>
          <w:rFonts w:ascii="Arial" w:cs="Arial" w:eastAsia="Arial" w:hAnsi="Arial"/>
          <w:b/>
          <w:bCs/>
          <w:color w:val="FFFFFF"/>
          <w:sz w:val="19"/>
          <w:szCs w:val="19"/>
          <w:highlight w:val="darkBlue"/>
          <w:highlightCs w:val="darkBlue"/>
        </w:rPr>
        <w:t xml:space="preserve">[Internal Tooling / Frontend]  </w:t>
      </w:r>
      <w:r>
        <w:t xml:space="preserve">  </w:t>
      </w:r>
      <w:r>
        <w:rPr>
          <w:rFonts w:ascii="Arial" w:cs="Arial" w:eastAsia="Arial" w:hAnsi="Arial"/>
          <w:b/>
          <w:bCs/>
          <w:color w:val="1F4E79"/>
          <w:sz w:val="21"/>
          <w:szCs w:val="21"/>
        </w:rPr>
        <w:t xml:space="preserve">Built a React 18 internal tooling dashboard with live GitHub Actions and Azure Cost Analysis feeds, Recharts visualizations, and Entra ID RBAC — unifying SAST and FinOps visibility per team</w:t>
      </w:r>
    </w:p>
    <w:p>
      <w:pPr>
        <w:spacing w:after="40" w:before="140"/>
      </w:pPr>
      <w:r>
        <w:rPr>
          <w:rFonts w:ascii="Arial" w:cs="Arial" w:eastAsia="Arial" w:hAnsi="Arial"/>
          <w:b/>
          <w:bCs/>
          <w:caps/>
          <w:color w:val="2E75B6"/>
          <w:sz w:val="18"/>
          <w:szCs w:val="18"/>
        </w:rPr>
        <w:t xml:space="preserve">WHY THIS LANDS IN 2025–2026</w:t>
      </w:r>
    </w:p>
    <w:p>
      <w:pPr>
        <w:spacing w:after="80" w:before="0"/>
      </w:pPr>
      <w:r>
        <w:rPr>
          <w:rFonts w:ascii="Arial" w:cs="Arial" w:eastAsia="Arial" w:hAnsi="Arial"/>
          <w:color w:val="000000"/>
          <w:sz w:val="20"/>
          <w:szCs w:val="20"/>
        </w:rPr>
        <w:t xml:space="preserve">Internal tooling that directly improves developer and security team workflows is a high-value signal in 2025-2026 hiring. It shows product thinking (who are the users, what do they need), technical execution (live API feeds, auth, role-gated data), and organizational impact beyond your direct team.</w:t>
      </w:r>
    </w:p>
    <w:p>
      <w:pPr>
        <w:spacing w:after="60" w:before="60"/>
      </w:pPr>
      <w:r>
        <w:t xml:space="preserve"/>
      </w:r>
    </w:p>
    <w:p>
      <w:pPr>
        <w:spacing w:after="40" w:before="140"/>
      </w:pPr>
      <w:r>
        <w:rPr>
          <w:rFonts w:ascii="Arial" w:cs="Arial" w:eastAsia="Arial" w:hAnsi="Arial"/>
          <w:b/>
          <w:bCs/>
          <w:caps/>
          <w:color w:val="2E75B6"/>
          <w:sz w:val="18"/>
          <w:szCs w:val="18"/>
        </w:rPr>
        <w:t xml:space="preserve">SYSTEM ARCHITECTURE</w:t>
      </w:r>
    </w:p>
    <w:p>
      <w:pPr>
        <w:spacing w:after="80" w:before="0"/>
      </w:pPr>
      <w:r>
        <w:rPr>
          <w:rFonts w:ascii="Arial" w:cs="Arial" w:eastAsia="Arial" w:hAnsi="Arial"/>
          <w:color w:val="000000"/>
          <w:sz w:val="20"/>
          <w:szCs w:val="20"/>
        </w:rPr>
        <w:t xml:space="preserve">React 18 SPA with Vite for fast local iteration and optimized production builds. Two live REST API integrations: GitHub Actions REST API (workflow run status, SAST gate results, coverage delta per repo) and Azure Cost Analysis REST API (daily cost by service, rolling 30-day trend). Recharts rendered time-series cost burn, SAST finding trend, and coverage delta — all with drill-down to individual service views. Entra ID OAuth 2.0 PKCE flow for authentication; role claims in the JWT decoded into React Context-based RBAC. 5-minute polling interval for data freshness — a deliberate choice over WebSockets given acceptable staleness for the use case.</w:t>
      </w:r>
    </w:p>
    <w:p>
      <w:pPr>
        <w:spacing w:after="60" w:before="60"/>
      </w:pPr>
      <w:r>
        <w:t xml:space="preserve"/>
      </w:r>
    </w:p>
    <w:p>
      <w:pPr>
        <w:spacing w:after="40" w:before="140"/>
      </w:pPr>
      <w:r>
        <w:rPr>
          <w:rFonts w:ascii="Arial" w:cs="Arial" w:eastAsia="Arial" w:hAnsi="Arial"/>
          <w:b/>
          <w:bCs/>
          <w:caps/>
          <w:color w:val="2E75B6"/>
          <w:sz w:val="18"/>
          <w:szCs w:val="18"/>
        </w:rPr>
        <w:t xml:space="preserve">SDLC &amp; ENGINEERING PROCESS</w:t>
      </w:r>
    </w:p>
    <w:p>
      <w:pPr>
        <w:spacing w:after="80" w:before="0"/>
      </w:pPr>
      <w:r>
        <w:rPr>
          <w:rFonts w:ascii="Arial" w:cs="Arial" w:eastAsia="Arial" w:hAnsi="Arial"/>
          <w:color w:val="000000"/>
          <w:sz w:val="20"/>
          <w:szCs w:val="20"/>
        </w:rPr>
        <w:t xml:space="preserve">Component-first development: every chart built as an isolated Storybook story before any live API was wired in. API contracts mocked with MSW (Mock Service Worker) so frontend and backend teams developed in parallel without blocking each other. Deployed to Azure Static Web Apps with GitHub Actions CD on merge to main.</w:t>
      </w:r>
    </w:p>
    <w:p>
      <w:pPr>
        <w:spacing w:after="60" w:before="60"/>
      </w:pPr>
      <w:r>
        <w:t xml:space="preserve"/>
      </w:r>
    </w:p>
    <w:p>
      <w:pPr>
        <w:spacing w:after="40" w:before="140"/>
      </w:pPr>
      <w:r>
        <w:rPr>
          <w:rFonts w:ascii="Arial" w:cs="Arial" w:eastAsia="Arial" w:hAnsi="Arial"/>
          <w:b/>
          <w:bCs/>
          <w:caps/>
          <w:color w:val="2E75B6"/>
          <w:sz w:val="18"/>
          <w:szCs w:val="18"/>
        </w:rPr>
        <w:t xml:space="preserve">COLLABORATION</w:t>
      </w:r>
    </w:p>
    <w:p>
      <w:pPr>
        <w:spacing w:after="80" w:before="0"/>
      </w:pPr>
      <w:r>
        <w:rPr>
          <w:rFonts w:ascii="Arial" w:cs="Arial" w:eastAsia="Arial" w:hAnsi="Arial"/>
          <w:color w:val="000000"/>
          <w:sz w:val="20"/>
          <w:szCs w:val="20"/>
        </w:rPr>
        <w:t xml:space="preserve">Requirements gathered from Security (SAST view), the FinOps lead (cost view), and Engineering managers (per-team drill-down) before design began. Iterative feedback via async Loom demo recordings shared before live reviews.</w:t>
      </w:r>
    </w:p>
    <w:p>
      <w:pPr>
        <w:spacing w:after="60" w:before="60"/>
      </w:pPr>
      <w:r>
        <w:t xml:space="preserve"/>
      </w:r>
    </w:p>
    <w:p>
      <w:pPr>
        <w:spacing w:after="40" w:before="140"/>
      </w:pPr>
      <w:r>
        <w:rPr>
          <w:rFonts w:ascii="Arial" w:cs="Arial" w:eastAsia="Arial" w:hAnsi="Arial"/>
          <w:b/>
          <w:bCs/>
          <w:caps/>
          <w:color w:val="2E75B6"/>
          <w:sz w:val="18"/>
          <w:szCs w:val="18"/>
        </w:rPr>
        <w:t xml:space="preserve">TOOLS &amp; STACK</w:t>
      </w:r>
    </w:p>
    <w:p>
      <w:pPr>
        <w:pStyle w:val="ListParagraph"/>
        <w:numPr>
          <w:ilvl w:val="0"/>
          <w:numId w:val="2"/>
        </w:numPr>
        <w:spacing w:after="40" w:before="40"/>
      </w:pPr>
      <w:r>
        <w:rPr>
          <w:rFonts w:ascii="Arial" w:cs="Arial" w:eastAsia="Arial" w:hAnsi="Arial"/>
          <w:color w:val="000000"/>
          <w:sz w:val="20"/>
          <w:szCs w:val="20"/>
        </w:rPr>
        <w:t xml:space="preserve">React 18</w:t>
      </w:r>
    </w:p>
    <w:p>
      <w:pPr>
        <w:pStyle w:val="ListParagraph"/>
        <w:numPr>
          <w:ilvl w:val="0"/>
          <w:numId w:val="2"/>
        </w:numPr>
        <w:spacing w:after="40" w:before="40"/>
      </w:pPr>
      <w:r>
        <w:rPr>
          <w:rFonts w:ascii="Arial" w:cs="Arial" w:eastAsia="Arial" w:hAnsi="Arial"/>
          <w:color w:val="000000"/>
          <w:sz w:val="20"/>
          <w:szCs w:val="20"/>
        </w:rPr>
        <w:t xml:space="preserve">Vite</w:t>
      </w:r>
    </w:p>
    <w:p>
      <w:pPr>
        <w:pStyle w:val="ListParagraph"/>
        <w:numPr>
          <w:ilvl w:val="0"/>
          <w:numId w:val="2"/>
        </w:numPr>
        <w:spacing w:after="40" w:before="40"/>
      </w:pPr>
      <w:r>
        <w:rPr>
          <w:rFonts w:ascii="Arial" w:cs="Arial" w:eastAsia="Arial" w:hAnsi="Arial"/>
          <w:color w:val="000000"/>
          <w:sz w:val="20"/>
          <w:szCs w:val="20"/>
        </w:rPr>
        <w:t xml:space="preserve">Recharts</w:t>
      </w:r>
    </w:p>
    <w:p>
      <w:pPr>
        <w:pStyle w:val="ListParagraph"/>
        <w:numPr>
          <w:ilvl w:val="0"/>
          <w:numId w:val="2"/>
        </w:numPr>
        <w:spacing w:after="40" w:before="40"/>
      </w:pPr>
      <w:r>
        <w:rPr>
          <w:rFonts w:ascii="Arial" w:cs="Arial" w:eastAsia="Arial" w:hAnsi="Arial"/>
          <w:color w:val="000000"/>
          <w:sz w:val="20"/>
          <w:szCs w:val="20"/>
        </w:rPr>
        <w:t xml:space="preserve">GitHub Actions REST API</w:t>
      </w:r>
    </w:p>
    <w:p>
      <w:pPr>
        <w:pStyle w:val="ListParagraph"/>
        <w:numPr>
          <w:ilvl w:val="0"/>
          <w:numId w:val="2"/>
        </w:numPr>
        <w:spacing w:after="40" w:before="40"/>
      </w:pPr>
      <w:r>
        <w:rPr>
          <w:rFonts w:ascii="Arial" w:cs="Arial" w:eastAsia="Arial" w:hAnsi="Arial"/>
          <w:color w:val="000000"/>
          <w:sz w:val="20"/>
          <w:szCs w:val="20"/>
        </w:rPr>
        <w:t xml:space="preserve">Azure Cost Analysis REST API</w:t>
      </w:r>
    </w:p>
    <w:p>
      <w:pPr>
        <w:pStyle w:val="ListParagraph"/>
        <w:numPr>
          <w:ilvl w:val="0"/>
          <w:numId w:val="2"/>
        </w:numPr>
        <w:spacing w:after="40" w:before="40"/>
      </w:pPr>
      <w:r>
        <w:rPr>
          <w:rFonts w:ascii="Arial" w:cs="Arial" w:eastAsia="Arial" w:hAnsi="Arial"/>
          <w:color w:val="000000"/>
          <w:sz w:val="20"/>
          <w:szCs w:val="20"/>
        </w:rPr>
        <w:t xml:space="preserve">Entra ID (OAuth 2.0 PKCE)</w:t>
      </w:r>
    </w:p>
    <w:p>
      <w:pPr>
        <w:pStyle w:val="ListParagraph"/>
        <w:numPr>
          <w:ilvl w:val="0"/>
          <w:numId w:val="2"/>
        </w:numPr>
        <w:spacing w:after="40" w:before="40"/>
      </w:pPr>
      <w:r>
        <w:rPr>
          <w:rFonts w:ascii="Arial" w:cs="Arial" w:eastAsia="Arial" w:hAnsi="Arial"/>
          <w:color w:val="000000"/>
          <w:sz w:val="20"/>
          <w:szCs w:val="20"/>
        </w:rPr>
        <w:t xml:space="preserve">MSW</w:t>
      </w:r>
    </w:p>
    <w:p>
      <w:pPr>
        <w:pStyle w:val="ListParagraph"/>
        <w:numPr>
          <w:ilvl w:val="0"/>
          <w:numId w:val="2"/>
        </w:numPr>
        <w:spacing w:after="40" w:before="40"/>
      </w:pPr>
      <w:r>
        <w:rPr>
          <w:rFonts w:ascii="Arial" w:cs="Arial" w:eastAsia="Arial" w:hAnsi="Arial"/>
          <w:color w:val="000000"/>
          <w:sz w:val="20"/>
          <w:szCs w:val="20"/>
        </w:rPr>
        <w:t xml:space="preserve">Storybook</w:t>
      </w:r>
    </w:p>
    <w:p>
      <w:pPr>
        <w:pStyle w:val="ListParagraph"/>
        <w:numPr>
          <w:ilvl w:val="0"/>
          <w:numId w:val="2"/>
        </w:numPr>
        <w:spacing w:after="40" w:before="40"/>
      </w:pPr>
      <w:r>
        <w:rPr>
          <w:rFonts w:ascii="Arial" w:cs="Arial" w:eastAsia="Arial" w:hAnsi="Arial"/>
          <w:color w:val="000000"/>
          <w:sz w:val="20"/>
          <w:szCs w:val="20"/>
        </w:rPr>
        <w:t xml:space="preserve">Azure Static Web Apps</w:t>
      </w:r>
    </w:p>
    <w:p>
      <w:pPr>
        <w:pStyle w:val="ListParagraph"/>
        <w:numPr>
          <w:ilvl w:val="0"/>
          <w:numId w:val="2"/>
        </w:numPr>
        <w:spacing w:after="40" w:before="40"/>
      </w:pPr>
      <w:r>
        <w:rPr>
          <w:rFonts w:ascii="Arial" w:cs="Arial" w:eastAsia="Arial" w:hAnsi="Arial"/>
          <w:color w:val="000000"/>
          <w:sz w:val="20"/>
          <w:szCs w:val="20"/>
        </w:rPr>
        <w:t xml:space="preserve">Azure DevOps</w:t>
      </w:r>
    </w:p>
    <w:p>
      <w:pPr>
        <w:spacing w:after="60" w:before="60"/>
      </w:pPr>
      <w:r>
        <w:t xml:space="preserve"/>
      </w:r>
    </w:p>
    <w:p>
      <w:pPr>
        <w:spacing w:after="40" w:before="140"/>
      </w:pPr>
      <w:r>
        <w:rPr>
          <w:rFonts w:ascii="Arial" w:cs="Arial" w:eastAsia="Arial" w:hAnsi="Arial"/>
          <w:b/>
          <w:bCs/>
          <w:caps/>
          <w:color w:val="2E75B6"/>
          <w:sz w:val="18"/>
          <w:szCs w:val="18"/>
        </w:rPr>
        <w:t xml:space="preserve">STAR INTERVIEW ANSWER</w:t>
      </w:r>
    </w:p>
    <w:p>
      <w:pPr>
        <w:pBdr>
          <w:left w:val="single" w:color="2E75B6" w:sz="12" w:space="8"/>
        </w:pBdr>
        <w:spacing w:after="60" w:before="60"/>
        <w:ind w:left="440"/>
      </w:pPr>
      <w:r>
        <w:rPr>
          <w:rFonts w:ascii="Arial" w:cs="Arial" w:eastAsia="Arial" w:hAnsi="Arial"/>
          <w:b/>
          <w:bCs/>
          <w:color w:val="2E75B6"/>
          <w:sz w:val="19"/>
          <w:szCs w:val="19"/>
        </w:rPr>
        <w:t xml:space="preserve">S/T/A/R  </w:t>
      </w:r>
      <w:r>
        <w:rPr>
          <w:rFonts w:ascii="Arial" w:cs="Arial" w:eastAsia="Arial" w:hAnsi="Arial"/>
          <w:i/>
          <w:iCs/>
          <w:color w:val="333333"/>
          <w:sz w:val="19"/>
          <w:szCs w:val="19"/>
        </w:rPr>
        <w:t xml:space="preserve">Security and FinOps data lived in separate systems with different access models — engineering managers had no self-serve visibility into either. I built a React 18 internal dashboard pulling live feeds from GitHub Actions and Azure Cost Analysis, with Recharts visualizations and Entra ID RBAC controlling what each role could see. The Security team used the SAST trend view to prioritize remediation sprints; managers got self-serve cost visibility without needing Databricks access. The 5-minute refresh cycle replaced the previous 24-hour lag from manual export reviews.</w:t>
      </w:r>
    </w:p>
    <w:p>
      <w:pPr>
        <w:spacing w:after="60" w:before="60"/>
      </w:pPr>
      <w:r>
        <w:t xml:space="preserve"/>
      </w:r>
    </w:p>
    <w:p>
      <w:pPr>
        <w:spacing w:after="40" w:before="140"/>
      </w:pPr>
      <w:r>
        <w:rPr>
          <w:rFonts w:ascii="Arial" w:cs="Arial" w:eastAsia="Arial" w:hAnsi="Arial"/>
          <w:b/>
          <w:bCs/>
          <w:caps/>
          <w:color w:val="2E75B6"/>
          <w:sz w:val="18"/>
          <w:szCs w:val="18"/>
        </w:rPr>
        <w:t xml:space="preserve">IMPACT &amp; STABILITY</w:t>
      </w:r>
    </w:p>
    <w:p>
      <w:pPr>
        <w:pStyle w:val="ListParagraph"/>
        <w:numPr>
          <w:ilvl w:val="0"/>
          <w:numId w:val="3"/>
        </w:numPr>
        <w:spacing w:after="40" w:before="40"/>
      </w:pPr>
      <w:r>
        <w:rPr>
          <w:rFonts w:ascii="Arial" w:cs="Arial" w:eastAsia="Arial" w:hAnsi="Arial"/>
          <w:color w:val="000000"/>
          <w:sz w:val="20"/>
          <w:szCs w:val="20"/>
        </w:rPr>
        <w:t xml:space="preserve">SAST and FinOps data unified in one RBAC-gated interface</w:t>
      </w:r>
    </w:p>
    <w:p>
      <w:pPr>
        <w:pStyle w:val="ListParagraph"/>
        <w:numPr>
          <w:ilvl w:val="0"/>
          <w:numId w:val="3"/>
        </w:numPr>
        <w:spacing w:after="40" w:before="40"/>
      </w:pPr>
      <w:r>
        <w:rPr>
          <w:rFonts w:ascii="Arial" w:cs="Arial" w:eastAsia="Arial" w:hAnsi="Arial"/>
          <w:color w:val="000000"/>
          <w:sz w:val="20"/>
          <w:szCs w:val="20"/>
        </w:rPr>
        <w:t xml:space="preserve">Engineering managers gained self-serve cost visibility — no Databricks access required</w:t>
      </w:r>
    </w:p>
    <w:p>
      <w:pPr>
        <w:pStyle w:val="ListParagraph"/>
        <w:numPr>
          <w:ilvl w:val="0"/>
          <w:numId w:val="3"/>
        </w:numPr>
        <w:spacing w:after="40" w:before="40"/>
      </w:pPr>
      <w:r>
        <w:rPr>
          <w:rFonts w:ascii="Arial" w:cs="Arial" w:eastAsia="Arial" w:hAnsi="Arial"/>
          <w:color w:val="000000"/>
          <w:sz w:val="20"/>
          <w:szCs w:val="20"/>
        </w:rPr>
        <w:t xml:space="preserve">Security team used SAST trend view to drive remediation sprint prioritization</w:t>
      </w:r>
    </w:p>
    <w:p>
      <w:pPr>
        <w:pStyle w:val="ListParagraph"/>
        <w:numPr>
          <w:ilvl w:val="0"/>
          <w:numId w:val="3"/>
        </w:numPr>
        <w:spacing w:after="40" w:before="40"/>
      </w:pPr>
      <w:r>
        <w:rPr>
          <w:rFonts w:ascii="Arial" w:cs="Arial" w:eastAsia="Arial" w:hAnsi="Arial"/>
          <w:color w:val="000000"/>
          <w:sz w:val="20"/>
          <w:szCs w:val="20"/>
        </w:rPr>
        <w:t xml:space="preserve">5-minute refresh cycle replaced 24-hour lag from manual export reviews</w:t>
      </w:r>
    </w:p>
    <w:p>
      <w:pPr>
        <w:pStyle w:val="ListParagraph"/>
        <w:numPr>
          <w:ilvl w:val="0"/>
          <w:numId w:val="3"/>
        </w:numPr>
        <w:spacing w:after="40" w:before="40"/>
      </w:pPr>
      <w:r>
        <w:rPr>
          <w:rFonts w:ascii="Arial" w:cs="Arial" w:eastAsia="Arial" w:hAnsi="Arial"/>
          <w:color w:val="000000"/>
          <w:sz w:val="20"/>
          <w:szCs w:val="20"/>
        </w:rPr>
        <w:t xml:space="preserve">MSW-based parallel dev pattern adopted by the team for subsequent dashboard projects</w:t>
      </w:r>
    </w:p>
    <w:p>
      <w:pPr>
        <w:pBdr>
          <w:bottom w:val="single" w:color="CCCCCC" w:sz="2" w:space="1"/>
        </w:pBdr>
        <w:spacing w:after="120" w:before="120"/>
      </w:pPr>
      <w:r>
        <w:t xml:space="preserve"/>
      </w:r>
    </w:p>
    <w:p>
      <w:pPr>
        <w:pBdr>
          <w:top w:val="single" w:color="2E75B6" w:sz="4" w:space="8"/>
        </w:pBdr>
        <w:spacing w:after="80" w:before="240"/>
      </w:pPr>
      <w:r>
        <w:rPr>
          <w:rFonts w:ascii="Arial" w:cs="Arial" w:eastAsia="Arial" w:hAnsi="Arial"/>
          <w:b/>
          <w:bCs/>
          <w:color w:val="1F4E79"/>
          <w:sz w:val="24"/>
          <w:szCs w:val="24"/>
        </w:rPr>
        <w:t xml:space="preserve">Notes on framing for the 2025–2026 market</w:t>
      </w:r>
    </w:p>
    <w:p>
      <w:pPr>
        <w:spacing w:after="80" w:before="0"/>
      </w:pPr>
      <w:r>
        <w:rPr>
          <w:rFonts w:ascii="Arial" w:cs="Arial" w:eastAsia="Arial" w:hAnsi="Arial"/>
          <w:color w:val="000000"/>
          <w:sz w:val="20"/>
          <w:szCs w:val="20"/>
        </w:rPr>
        <w:t xml:space="preserve">The following reframes were applied throughout this document to align with current recruiter and hiring manager vocabulary:</w:t>
      </w:r>
    </w:p>
    <w:p>
      <w:pPr>
        <w:pStyle w:val="ListParagraph"/>
        <w:numPr>
          <w:ilvl w:val="0"/>
          <w:numId w:val="2"/>
        </w:numPr>
        <w:spacing w:after="40" w:before="40"/>
      </w:pPr>
      <w:r>
        <w:rPr>
          <w:rFonts w:ascii="Arial" w:cs="Arial" w:eastAsia="Arial" w:hAnsi="Arial"/>
          <w:color w:val="000000"/>
          <w:sz w:val="20"/>
          <w:szCs w:val="20"/>
        </w:rPr>
        <w:t xml:space="preserve">"LLM-as-a-service infrastructure" reframed as "production LLM platform" — platform implies ownership, scale, and dependency by other engineers</w:t>
      </w:r>
    </w:p>
    <w:p>
      <w:pPr>
        <w:pStyle w:val="ListParagraph"/>
        <w:numPr>
          <w:ilvl w:val="0"/>
          <w:numId w:val="2"/>
        </w:numPr>
        <w:spacing w:after="40" w:before="40"/>
      </w:pPr>
      <w:r>
        <w:rPr>
          <w:rFonts w:ascii="Arial" w:cs="Arial" w:eastAsia="Arial" w:hAnsi="Arial"/>
          <w:color w:val="000000"/>
          <w:sz w:val="20"/>
          <w:szCs w:val="20"/>
        </w:rPr>
        <w:t xml:space="preserve">"AIOps telemetry pipeline" kept but paired with MLOps and intelligent observability — the two dominant terms in 2025 SRE/platform JDs</w:t>
      </w:r>
    </w:p>
    <w:p>
      <w:pPr>
        <w:pStyle w:val="ListParagraph"/>
        <w:numPr>
          <w:ilvl w:val="0"/>
          <w:numId w:val="2"/>
        </w:numPr>
        <w:spacing w:after="40" w:before="40"/>
      </w:pPr>
      <w:r>
        <w:rPr>
          <w:rFonts w:ascii="Arial" w:cs="Arial" w:eastAsia="Arial" w:hAnsi="Arial"/>
          <w:color w:val="000000"/>
          <w:sz w:val="20"/>
          <w:szCs w:val="20"/>
        </w:rPr>
        <w:t xml:space="preserve">"CI/CD pipelines with SAST gates" reframed as DevSecOps — shift-left security is a named practice hiring managers search for</w:t>
      </w:r>
    </w:p>
    <w:p>
      <w:pPr>
        <w:pStyle w:val="ListParagraph"/>
        <w:numPr>
          <w:ilvl w:val="0"/>
          <w:numId w:val="2"/>
        </w:numPr>
        <w:spacing w:after="40" w:before="40"/>
      </w:pPr>
      <w:r>
        <w:rPr>
          <w:rFonts w:ascii="Arial" w:cs="Arial" w:eastAsia="Arial" w:hAnsi="Arial"/>
          <w:color w:val="000000"/>
          <w:sz w:val="20"/>
          <w:szCs w:val="20"/>
        </w:rPr>
        <w:t xml:space="preserve">FinOps explicitly named and framed around data-driven cost attribution — not just saved money but how you measured and proved it</w:t>
      </w:r>
    </w:p>
    <w:p>
      <w:pPr>
        <w:pStyle w:val="ListParagraph"/>
        <w:numPr>
          <w:ilvl w:val="0"/>
          <w:numId w:val="2"/>
        </w:numPr>
        <w:spacing w:after="40" w:before="40"/>
      </w:pPr>
      <w:r>
        <w:rPr>
          <w:rFonts w:ascii="Arial" w:cs="Arial" w:eastAsia="Arial" w:hAnsi="Arial"/>
          <w:color w:val="000000"/>
          <w:sz w:val="20"/>
          <w:szCs w:val="20"/>
        </w:rPr>
        <w:t xml:space="preserve">Frontend work reframed as internal developer platform and internal tooling — signals product thinking and org-wide impact, not just UI delivery</w:t>
      </w:r>
    </w:p>
    <w:p>
      <w:pPr>
        <w:pStyle w:val="ListParagraph"/>
        <w:numPr>
          <w:ilvl w:val="0"/>
          <w:numId w:val="2"/>
        </w:numPr>
        <w:spacing w:after="40" w:before="40"/>
      </w:pPr>
      <w:r>
        <w:rPr>
          <w:rFonts w:ascii="Arial" w:cs="Arial" w:eastAsia="Arial" w:hAnsi="Arial"/>
          <w:color w:val="000000"/>
          <w:sz w:val="20"/>
          <w:szCs w:val="20"/>
        </w:rPr>
        <w:t xml:space="preserve">All STAR answers structured for 60-90 second verbal delivery — situation and task compressed, action detailed, result anchored to numbers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2026-04-27T15:19:20.398Z</dcterms:created>
  <dcterms:modified xsi:type="dcterms:W3CDTF">2026-04-27T15:19:20.399Z</dcterms:modified>
</cp:coreProperties>
</file>

<file path=docProps/custom.xml><?xml version="1.0" encoding="utf-8"?>
<Properties xmlns="http://schemas.openxmlformats.org/officeDocument/2006/custom-properties" xmlns:vt="http://schemas.openxmlformats.org/officeDocument/2006/docPropsVTypes"/>
</file>