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Design of High-Strength High-Entropy Alloys Using a Variational Autoencoder-Based Inverse Design</w:t>
      </w:r>
    </w:p>
    <w:p>
      <w:pPr>
        <w:spacing w:after="100"/>
      </w:pPr>
      <w:r>
        <w:rPr>
          <w:b/>
          <w:bCs/>
          <w:sz w:val="24"/>
          <w:szCs w:val="24"/>
        </w:rPr>
        <w:t xml:space="preserve">Min-Gyu Kim and Chunghee Nam†</w:t>
      </w:r>
    </w:p>
    <w:p>
      <w:pPr>
        <w:spacing w:after="160"/>
        <w:jc w:val="left"/>
      </w:pPr>
      <w:r>
        <w:rPr>
          <w:b w:val="false"/>
          <w:bCs w:val="false"/>
          <w:i w:val="false"/>
          <w:iCs w:val="false"/>
        </w:rPr>
        <w:t xml:space="preserve">Department of Electrical and Electronic Engineering, Hannam University, Daejeon 34430, Republic of Korea</w:t>
      </w:r>
    </w:p>
    <w:p>
      <w:pPr>
        <w:spacing w:after="160"/>
        <w:jc w:val="left"/>
      </w:pPr>
      <w:r>
        <w:rPr>
          <w:b w:val="false"/>
          <w:bCs w:val="false"/>
          <w:i/>
          <w:iCs/>
        </w:rPr>
        <w:t xml:space="preserve">Korean J. Mater. Res. Vol. 35, No. 10 (2025) — https://doi.org/10.3740/MRSK.2025.35.10.486</w:t>
      </w:r>
    </w:p>
    <w:p>
      <w:pPr>
        <w:spacing w:after="160"/>
        <w:jc w:val="left"/>
      </w:pPr>
      <w:r>
        <w:rPr>
          <w:b w:val="false"/>
          <w:bCs w:val="false"/>
          <w:i/>
          <w:iCs/>
        </w:rPr>
        <w:t xml:space="preserve">(Received August 19, 2025 : Revised September 20, 2025 : Accepted September 22, 2025)</w:t>
      </w:r>
    </w:p>
    <w:p>
      <w:pPr>
        <w:pStyle w:val="Heading1"/>
        <w:spacing w:after="120" w:before="240"/>
      </w:pPr>
      <w:r>
        <w:t xml:space="preserve">Abstract</w:t>
      </w:r>
    </w:p>
    <w:p>
      <w:pPr>
        <w:spacing w:after="160"/>
        <w:jc w:val="both"/>
      </w:pPr>
      <w:r>
        <w:rPr>
          <w:b w:val="false"/>
          <w:bCs w:val="false"/>
          <w:i w:val="false"/>
          <w:iCs w:val="false"/>
        </w:rPr>
        <w:t xml:space="preserve">High-entropy alloys (HEAs) are alloys that contain multiple principal elements, each in the range of 5–35%. HEAs exhibit excellent properties; however, even with conventional trial-and-error, high-throughput experimentation, and computational materials approaches, exploring their vast compositional space remains highly challenging. Accordingly, data-driven machine learning and generative-model-based inverse design methods are increasingly essential. In this study, we propose a generative-model-enabled HEA inverse design framework aimed at improving ultimate tensile strength (UTS). We first compiled 501 HEA data points from published literature and performed statistical analyses to understand their characteristics. Next, we tuned the hyperparameters of XGBoost and random forest (RF) models via Bayesian optimization, compared their performance with that of a deep neural network (DNN), and selected XGBoost as the optimal predictive model. In the subsequent stage, we trained a PyTorch-based variational autoencoder (VAE) on data from regions of the latent space associated with high-UTS probability. We randomly sampled 1,000 latent vectors, decoded them to generate candidate alloy compositions, and evaluated these candidates using the optimized XGB model. Finally, Shapley additive explanations (SHAP) interpretability analysis and a network plot were used to quantify the contributions and interactions of each feature variable, thereby assessing the physical plausibility of the model-suggested compositions.</w:t>
      </w:r>
    </w:p>
    <w:p>
      <w:pPr>
        <w:spacing w:after="160"/>
        <w:jc w:val="both"/>
      </w:pPr>
      <w:r>
        <w:rPr>
          <w:b w:val="false"/>
          <w:bCs w:val="false"/>
          <w:i/>
          <w:iCs/>
        </w:rPr>
        <w:t xml:space="preserve">Key words: variational auto-encoder, high entropy alloys, inverse design.</w:t>
      </w:r>
    </w:p>
    <w:p>
      <w:pPr>
        <w:spacing w:after="160"/>
        <w:jc w:val="left"/>
      </w:pPr>
      <w:r>
        <w:rPr>
          <w:b w:val="false"/>
          <w:bCs w:val="false"/>
          <w:i w:val="false"/>
          <w:iCs w:val="false"/>
        </w:rPr>
        <w:t xml:space="preserve">† Corresponding author  E-Mail: chnam@hnu.ac.kr (C. Nam, Hannam Univ.)</w:t>
      </w:r>
    </w:p>
    <w:p>
      <w:pPr>
        <w:pStyle w:val="Heading1"/>
        <w:spacing w:after="120" w:before="240"/>
      </w:pPr>
      <w:r>
        <w:t xml:space="preserve">1. Introduction</w:t>
      </w:r>
    </w:p>
    <w:p>
      <w:pPr>
        <w:spacing w:after="160"/>
        <w:jc w:val="both"/>
      </w:pPr>
      <w:r>
        <w:rPr>
          <w:b w:val="false"/>
          <w:bCs w:val="false"/>
          <w:i w:val="false"/>
          <w:iCs w:val="false"/>
        </w:rPr>
        <w:t xml:space="preserve">High-entropy alloys (HEAs) are defined as alloys containing five or more principal elements, each present in a proportion of 5%–35%.(1) HEAs exhibit outstanding properties such as high strength(2) and excellent wear resistance.(3) Consequently, since their discovery in 2004,(4) HEAs have been the subject of continuous research.</w:t>
      </w:r>
    </w:p>
    <w:p>
      <w:pPr>
        <w:spacing w:after="160"/>
        <w:jc w:val="both"/>
      </w:pPr>
      <w:r>
        <w:rPr>
          <w:b w:val="false"/>
          <w:bCs w:val="false"/>
          <w:i w:val="false"/>
          <w:iCs w:val="false"/>
        </w:rPr>
        <w:t xml:space="preserve">According to previous studies, under a very conservative estimate using 60 available elements, roughly 10^100 HEA compositions could theoretically be formed.(5) During experimental or computational exploration, the time and resources required increase dramatically, making it extremely difficult to identify optimal compositions. Thus, experimental and computational techniques alone are insufficient to fully explore this vast compositional space within a reasonable time and cost. To overcome this limitation, data-driven approaches incorporating machine learning have recently gained attention; these approaches learn composition–property relationships from a minimal number of experimental or simulation results, enabling property prediction and playing a key role in rapidly identifying promising HEA candidates.</w:t>
      </w:r>
    </w:p>
    <w:p>
      <w:pPr>
        <w:spacing w:after="160"/>
        <w:jc w:val="both"/>
      </w:pPr>
      <w:r>
        <w:rPr>
          <w:b w:val="false"/>
          <w:bCs w:val="false"/>
          <w:i w:val="false"/>
          <w:iCs w:val="false"/>
        </w:rPr>
        <w:t xml:space="preserve">In one recently reported study, eight classifiers—including random forest (RF) and support vector machine (SVM)—were trained on a dataset of 1,460 entries containing 36 physical-metallurgical features to predict the FCC, BCC, and FCC+BCC phases of HEAs, achieving an accuracy of over 97%.(6) In another study, a surrogate model was developed using 480 million composition–temperature samples generated from an in-house CALPHAD database to rapidly predict the phase fractions of HEAs in the Cr-Hf-Mo-Nb-Ta-Ti-V-W-Zr nine-element system. RF showed low error in interpolation regions, while a deep neural network (DNN) showed superior generalization performance when extrapolating to high-dimensional compositions, demonstrating that these models can serve as core modules in large-scale HEA exploration pipelines.(7) Another study combined machine learning models based on 11 physical properties with phenomenological rules and CALPHAD modeling to precisely predict the yield strength, over the range of 20–800 °C, of refractory HEAs composed of the Al-Cr-Nb-Ti-V-Zr six-element system.(8) Meanwhile, another study built a DNN classifier using 989 HEAs from various sources and 13 design features, tuned via Bayesian optimization, achieving 84.75% accuracy under 4-fold validation. After augmenting the dataset with 150 samples generated by a phase-label-conditioned cGAN (conditional generative adversarial network) and retraining, accuracy improved to 93.17%, and misclassification between SS and SS+IM was substantially reduced by filling in the mixed δ-ΔHmix region. Layer-wise relevance propagation (LRP)-based interpretation further showed that ΔHmix, δ, and ΔSmix contributed most strongly, consistent with existing empirical rules, and the model correctly predicted the phase of five external, previously unseen HEAs with high probability.(9)</w:t>
      </w:r>
    </w:p>
    <w:p>
      <w:pPr>
        <w:spacing w:after="160"/>
        <w:jc w:val="both"/>
      </w:pPr>
      <w:r>
        <w:rPr>
          <w:b w:val="false"/>
          <w:bCs w:val="false"/>
          <w:i w:val="false"/>
          <w:iCs w:val="false"/>
        </w:rPr>
        <w:t xml:space="preserve">However, all of the studies above only went as far as building a property-prediction model and then using it to screen candidates from within an existing compositional space. None of them applied a generative model capable of creating and exploring entirely new compositions. In particular, no prior study has used a generative model for inverse design to directly derive novel compositions satisfying target properties. Such forward design approaches are inherently limited because they can only search within an already existing candidate pool. In contrast, inverse design using generative models performs continuous optimization in a low-dimensional learned latent space, making it possible to explore an effectively infinite continuous compositional space and thereby propose entirely new alloy combinations that do not exist in the original data.</w:t>
      </w:r>
    </w:p>
    <w:p>
      <w:pPr>
        <w:spacing w:after="160"/>
        <w:jc w:val="both"/>
      </w:pPr>
      <w:r>
        <w:rPr>
          <w:b w:val="false"/>
          <w:bCs w:val="false"/>
          <w:i w:val="false"/>
          <w:iCs w:val="false"/>
        </w:rPr>
        <w:t xml:space="preserve">Table 1 summarizes recent studies that developed new alloy materials using inverse design approaches. Representative examples are as follows. One study combined a Wasserstein autoencoder with a genetic algorithm (GA) and particle swarm optimization (PSO) to design Fe-based metallic glass compositions with a saturation magnetic flux density (Bs) greater than 1.5 T, presenting an excellent inverse design framework.(10) In another example, data augmentation was combined with a ResNet-based conditional variational autoencoder–generative adversarial network (CVAE-GAN) generative model to inversely design 100 thermoelectric materials with ZT &gt; 1.0; several of these were experimentally synthesized, confirming ZT ≈ 0.75 at 300 K.(11) Subsequently, a diffusion model combined with ensemble machine learning was used to predict and optimize the ultimate tensile strength (UTS) of 7xxx-series Al-Zn-Mg-Cu alloys, inversely designing three high-strength candidate compositions exceeding 750 MPa.(12) Additionally, an inverse design model combining a variational autoencoder (VAE) with a property predictor was used to generate compositions of Fe-Zr-Ni-Cu-based metallic glasses with excellent glass-forming ability (GFA).(13)</w:t>
      </w:r>
    </w:p>
    <w:p>
      <w:pPr>
        <w:spacing w:after="160"/>
        <w:jc w:val="both"/>
      </w:pPr>
      <w:r>
        <w:rPr>
          <w:b w:val="false"/>
          <w:bCs w:val="false"/>
          <w:i w:val="false"/>
          <w:iCs w:val="false"/>
        </w:rPr>
        <w:t xml:space="preserve">However, most existing inverse design studies have been limited to narrow systems such as metallic glasses or specific Al-based alloys, and have not been directly extended to the design of HEAs, which involve complex multi-element and multi-phase structures. In particular, VAEs—which can generate new compositions using a continuous latent space—have not yet been applied in the HEA field. Furthermore, existing studies have focused on a limited set of target properties such as Bs, thermoelectric performance, and GFA, so optimization studies targeting HEA strength remain at an early stage. Given this limitation, a VAE-based, data-driven inverse design framework is essential for systematically exploring the vast HEA compositional space and discovering novel high-strength compositions.</w:t>
      </w:r>
    </w:p>
    <w:p>
      <w:pPr>
        <w:spacing w:after="160"/>
        <w:jc w:val="both"/>
      </w:pPr>
      <w:r>
        <w:rPr>
          <w:b w:val="false"/>
          <w:bCs w:val="false"/>
          <w:i w:val="false"/>
          <w:iCs w:val="false"/>
        </w:rPr>
        <w:t xml:space="preserve">In this study, we propose a generative-model-based HEA inverse design framework aimed at improving UTS. Statistical analysis was first performed on 501 HEA data points collected from the literature to understand the characteristics of the data. Next, the hyperparameters of two models—extreme gradient boosting (XGB) and RF—were tuned via Bayesian optimization, and their performance was compared with that of a DNN; XGB was selected as the optimal predictive model. In the next stage, a PyTorch-based VAE was trained, and new compositions were generated by sampling from the high-strength region of the latent space and evaluated using the XGB model. Finally, Shapley additive explanations (SHAP) interpretation and a network plot were used to quantify the contribution and interaction of each feature variable, confirming the physical plausibility of the model-proposed compositions.</w:t>
      </w:r>
    </w:p>
    <w:p>
      <w:pPr>
        <w:spacing w:after="160"/>
        <w:jc w:val="both"/>
      </w:pPr>
      <w:r>
        <w:rPr>
          <w:b w:val="false"/>
          <w:bCs w:val="false"/>
          <w:i w:val="false"/>
          <w:iCs w:val="false"/>
        </w:rPr>
        <w:t xml:space="preserve">This paper is organized as follows. Section 2 describes the research methodology in detail, including data construction, model training and optimization, and the VAE inverse design strategy. Section 3 discusses model performance, SHAP interpretation results, and analysis of the distribution and predicted strength of the VAE-generated compositions, followed by a comprehensive discussion of the results and the significance of this framework.</w:t>
      </w:r>
    </w:p>
    <w:p>
      <w:pPr>
        <w:pStyle w:val="Heading3"/>
        <w:spacing w:after="120" w:before="240"/>
      </w:pPr>
      <w:r>
        <w:t xml:space="preserve">Table 1. Summary of materials inverse design studies using machine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900"/>
        <w:gridCol w:w="1200"/>
        <w:gridCol w:w="900"/>
        <w:gridCol w:w="1600"/>
        <w:gridCol w:w="900"/>
        <w:gridCol w:w="700"/>
      </w:tblGrid>
      <w:tr>
        <w:tc>
          <w:tcPr>
            <w:tcW w:type="dxa" w:w="900"/>
            <w:shd w:fill="D9D9D9" w:val="clear"/>
          </w:tcPr>
          <w:p>
            <w:r>
              <w:rPr>
                <w:b/>
                <w:bCs/>
              </w:rPr>
              <w:t xml:space="preserve">Year</w:t>
            </w:r>
          </w:p>
        </w:tc>
        <w:tc>
          <w:tcPr>
            <w:tcW w:type="dxa" w:w="1300"/>
            <w:shd w:fill="D9D9D9" w:val="clear"/>
          </w:tcPr>
          <w:p>
            <w:r>
              <w:rPr>
                <w:b/>
                <w:bCs/>
              </w:rPr>
              <w:t xml:space="preserve">Number of data</w:t>
            </w:r>
          </w:p>
        </w:tc>
        <w:tc>
          <w:tcPr>
            <w:tcW w:type="dxa" w:w="1900"/>
            <w:shd w:fill="D9D9D9" w:val="clear"/>
          </w:tcPr>
          <w:p>
            <w:r>
              <w:rPr>
                <w:b/>
                <w:bCs/>
              </w:rPr>
              <w:t xml:space="preserve">Alloy system</w:t>
            </w:r>
          </w:p>
        </w:tc>
        <w:tc>
          <w:tcPr>
            <w:tcW w:type="dxa" w:w="1200"/>
            <w:shd w:fill="D9D9D9" w:val="clear"/>
          </w:tcPr>
          <w:p>
            <w:r>
              <w:rPr>
                <w:b/>
                <w:bCs/>
              </w:rPr>
              <w:t xml:space="preserve">Feature</w:t>
            </w:r>
          </w:p>
        </w:tc>
        <w:tc>
          <w:tcPr>
            <w:tcW w:type="dxa" w:w="900"/>
            <w:shd w:fill="D9D9D9" w:val="clear"/>
          </w:tcPr>
          <w:p>
            <w:r>
              <w:rPr>
                <w:b/>
                <w:bCs/>
              </w:rPr>
              <w:t xml:space="preserve">Target</w:t>
            </w:r>
          </w:p>
        </w:tc>
        <w:tc>
          <w:tcPr>
            <w:tcW w:type="dxa" w:w="1600"/>
            <w:shd w:fill="D9D9D9" w:val="clear"/>
          </w:tcPr>
          <w:p>
            <w:r>
              <w:rPr>
                <w:b/>
                <w:bCs/>
              </w:rPr>
              <w:t xml:space="preserve">ML algorithms</w:t>
            </w:r>
          </w:p>
        </w:tc>
        <w:tc>
          <w:tcPr>
            <w:tcW w:type="dxa" w:w="900"/>
            <w:shd w:fill="D9D9D9" w:val="clear"/>
          </w:tcPr>
          <w:p>
            <w:r>
              <w:rPr>
                <w:b/>
                <w:bCs/>
              </w:rPr>
              <w:t xml:space="preserve">Inverse design</w:t>
            </w:r>
          </w:p>
        </w:tc>
        <w:tc>
          <w:tcPr>
            <w:tcW w:type="dxa" w:w="700"/>
            <w:shd w:fill="D9D9D9" w:val="clear"/>
          </w:tcPr>
          <w:p>
            <w:r>
              <w:rPr>
                <w:b/>
                <w:bCs/>
              </w:rPr>
              <w:t xml:space="preserve">Reference</w:t>
            </w:r>
          </w:p>
        </w:tc>
      </w:tr>
      <w:tr>
        <w:tc>
          <w:tcPr>
            <w:tcW w:type="dxa" w:w="900"/>
          </w:tcPr>
          <w:p>
            <w:r>
              <w:t xml:space="preserve">2025</w:t>
            </w:r>
          </w:p>
        </w:tc>
        <w:tc>
          <w:tcPr>
            <w:tcW w:type="dxa" w:w="1300"/>
          </w:tcPr>
          <w:p>
            <w:r>
              <w:t xml:space="preserve">574</w:t>
            </w:r>
          </w:p>
        </w:tc>
        <w:tc>
          <w:tcPr>
            <w:tcW w:type="dxa" w:w="1900"/>
          </w:tcPr>
          <w:p>
            <w:r>
              <w:t xml:space="preserve">Fe-based metallic glasses</w:t>
            </w:r>
          </w:p>
        </w:tc>
        <w:tc>
          <w:tcPr>
            <w:tcW w:type="dxa" w:w="1200"/>
          </w:tcPr>
          <w:p>
            <w:r>
              <w:t xml:space="preserve">Composition</w:t>
            </w:r>
          </w:p>
        </w:tc>
        <w:tc>
          <w:tcPr>
            <w:tcW w:type="dxa" w:w="900"/>
          </w:tcPr>
          <w:p>
            <w:r>
              <w:t xml:space="preserve">Bs</w:t>
            </w:r>
          </w:p>
        </w:tc>
        <w:tc>
          <w:tcPr>
            <w:tcW w:type="dxa" w:w="1600"/>
          </w:tcPr>
          <w:p>
            <w:r>
              <w:t xml:space="preserve">MLP</w:t>
            </w:r>
          </w:p>
        </w:tc>
        <w:tc>
          <w:tcPr>
            <w:tcW w:type="dxa" w:w="900"/>
          </w:tcPr>
          <w:p>
            <w:r>
              <w:t xml:space="preserve">WAE</w:t>
            </w:r>
          </w:p>
        </w:tc>
        <w:tc>
          <w:tcPr>
            <w:tcW w:type="dxa" w:w="700"/>
          </w:tcPr>
          <w:p>
            <w:r>
              <w:t xml:space="preserve">10</w:t>
            </w:r>
          </w:p>
        </w:tc>
      </w:tr>
      <w:tr>
        <w:tc>
          <w:tcPr>
            <w:tcW w:type="dxa" w:w="900"/>
          </w:tcPr>
          <w:p>
            <w:r>
              <w:t xml:space="preserve">2025</w:t>
            </w:r>
          </w:p>
        </w:tc>
        <w:tc>
          <w:tcPr>
            <w:tcW w:type="dxa" w:w="1300"/>
          </w:tcPr>
          <w:p>
            <w:r>
              <w:t xml:space="preserve">&gt;3,000</w:t>
            </w:r>
          </w:p>
        </w:tc>
        <w:tc>
          <w:tcPr>
            <w:tcW w:type="dxa" w:w="1900"/>
          </w:tcPr>
          <w:p>
            <w:r>
              <w:t xml:space="preserve">Thermoelectric Materials</w:t>
            </w:r>
          </w:p>
        </w:tc>
        <w:tc>
          <w:tcPr>
            <w:tcW w:type="dxa" w:w="1200"/>
          </w:tcPr>
          <w:p>
            <w:r>
              <w:t xml:space="preserve">Composition</w:t>
            </w:r>
          </w:p>
        </w:tc>
        <w:tc>
          <w:tcPr>
            <w:tcW w:type="dxa" w:w="900"/>
          </w:tcPr>
          <w:p>
            <w:r>
              <w:t xml:space="preserve">ZT</w:t>
            </w:r>
          </w:p>
        </w:tc>
        <w:tc>
          <w:tcPr>
            <w:tcW w:type="dxa" w:w="1600"/>
          </w:tcPr>
          <w:p>
            <w:r>
              <w:t xml:space="preserve">LGB model / DopNet / ElemNet</w:t>
            </w:r>
          </w:p>
        </w:tc>
        <w:tc>
          <w:tcPr>
            <w:tcW w:type="dxa" w:w="900"/>
          </w:tcPr>
          <w:p>
            <w:r>
              <w:t xml:space="preserve">cVAE-GAN</w:t>
            </w:r>
          </w:p>
        </w:tc>
        <w:tc>
          <w:tcPr>
            <w:tcW w:type="dxa" w:w="700"/>
          </w:tcPr>
          <w:p>
            <w:r>
              <w:t xml:space="preserve">11</w:t>
            </w:r>
          </w:p>
        </w:tc>
      </w:tr>
      <w:tr>
        <w:tc>
          <w:tcPr>
            <w:tcW w:type="dxa" w:w="900"/>
          </w:tcPr>
          <w:p>
            <w:r>
              <w:t xml:space="preserve">2024</w:t>
            </w:r>
          </w:p>
        </w:tc>
        <w:tc>
          <w:tcPr>
            <w:tcW w:type="dxa" w:w="1300"/>
          </w:tcPr>
          <w:p>
            <w:r>
              <w:t xml:space="preserve">423</w:t>
            </w:r>
          </w:p>
        </w:tc>
        <w:tc>
          <w:tcPr>
            <w:tcW w:type="dxa" w:w="1900"/>
          </w:tcPr>
          <w:p>
            <w:r>
              <w:t xml:space="preserve">7xxx Series Aluminum</w:t>
            </w:r>
          </w:p>
        </w:tc>
        <w:tc>
          <w:tcPr>
            <w:tcW w:type="dxa" w:w="1200"/>
          </w:tcPr>
          <w:p>
            <w:r>
              <w:t xml:space="preserve">Composition</w:t>
            </w:r>
          </w:p>
        </w:tc>
        <w:tc>
          <w:tcPr>
            <w:tcW w:type="dxa" w:w="900"/>
          </w:tcPr>
          <w:p>
            <w:r>
              <w:t xml:space="preserve">UTS</w:t>
            </w:r>
          </w:p>
        </w:tc>
        <w:tc>
          <w:tcPr>
            <w:tcW w:type="dxa" w:w="1600"/>
          </w:tcPr>
          <w:p>
            <w:r>
              <w:t xml:space="preserve">Ensemble Model</w:t>
            </w:r>
          </w:p>
        </w:tc>
        <w:tc>
          <w:tcPr>
            <w:tcW w:type="dxa" w:w="900"/>
          </w:tcPr>
          <w:p>
            <w:r>
              <w:t xml:space="preserve">Diffusion</w:t>
            </w:r>
          </w:p>
        </w:tc>
        <w:tc>
          <w:tcPr>
            <w:tcW w:type="dxa" w:w="700"/>
          </w:tcPr>
          <w:p>
            <w:r>
              <w:t xml:space="preserve">12</w:t>
            </w:r>
          </w:p>
        </w:tc>
      </w:tr>
      <w:tr>
        <w:tc>
          <w:tcPr>
            <w:tcW w:type="dxa" w:w="900"/>
          </w:tcPr>
          <w:p>
            <w:r>
              <w:t xml:space="preserve">2024</w:t>
            </w:r>
          </w:p>
        </w:tc>
        <w:tc>
          <w:tcPr>
            <w:tcW w:type="dxa" w:w="1300"/>
          </w:tcPr>
          <w:p>
            <w:r>
              <w:t xml:space="preserve">7,380</w:t>
            </w:r>
          </w:p>
        </w:tc>
        <w:tc>
          <w:tcPr>
            <w:tcW w:type="dxa" w:w="1900"/>
          </w:tcPr>
          <w:p>
            <w:r>
              <w:t xml:space="preserve">Metallic glasses</w:t>
            </w:r>
          </w:p>
        </w:tc>
        <w:tc>
          <w:tcPr>
            <w:tcW w:type="dxa" w:w="1200"/>
          </w:tcPr>
          <w:p>
            <w:r>
              <w:t xml:space="preserve">Composition</w:t>
            </w:r>
          </w:p>
        </w:tc>
        <w:tc>
          <w:tcPr>
            <w:tcW w:type="dxa" w:w="900"/>
          </w:tcPr>
          <w:p>
            <w:r>
              <w:t xml:space="preserve">GFA</w:t>
            </w:r>
          </w:p>
        </w:tc>
        <w:tc>
          <w:tcPr>
            <w:tcW w:type="dxa" w:w="1600"/>
          </w:tcPr>
          <w:p>
            <w:r>
              <w:t xml:space="preserve">XGBoost</w:t>
            </w:r>
          </w:p>
        </w:tc>
        <w:tc>
          <w:tcPr>
            <w:tcW w:type="dxa" w:w="900"/>
          </w:tcPr>
          <w:p>
            <w:r>
              <w:t xml:space="preserve">VAE</w:t>
            </w:r>
          </w:p>
        </w:tc>
        <w:tc>
          <w:tcPr>
            <w:tcW w:type="dxa" w:w="700"/>
          </w:tcPr>
          <w:p>
            <w:r>
              <w:t xml:space="preserve">13</w:t>
            </w:r>
          </w:p>
        </w:tc>
      </w:tr>
    </w:tbl>
    <w:p>
      <w:pPr>
        <w:pStyle w:val="Heading1"/>
        <w:spacing w:after="120" w:before="240"/>
      </w:pPr>
      <w:r>
        <w:t xml:space="preserve">2. Experimental Methods</w:t>
      </w:r>
    </w:p>
    <w:p>
      <w:pPr>
        <w:spacing w:after="160"/>
        <w:jc w:val="both"/>
      </w:pPr>
      <w:r>
        <w:rPr>
          <w:b w:val="false"/>
          <w:bCs w:val="false"/>
          <w:i w:val="false"/>
          <w:iCs w:val="false"/>
        </w:rPr>
        <w:t xml:space="preserve">Fig. 1 shows the framework of this study, which consists of three stages. First, HEA data were collected from the literature; the dataset includes the alloys' composition ratios, experimental conditions, and ultimate tensile strength properties.(14) Statistical analysis, including the Pearson's correlation coefficient (PCC), was also performed on the data. Second, several machine learning models were trained on ultimate tensile strength using hyperparameter optimization, and the XGB model, which showed the best predictive performance, was selected. Third, a VAE was used for materials inverse design to design HEA compositions, and the trained XGB model was used to predict the ultimate tensile strength of the designed compositions.</w:t>
      </w:r>
    </w:p>
    <w:p>
      <w:pPr>
        <w:pStyle w:val="Heading2"/>
        <w:spacing w:after="120" w:before="240"/>
      </w:pPr>
      <w:r>
        <w:t xml:space="preserve">2.1. Materials data</w:t>
      </w:r>
    </w:p>
    <w:p>
      <w:pPr>
        <w:spacing w:after="160"/>
        <w:jc w:val="both"/>
      </w:pPr>
      <w:r>
        <w:rPr>
          <w:b w:val="false"/>
          <w:bCs w:val="false"/>
          <w:i w:val="false"/>
          <w:iCs w:val="false"/>
        </w:rPr>
        <w:t xml:space="preserve">The materials data used in this study consist of 501 HEA data points collected from previous literature.(14) The dataset covers HEAs in a 10-element system (C, Al, V, Cr, Mn, Fe, Co, Ni, Cu, Mo), including composition and mechanical properties, along with the following four experimental conditions:</w:t>
      </w:r>
    </w:p>
    <w:p>
      <w:pPr>
        <w:spacing w:after="160"/>
        <w:jc w:val="left"/>
      </w:pPr>
      <w:r>
        <w:rPr>
          <w:b w:val="false"/>
          <w:bCs w:val="false"/>
          <w:i w:val="false"/>
          <w:iCs w:val="false"/>
        </w:rPr>
        <w:t xml:space="preserve">• Homogenization temperature</w:t>
      </w:r>
    </w:p>
    <w:p>
      <w:pPr>
        <w:spacing w:after="160"/>
        <w:jc w:val="left"/>
      </w:pPr>
      <w:r>
        <w:rPr>
          <w:b w:val="false"/>
          <w:bCs w:val="false"/>
          <w:i w:val="false"/>
          <w:iCs w:val="false"/>
        </w:rPr>
        <w:t xml:space="preserve">• Reduction rate (cold rolling)</w:t>
      </w:r>
    </w:p>
    <w:p>
      <w:pPr>
        <w:spacing w:after="160"/>
        <w:jc w:val="left"/>
      </w:pPr>
      <w:r>
        <w:rPr>
          <w:b w:val="false"/>
          <w:bCs w:val="false"/>
          <w:i w:val="false"/>
          <w:iCs w:val="false"/>
        </w:rPr>
        <w:t xml:space="preserve">• Annealing temperature</w:t>
      </w:r>
    </w:p>
    <w:p>
      <w:pPr>
        <w:spacing w:after="160"/>
        <w:jc w:val="left"/>
      </w:pPr>
      <w:r>
        <w:rPr>
          <w:b w:val="false"/>
          <w:bCs w:val="false"/>
          <w:i w:val="false"/>
          <w:iCs w:val="false"/>
        </w:rPr>
        <w:t xml:space="preserve">• Annealing time</w:t>
      </w:r>
    </w:p>
    <w:p>
      <w:pPr>
        <w:spacing w:after="160"/>
        <w:jc w:val="both"/>
      </w:pPr>
      <w:r>
        <w:rPr>
          <w:b w:val="false"/>
          <w:bCs w:val="false"/>
          <w:i w:val="false"/>
          <w:iCs w:val="false"/>
        </w:rPr>
        <w:t xml:space="preserve">The homogenization temperature ranges from 0 K to 1,573 K, the reduction rate from 0% to 96%, the annealing temperature from 0 K to 1,573 K, and the annealing time from 0 h to 50 h. Detailed statistics for the entire dataset are given in Table 2, including the maximum, minimum, and mean values for each feature. Fig. 2 shows the ultimate tensile strength distribution of the 501 HEA materials, ranging from approximately 320 MPa to 1,867 MPa. In Fig. 2, the red dashed line marks the top 25% threshold for ultimate tensile strength, corresponding to a value of 1,090 MPa; 126 data points fall within this top 25% range.</w:t>
      </w:r>
    </w:p>
    <w:p>
      <w:pPr>
        <w:spacing w:after="160"/>
        <w:jc w:val="both"/>
      </w:pPr>
      <w:r>
        <w:rPr>
          <w:b w:val="false"/>
          <w:bCs w:val="false"/>
          <w:i w:val="false"/>
          <w:iCs w:val="false"/>
        </w:rPr>
        <w:t xml:space="preserve">The radar plots in Fig. 3 show the distribution of chemical composition and experimental conditions for the alloys in the dataset. Fig. 3(a) shows that Fe, Ni, Co, Cr, and Mn have relatively high average composition ratios in the dataset, confirming that these elements are core constituents of the HEAs. In contrast, elements such as C, V, Mo, Al, and Cu show low average composition ratios, suggesting that these elements are not primary constituents but were added in small amounts for specific purposes such as microstructure control or mechanical property enhancement. Fig. 3(b) is a radar plot for the top 25% subset of alloys with the highest target values. Analysis of only the high-UTS data showed that the average Fe and Mn contents were relatively low, while the average Cr content increased slightly.</w:t>
      </w:r>
    </w:p>
    <w:p>
      <w:pPr>
        <w:spacing w:after="160"/>
        <w:jc w:val="both"/>
      </w:pPr>
      <w:r>
        <w:rPr>
          <w:b w:val="false"/>
          <w:bCs w:val="false"/>
          <w:i w:val="false"/>
          <w:iCs w:val="false"/>
        </w:rPr>
        <w:t xml:space="preserve">PCC was used to examine the correlations among the 14 features, comprising composition and the four experimental conditions. Fig. 4 shows the PCC matrix for these 14 features, calculated using Equation (1).</w:t>
      </w:r>
    </w:p>
    <w:p>
      <w:pPr>
        <w:spacing w:after="160"/>
        <w:jc w:val="center"/>
      </w:pPr>
      <w:r>
        <w:rPr>
          <w:b w:val="false"/>
          <w:bCs w:val="false"/>
          <w:i/>
          <w:iCs/>
        </w:rPr>
        <w:t xml:space="preserve">r = Σ(xi − x̄)(yi − ȳ) / [√Σ(xi − x̄)² · √Σ(yi − ȳ)²]      (1)</w:t>
      </w:r>
    </w:p>
    <w:p>
      <w:pPr>
        <w:spacing w:after="160"/>
        <w:jc w:val="both"/>
      </w:pPr>
      <w:r>
        <w:rPr>
          <w:b w:val="false"/>
          <w:bCs w:val="false"/>
          <w:i w:val="false"/>
          <w:iCs w:val="false"/>
        </w:rPr>
        <w:t xml:space="preserve">Here, xi and yi are the i-th observations of the two features, and x̄ and ȳ denote their respective means; n is the total number of data points. The PCC ranges from +1 to −1, where a positive value indicates a positive correlation and a negative value indicates a negative correlation. The numerator represents the covariance between the two features, and the denominator is the product of their standard deviations. According to prior studies, when the correlation coefficient between two features is 0.8 or higher, only the more important feature is typically retained.(15) However, in the PCC heatmap in Fig. 4, the highest-magnitude correlation is −0.71, between Fe and Ni. Therefore, in this study all feature variables were retained as they were. The strongest positive correlation is 0.64, between reduction rate and annealing time, and the strongest negative correlation is −0.71, between Fe and Ni. Mn shows a negative correlation with all four experimental conditions, meaning that as the experimental condition values increase, Mn content decreases, and vice versa.</w:t>
      </w:r>
    </w:p>
    <w:p>
      <w:pPr>
        <w:spacing w:after="160"/>
        <w:jc w:val="both"/>
      </w:pPr>
      <w:r>
        <w:rPr>
          <w:b w:val="false"/>
          <w:bCs w:val="false"/>
          <w:i w:val="false"/>
          <w:iCs w:val="false"/>
        </w:rPr>
        <w:t xml:space="preserve">Fig. 5 shows network plots visualizing variable importance (VImp) and variable interaction (VInt). In the network plot, each feature is represented as a node, and the interaction between each pair is represented as an edge. Node size and color brightness scale with the VImp value.(16) Brighter edges connecting elements indicate stronger interactions, and relative magnitude is indicated by the color scale.</w:t>
      </w:r>
    </w:p>
    <w:p>
      <w:pPr>
        <w:spacing w:after="160"/>
        <w:jc w:val="both"/>
      </w:pPr>
      <w:r>
        <w:rPr>
          <w:b w:val="false"/>
          <w:bCs w:val="false"/>
          <w:i w:val="false"/>
          <w:iCs w:val="false"/>
        </w:rPr>
        <w:t xml:space="preserve">Fig. 5 shows that Fe and Al have the highest variable importance. The addition of Fe has the effect of reducing the design cost of high-entropy alloys.(17) Al, when added, tends to transform the material into a multi-phase structure; when added together with Ni, it forms precipitates that increase strength while decreasing ductility.(18,19) The strong interaction observed between Al and Ni in Fig. 5 is consistent with findings from prior studies described earlier. In terms of variable interactions, combinations such as Fe-Co, Co-Mn, and Al-Ni are confirmed to be major interacting variable pairs within the model, with Co-Mn showing the strongest interaction. In Fig. 5, Mo and V have low average content and appear isolated in the network, suggesting that although they do not interact strongly with other elements, they are individually added and contribute to the properties. Because Mo has a larger atomic radius than the other alloying elements, it occupies substitutional lattice sites and increases lattice distortion, leading to additional solid solution strengthening.(20,21)</w:t>
      </w:r>
    </w:p>
    <w:p>
      <w:pPr>
        <w:pStyle w:val="Heading2"/>
        <w:spacing w:after="120" w:before="240"/>
      </w:pPr>
      <w:r>
        <w:t xml:space="preserve">2.2. ML model training &amp; optimization</w:t>
      </w:r>
    </w:p>
    <w:p>
      <w:pPr>
        <w:spacing w:after="160"/>
        <w:jc w:val="both"/>
      </w:pPr>
      <w:r>
        <w:rPr>
          <w:b w:val="false"/>
          <w:bCs w:val="false"/>
          <w:i w:val="false"/>
          <w:iCs w:val="false"/>
        </w:rPr>
        <w:t xml:space="preserve">In this study, machine learning models for predicting ultimate tensile strength were trained and optimized to evaluate the data generated by the VAE. Using Keras and scikit-learn, three models—RF, XGB, and DNN—were trained and evaluated. Model evaluation was performed by splitting the entire dataset into 80% training and 20% test data, and calculating the R² score and root-mean-square error (RMSE) on the test data using Equations (2) and (3), respectively.</w:t>
      </w:r>
    </w:p>
    <w:p>
      <w:pPr>
        <w:spacing w:after="160"/>
        <w:jc w:val="center"/>
      </w:pPr>
      <w:r>
        <w:rPr>
          <w:b w:val="false"/>
          <w:bCs w:val="false"/>
          <w:i/>
          <w:iCs/>
        </w:rPr>
        <w:t xml:space="preserve">R² = 1 − [Σ(yi − ŷi)²] / [Σ(yi − ȳ)²]      (2)</w:t>
      </w:r>
    </w:p>
    <w:p>
      <w:pPr>
        <w:spacing w:after="160"/>
        <w:jc w:val="center"/>
      </w:pPr>
      <w:r>
        <w:rPr>
          <w:b w:val="false"/>
          <w:bCs w:val="false"/>
          <w:i/>
          <w:iCs/>
        </w:rPr>
        <w:t xml:space="preserve">RMSE = √[(1/n) Σ(yi − ŷi)²]      (3)</w:t>
      </w:r>
    </w:p>
    <w:p>
      <w:pPr>
        <w:spacing w:after="160"/>
        <w:jc w:val="both"/>
      </w:pPr>
      <w:r>
        <w:rPr>
          <w:b w:val="false"/>
          <w:bCs w:val="false"/>
          <w:i w:val="false"/>
          <w:iCs w:val="false"/>
        </w:rPr>
        <w:t xml:space="preserve">The DNN model uses 14 features, including composition and experimental conditions, as input, and consists of three hidden layers and dropout layers with ReLU activation functions; detailed parameters are given in Table 3. Training was performed for 100 epochs, repeated 100 times, yielding 100 models each with different parameters. Among these 100 trained DNN models, the one with the highest R² score on the test data was selected as the representative DNN model. The XGB and RF models were optimized using Bayesian optimization based on 10-fold cross-validation. The final optimized hyperparameters for each model are given in Table 3.</w:t>
      </w:r>
    </w:p>
    <w:p>
      <w:pPr>
        <w:pStyle w:val="Heading2"/>
        <w:spacing w:after="120" w:before="240"/>
      </w:pPr>
      <w:r>
        <w:t xml:space="preserve">2.3. VAE inverse design</w:t>
      </w:r>
    </w:p>
    <w:p>
      <w:pPr>
        <w:spacing w:after="160"/>
        <w:jc w:val="both"/>
      </w:pPr>
      <w:r>
        <w:rPr>
          <w:b w:val="false"/>
          <w:bCs w:val="false"/>
          <w:i w:val="false"/>
          <w:iCs w:val="false"/>
        </w:rPr>
        <w:t xml:space="preserve">Machine-learning-based inverse design has been regarded as a promising approach for discovering new materials. A VAE can be used to construct a latent space for generating compositions with continuous variables. A VAE is a deep generative model based on an autoencoder architecture. It maps input data, through an encoder, onto a random variable following a multivariate normal distribution; thus, the VAE's latent variable Z represents the probability distribution of the input data. A latent variable Z sampled from this distribution is fed into the decoder to reconstruct the data. During training, a loss function that minimizes both the reconstruction error and the Kullback-Leibler (KL) divergence from the normal distribution is used.</w:t>
      </w:r>
    </w:p>
    <w:p>
      <w:pPr>
        <w:spacing w:after="160"/>
        <w:jc w:val="both"/>
      </w:pPr>
      <w:r>
        <w:rPr>
          <w:b w:val="false"/>
          <w:bCs w:val="false"/>
          <w:i w:val="false"/>
          <w:iCs w:val="false"/>
        </w:rPr>
        <w:t xml:space="preserve">In this study, a PyTorch-based VAE model was constructed and trained using approximately 501 HEA data points. The chemical composition ratios and the four experimental conditions were used as input variables. The encoder and decoder are structured as multi-layer perceptrons (MLPs). ReLU was used as the activation function for all hidden layers, and a softmax function was used at the decoder's output layer. The latent space was set to two dimensions. The VAE architecture is shown in Fig. 6. The inverse design procedure involved randomly sampling 1,000 non-overlapping latent vectors Z from the relatively high-target-value region of the latent space, then feeding them into the decoder to generate data for the 10 composition ratios and the four experimental conditions. This is described in detail in the Results and Discussion section.</w:t>
      </w:r>
    </w:p>
    <w:p>
      <w:pPr>
        <w:pStyle w:val="Heading3"/>
        <w:spacing w:after="120" w:before="240"/>
      </w:pPr>
      <w:r>
        <w:t xml:space="preserve">Table 2. Statistics of the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D9D9D9" w:val="clear"/>
          </w:tcPr>
          <w:p>
            <w:r>
              <w:rPr>
                <w:b/>
                <w:bCs/>
              </w:rPr>
              <w:t xml:space="preserve">Feature</w:t>
            </w:r>
          </w:p>
        </w:tc>
        <w:tc>
          <w:tcPr>
            <w:tcW w:type="dxa" w:w="2000"/>
            <w:shd w:fill="D9D9D9" w:val="clear"/>
          </w:tcPr>
          <w:p>
            <w:r>
              <w:rPr>
                <w:b/>
                <w:bCs/>
              </w:rPr>
              <w:t xml:space="preserve">Min</w:t>
            </w:r>
          </w:p>
        </w:tc>
        <w:tc>
          <w:tcPr>
            <w:tcW w:type="dxa" w:w="2000"/>
            <w:shd w:fill="D9D9D9" w:val="clear"/>
          </w:tcPr>
          <w:p>
            <w:r>
              <w:rPr>
                <w:b/>
                <w:bCs/>
              </w:rPr>
              <w:t xml:space="preserve">Max</w:t>
            </w:r>
          </w:p>
        </w:tc>
        <w:tc>
          <w:tcPr>
            <w:tcW w:type="dxa" w:w="2000"/>
            <w:shd w:fill="D9D9D9" w:val="clear"/>
          </w:tcPr>
          <w:p>
            <w:r>
              <w:rPr>
                <w:b/>
                <w:bCs/>
              </w:rPr>
              <w:t xml:space="preserve">Mean</w:t>
            </w:r>
          </w:p>
        </w:tc>
      </w:tr>
      <w:tr>
        <w:tc>
          <w:tcPr>
            <w:tcW w:type="dxa" w:w="3000"/>
          </w:tcPr>
          <w:p>
            <w:r>
              <w:t xml:space="preserve">C (%)</w:t>
            </w:r>
          </w:p>
        </w:tc>
        <w:tc>
          <w:tcPr>
            <w:tcW w:type="dxa" w:w="2000"/>
          </w:tcPr>
          <w:p>
            <w:r>
              <w:t xml:space="preserve">0</w:t>
            </w:r>
          </w:p>
        </w:tc>
        <w:tc>
          <w:tcPr>
            <w:tcW w:type="dxa" w:w="2000"/>
          </w:tcPr>
          <w:p>
            <w:r>
              <w:t xml:space="preserve">6</w:t>
            </w:r>
          </w:p>
        </w:tc>
        <w:tc>
          <w:tcPr>
            <w:tcW w:type="dxa" w:w="2000"/>
          </w:tcPr>
          <w:p>
            <w:r>
              <w:t xml:space="preserve">0.1331</w:t>
            </w:r>
          </w:p>
        </w:tc>
      </w:tr>
      <w:tr>
        <w:tc>
          <w:tcPr>
            <w:tcW w:type="dxa" w:w="3000"/>
          </w:tcPr>
          <w:p>
            <w:r>
              <w:t xml:space="preserve">Al (%)</w:t>
            </w:r>
          </w:p>
        </w:tc>
        <w:tc>
          <w:tcPr>
            <w:tcW w:type="dxa" w:w="2000"/>
          </w:tcPr>
          <w:p>
            <w:r>
              <w:t xml:space="preserve">0</w:t>
            </w:r>
          </w:p>
        </w:tc>
        <w:tc>
          <w:tcPr>
            <w:tcW w:type="dxa" w:w="2000"/>
          </w:tcPr>
          <w:p>
            <w:r>
              <w:t xml:space="preserve">16.67</w:t>
            </w:r>
          </w:p>
        </w:tc>
        <w:tc>
          <w:tcPr>
            <w:tcW w:type="dxa" w:w="2000"/>
          </w:tcPr>
          <w:p>
            <w:r>
              <w:t xml:space="preserve">2.3016</w:t>
            </w:r>
          </w:p>
        </w:tc>
      </w:tr>
      <w:tr>
        <w:tc>
          <w:tcPr>
            <w:tcW w:type="dxa" w:w="3000"/>
          </w:tcPr>
          <w:p>
            <w:r>
              <w:t xml:space="preserve">V (%)</w:t>
            </w:r>
          </w:p>
        </w:tc>
        <w:tc>
          <w:tcPr>
            <w:tcW w:type="dxa" w:w="2000"/>
          </w:tcPr>
          <w:p>
            <w:r>
              <w:t xml:space="preserve">0</w:t>
            </w:r>
          </w:p>
        </w:tc>
        <w:tc>
          <w:tcPr>
            <w:tcW w:type="dxa" w:w="2000"/>
          </w:tcPr>
          <w:p>
            <w:r>
              <w:t xml:space="preserve">33.33</w:t>
            </w:r>
          </w:p>
        </w:tc>
        <w:tc>
          <w:tcPr>
            <w:tcW w:type="dxa" w:w="2000"/>
          </w:tcPr>
          <w:p>
            <w:r>
              <w:t xml:space="preserve">1.7634</w:t>
            </w:r>
          </w:p>
        </w:tc>
      </w:tr>
      <w:tr>
        <w:tc>
          <w:tcPr>
            <w:tcW w:type="dxa" w:w="3000"/>
          </w:tcPr>
          <w:p>
            <w:r>
              <w:t xml:space="preserve">Cr (%)</w:t>
            </w:r>
          </w:p>
        </w:tc>
        <w:tc>
          <w:tcPr>
            <w:tcW w:type="dxa" w:w="2000"/>
          </w:tcPr>
          <w:p>
            <w:r>
              <w:t xml:space="preserve">0</w:t>
            </w:r>
          </w:p>
        </w:tc>
        <w:tc>
          <w:tcPr>
            <w:tcW w:type="dxa" w:w="2000"/>
          </w:tcPr>
          <w:p>
            <w:r>
              <w:t xml:space="preserve">39.4</w:t>
            </w:r>
          </w:p>
        </w:tc>
        <w:tc>
          <w:tcPr>
            <w:tcW w:type="dxa" w:w="2000"/>
          </w:tcPr>
          <w:p>
            <w:r>
              <w:t xml:space="preserve">17.6541</w:t>
            </w:r>
          </w:p>
        </w:tc>
      </w:tr>
      <w:tr>
        <w:tc>
          <w:tcPr>
            <w:tcW w:type="dxa" w:w="3000"/>
          </w:tcPr>
          <w:p>
            <w:r>
              <w:t xml:space="preserve">Mn (%)</w:t>
            </w:r>
          </w:p>
        </w:tc>
        <w:tc>
          <w:tcPr>
            <w:tcW w:type="dxa" w:w="2000"/>
          </w:tcPr>
          <w:p>
            <w:r>
              <w:t xml:space="preserve">0</w:t>
            </w:r>
          </w:p>
        </w:tc>
        <w:tc>
          <w:tcPr>
            <w:tcW w:type="dxa" w:w="2000"/>
          </w:tcPr>
          <w:p>
            <w:r>
              <w:t xml:space="preserve">50</w:t>
            </w:r>
          </w:p>
        </w:tc>
        <w:tc>
          <w:tcPr>
            <w:tcW w:type="dxa" w:w="2000"/>
          </w:tcPr>
          <w:p>
            <w:r>
              <w:t xml:space="preserve">10.6806</w:t>
            </w:r>
          </w:p>
        </w:tc>
      </w:tr>
      <w:tr>
        <w:tc>
          <w:tcPr>
            <w:tcW w:type="dxa" w:w="3000"/>
          </w:tcPr>
          <w:p>
            <w:r>
              <w:t xml:space="preserve">Fe (%)</w:t>
            </w:r>
          </w:p>
        </w:tc>
        <w:tc>
          <w:tcPr>
            <w:tcW w:type="dxa" w:w="2000"/>
          </w:tcPr>
          <w:p>
            <w:r>
              <w:t xml:space="preserve">0</w:t>
            </w:r>
          </w:p>
        </w:tc>
        <w:tc>
          <w:tcPr>
            <w:tcW w:type="dxa" w:w="2000"/>
          </w:tcPr>
          <w:p>
            <w:r>
              <w:t xml:space="preserve">59</w:t>
            </w:r>
          </w:p>
        </w:tc>
        <w:tc>
          <w:tcPr>
            <w:tcW w:type="dxa" w:w="2000"/>
          </w:tcPr>
          <w:p>
            <w:r>
              <w:t xml:space="preserve">22.5304</w:t>
            </w:r>
          </w:p>
        </w:tc>
      </w:tr>
      <w:tr>
        <w:tc>
          <w:tcPr>
            <w:tcW w:type="dxa" w:w="3000"/>
          </w:tcPr>
          <w:p>
            <w:r>
              <w:t xml:space="preserve">Co (%)</w:t>
            </w:r>
          </w:p>
        </w:tc>
        <w:tc>
          <w:tcPr>
            <w:tcW w:type="dxa" w:w="2000"/>
          </w:tcPr>
          <w:p>
            <w:r>
              <w:t xml:space="preserve">0</w:t>
            </w:r>
          </w:p>
        </w:tc>
        <w:tc>
          <w:tcPr>
            <w:tcW w:type="dxa" w:w="2000"/>
          </w:tcPr>
          <w:p>
            <w:r>
              <w:t xml:space="preserve">50</w:t>
            </w:r>
          </w:p>
        </w:tc>
        <w:tc>
          <w:tcPr>
            <w:tcW w:type="dxa" w:w="2000"/>
          </w:tcPr>
          <w:p>
            <w:r>
              <w:t xml:space="preserve">20.2834</w:t>
            </w:r>
          </w:p>
        </w:tc>
      </w:tr>
      <w:tr>
        <w:tc>
          <w:tcPr>
            <w:tcW w:type="dxa" w:w="3000"/>
          </w:tcPr>
          <w:p>
            <w:r>
              <w:t xml:space="preserve">Ni (%)</w:t>
            </w:r>
          </w:p>
        </w:tc>
        <w:tc>
          <w:tcPr>
            <w:tcW w:type="dxa" w:w="2000"/>
          </w:tcPr>
          <w:p>
            <w:r>
              <w:t xml:space="preserve">0</w:t>
            </w:r>
          </w:p>
        </w:tc>
        <w:tc>
          <w:tcPr>
            <w:tcW w:type="dxa" w:w="2000"/>
          </w:tcPr>
          <w:p>
            <w:r>
              <w:t xml:space="preserve">60</w:t>
            </w:r>
          </w:p>
        </w:tc>
        <w:tc>
          <w:tcPr>
            <w:tcW w:type="dxa" w:w="2000"/>
          </w:tcPr>
          <w:p>
            <w:r>
              <w:t xml:space="preserve">21.9012</w:t>
            </w:r>
          </w:p>
        </w:tc>
      </w:tr>
      <w:tr>
        <w:tc>
          <w:tcPr>
            <w:tcW w:type="dxa" w:w="3000"/>
          </w:tcPr>
          <w:p>
            <w:r>
              <w:t xml:space="preserve">Cu (%)</w:t>
            </w:r>
          </w:p>
        </w:tc>
        <w:tc>
          <w:tcPr>
            <w:tcW w:type="dxa" w:w="2000"/>
          </w:tcPr>
          <w:p>
            <w:r>
              <w:t xml:space="preserve">0</w:t>
            </w:r>
          </w:p>
        </w:tc>
        <w:tc>
          <w:tcPr>
            <w:tcW w:type="dxa" w:w="2000"/>
          </w:tcPr>
          <w:p>
            <w:r>
              <w:t xml:space="preserve">36</w:t>
            </w:r>
          </w:p>
        </w:tc>
        <w:tc>
          <w:tcPr>
            <w:tcW w:type="dxa" w:w="2000"/>
          </w:tcPr>
          <w:p>
            <w:r>
              <w:t xml:space="preserve">2.0725</w:t>
            </w:r>
          </w:p>
        </w:tc>
      </w:tr>
      <w:tr>
        <w:tc>
          <w:tcPr>
            <w:tcW w:type="dxa" w:w="3000"/>
          </w:tcPr>
          <w:p>
            <w:r>
              <w:t xml:space="preserve">Mo (%)</w:t>
            </w:r>
          </w:p>
        </w:tc>
        <w:tc>
          <w:tcPr>
            <w:tcW w:type="dxa" w:w="2000"/>
          </w:tcPr>
          <w:p>
            <w:r>
              <w:t xml:space="preserve">0</w:t>
            </w:r>
          </w:p>
        </w:tc>
        <w:tc>
          <w:tcPr>
            <w:tcW w:type="dxa" w:w="2000"/>
          </w:tcPr>
          <w:p>
            <w:r>
              <w:t xml:space="preserve">1</w:t>
            </w:r>
          </w:p>
        </w:tc>
        <w:tc>
          <w:tcPr>
            <w:tcW w:type="dxa" w:w="2000"/>
          </w:tcPr>
          <w:p>
            <w:r>
              <w:t xml:space="preserve">0.6797</w:t>
            </w:r>
          </w:p>
        </w:tc>
      </w:tr>
      <w:tr>
        <w:tc>
          <w:tcPr>
            <w:tcW w:type="dxa" w:w="3000"/>
          </w:tcPr>
          <w:p>
            <w:r>
              <w:t xml:space="preserve">Hom_Temp (K)</w:t>
            </w:r>
          </w:p>
        </w:tc>
        <w:tc>
          <w:tcPr>
            <w:tcW w:type="dxa" w:w="2000"/>
          </w:tcPr>
          <w:p>
            <w:r>
              <w:t xml:space="preserve">0</w:t>
            </w:r>
          </w:p>
        </w:tc>
        <w:tc>
          <w:tcPr>
            <w:tcW w:type="dxa" w:w="2000"/>
          </w:tcPr>
          <w:p>
            <w:r>
              <w:t xml:space="preserve">1573</w:t>
            </w:r>
          </w:p>
        </w:tc>
        <w:tc>
          <w:tcPr>
            <w:tcW w:type="dxa" w:w="2000"/>
          </w:tcPr>
          <w:p>
            <w:r>
              <w:t xml:space="preserve">1160.224</w:t>
            </w:r>
          </w:p>
        </w:tc>
      </w:tr>
      <w:tr>
        <w:tc>
          <w:tcPr>
            <w:tcW w:type="dxa" w:w="3000"/>
          </w:tcPr>
          <w:p>
            <w:r>
              <w:t xml:space="preserve">Reduction rate (%)</w:t>
            </w:r>
          </w:p>
        </w:tc>
        <w:tc>
          <w:tcPr>
            <w:tcW w:type="dxa" w:w="2000"/>
          </w:tcPr>
          <w:p>
            <w:r>
              <w:t xml:space="preserve">0</w:t>
            </w:r>
          </w:p>
        </w:tc>
        <w:tc>
          <w:tcPr>
            <w:tcW w:type="dxa" w:w="2000"/>
          </w:tcPr>
          <w:p>
            <w:r>
              <w:t xml:space="preserve">96</w:t>
            </w:r>
          </w:p>
        </w:tc>
        <w:tc>
          <w:tcPr>
            <w:tcW w:type="dxa" w:w="2000"/>
          </w:tcPr>
          <w:p>
            <w:r>
              <w:t xml:space="preserve">60.05</w:t>
            </w:r>
          </w:p>
        </w:tc>
      </w:tr>
      <w:tr>
        <w:tc>
          <w:tcPr>
            <w:tcW w:type="dxa" w:w="3000"/>
          </w:tcPr>
          <w:p>
            <w:r>
              <w:t xml:space="preserve">Anneal_Temp (K)</w:t>
            </w:r>
          </w:p>
        </w:tc>
        <w:tc>
          <w:tcPr>
            <w:tcW w:type="dxa" w:w="2000"/>
          </w:tcPr>
          <w:p>
            <w:r>
              <w:t xml:space="preserve">0</w:t>
            </w:r>
          </w:p>
        </w:tc>
        <w:tc>
          <w:tcPr>
            <w:tcW w:type="dxa" w:w="2000"/>
          </w:tcPr>
          <w:p>
            <w:r>
              <w:t xml:space="preserve">1523</w:t>
            </w:r>
          </w:p>
        </w:tc>
        <w:tc>
          <w:tcPr>
            <w:tcW w:type="dxa" w:w="2000"/>
          </w:tcPr>
          <w:p>
            <w:r>
              <w:t xml:space="preserve">841.54</w:t>
            </w:r>
          </w:p>
        </w:tc>
      </w:tr>
      <w:tr>
        <w:tc>
          <w:tcPr>
            <w:tcW w:type="dxa" w:w="3000"/>
          </w:tcPr>
          <w:p>
            <w:r>
              <w:t xml:space="preserve">Anneal_Time (h)</w:t>
            </w:r>
          </w:p>
        </w:tc>
        <w:tc>
          <w:tcPr>
            <w:tcW w:type="dxa" w:w="2000"/>
          </w:tcPr>
          <w:p>
            <w:r>
              <w:t xml:space="preserve">0</w:t>
            </w:r>
          </w:p>
        </w:tc>
        <w:tc>
          <w:tcPr>
            <w:tcW w:type="dxa" w:w="2000"/>
          </w:tcPr>
          <w:p>
            <w:r>
              <w:t xml:space="preserve">50</w:t>
            </w:r>
          </w:p>
        </w:tc>
        <w:tc>
          <w:tcPr>
            <w:tcW w:type="dxa" w:w="2000"/>
          </w:tcPr>
          <w:p>
            <w:r>
              <w:t xml:space="preserve">1.68</w:t>
            </w:r>
          </w:p>
        </w:tc>
      </w:tr>
    </w:tbl>
    <w:p>
      <w:pPr>
        <w:pStyle w:val="Heading3"/>
        <w:spacing w:after="120" w:before="240"/>
      </w:pPr>
      <w:r>
        <w:t xml:space="preserve">Table 3. Optimization method and optimized parameters for each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tcW w:type="dxa" w:w="1500"/>
            <w:shd w:fill="D9D9D9" w:val="clear"/>
          </w:tcPr>
          <w:p>
            <w:r>
              <w:rPr>
                <w:b/>
                <w:bCs/>
              </w:rPr>
              <w:t xml:space="preserve">Model</w:t>
            </w:r>
          </w:p>
        </w:tc>
        <w:tc>
          <w:tcPr>
            <w:tcW w:type="dxa" w:w="2500"/>
            <w:shd w:fill="D9D9D9" w:val="clear"/>
          </w:tcPr>
          <w:p>
            <w:r>
              <w:rPr>
                <w:b/>
                <w:bCs/>
              </w:rPr>
              <w:t xml:space="preserve">Optimization method</w:t>
            </w:r>
          </w:p>
        </w:tc>
        <w:tc>
          <w:tcPr>
            <w:tcW w:type="dxa" w:w="5000"/>
            <w:shd w:fill="D9D9D9" w:val="clear"/>
          </w:tcPr>
          <w:p>
            <w:r>
              <w:rPr>
                <w:b/>
                <w:bCs/>
              </w:rPr>
              <w:t xml:space="preserve">Hyperparameters optimized</w:t>
            </w:r>
          </w:p>
        </w:tc>
      </w:tr>
      <w:tr>
        <w:tc>
          <w:tcPr>
            <w:tcW w:type="dxa" w:w="1500"/>
          </w:tcPr>
          <w:p>
            <w:r>
              <w:t xml:space="preserve">DNN</w:t>
            </w:r>
          </w:p>
        </w:tc>
        <w:tc>
          <w:tcPr>
            <w:tcW w:type="dxa" w:w="2500"/>
          </w:tcPr>
          <w:p>
            <w:r>
              <w:t xml:space="preserve">Training for 100 epochs, repeated 100 times</w:t>
            </w:r>
          </w:p>
        </w:tc>
        <w:tc>
          <w:tcPr>
            <w:tcW w:type="dxa" w:w="5000"/>
          </w:tcPr>
          <w:p>
            <w:r>
              <w:t xml:space="preserve">batch_size (16); hidden1_size (256); hidden2_size (128); dropout_1 (0.2); hidden3_size (64)</w:t>
            </w:r>
          </w:p>
        </w:tc>
      </w:tr>
      <w:tr>
        <w:tc>
          <w:tcPr>
            <w:tcW w:type="dxa" w:w="1500"/>
          </w:tcPr>
          <w:p>
            <w:r>
              <w:t xml:space="preserve">XGB</w:t>
            </w:r>
          </w:p>
        </w:tc>
        <w:tc>
          <w:tcPr>
            <w:tcW w:type="dxa" w:w="2500"/>
          </w:tcPr>
          <w:p>
            <w:r>
              <w:t xml:space="preserve">Bayesian optimization</w:t>
            </w:r>
          </w:p>
        </w:tc>
        <w:tc>
          <w:tcPr>
            <w:tcW w:type="dxa" w:w="5000"/>
          </w:tcPr>
          <w:p>
            <w:r>
              <w:t xml:space="preserve">n_estimators (123); max_depth (3); min_child_weight (4); learning_rate (0.1293); subsample (0.8074); gamma (1.7092); reg_alpha (0.0665); reg_lambda (0.2812)</w:t>
            </w:r>
          </w:p>
        </w:tc>
      </w:tr>
      <w:tr>
        <w:tc>
          <w:tcPr>
            <w:tcW w:type="dxa" w:w="1500"/>
          </w:tcPr>
          <w:p>
            <w:r>
              <w:t xml:space="preserve">RF</w:t>
            </w:r>
          </w:p>
        </w:tc>
        <w:tc>
          <w:tcPr>
            <w:tcW w:type="dxa" w:w="2500"/>
          </w:tcPr>
          <w:p>
            <w:r>
              <w:t xml:space="preserve">Bayesian optimization</w:t>
            </w:r>
          </w:p>
        </w:tc>
        <w:tc>
          <w:tcPr>
            <w:tcW w:type="dxa" w:w="5000"/>
          </w:tcPr>
          <w:p>
            <w:r>
              <w:t xml:space="preserve">n_estimators (216); max_depth (11); min_samples_split (2); min_samples_leaf (1)</w:t>
            </w:r>
          </w:p>
        </w:tc>
      </w:tr>
    </w:tbl>
    <w:p>
      <w:pPr>
        <w:pStyle w:val="Heading1"/>
        <w:spacing w:after="120" w:before="240"/>
      </w:pPr>
      <w:r>
        <w:t xml:space="preserve">3. Results and Discussion</w:t>
      </w:r>
    </w:p>
    <w:p>
      <w:pPr>
        <w:spacing w:after="160"/>
        <w:jc w:val="both"/>
      </w:pPr>
      <w:r>
        <w:rPr>
          <w:b w:val="false"/>
          <w:bCs w:val="false"/>
          <w:i w:val="false"/>
          <w:iCs w:val="false"/>
        </w:rPr>
        <w:t xml:space="preserve">Fig. 7 shows the parity plots for each model on the training and test data. The DNN model achieved an R² score and RMSE of 0.791 and 138.6 MPa, respectively, on the test data. The RF and XGB models achieved R² scores and RMSEs of 0.744, 143.3 MPa and 0.803, 125.9 MPa, respectively. These results confirm that each model shows good generalization performance. Additionally, 10-fold cross-validation on the entire dataset yielded an average RMSE of 174.152 MPa and average R² of 0.5503 for XGB, and an average RMSE of 181.296 MPa and average R² of 0.4995 for RF. Detailed performance metrics on the training and test data for each model are given in Tables 4 and 5. Among the three models, XGB, which showed the best performance metrics, was ultimately selected as the predictive model.</w:t>
      </w:r>
    </w:p>
    <w:p>
      <w:pPr>
        <w:spacing w:after="160"/>
        <w:jc w:val="both"/>
      </w:pPr>
      <w:r>
        <w:rPr>
          <w:b w:val="false"/>
          <w:bCs w:val="false"/>
          <w:i w:val="false"/>
          <w:iCs w:val="false"/>
        </w:rPr>
        <w:t xml:space="preserve">To understand the correlation between HEA composition and UTS, SHAP analysis was performed. SHAP is an interpretability technique based on game theory that assigns an importance value to each feature for every prediction, enabling interpretation of the AI model.(22) A positive SHAP value means that the corresponding feature value contributes to increasing the target value predicted by the model, while a negative SHAP value means it contributes to decreasing the model's prediction. Fig. 8 shows the SHAP values for each feature with respect to ultimate tensile strength as the target. Each point represents the SHAP value of a specific feature for one composition, and points that overlap on the y-axis are spread vertically to visualize the distribution of SHAP values. Reduction rate and annealing temperature are clearly shown to be important features for predicting ultimate tensile strength. Although Al, Co, and Mo have low average content, as shown in Fig. 3(a), the SHAP analysis reveals that they have high importance. The SHAP values show that as the reduction rate increases, it contributes to increasing the model's predicted value. Cold rolling significantly increases strength in HEAs through increased dislocation density and twinning, but generally causes a strength-ductility trade-off by reducing ductility.(23) Annealing temperature contributes to decreasing the model's predicted value as it increases.</w:t>
      </w:r>
    </w:p>
    <w:p>
      <w:pPr>
        <w:spacing w:after="160"/>
        <w:jc w:val="both"/>
      </w:pPr>
      <w:r>
        <w:rPr>
          <w:b w:val="false"/>
          <w:bCs w:val="false"/>
          <w:i w:val="false"/>
          <w:iCs w:val="false"/>
        </w:rPr>
        <w:t xml:space="preserve">Annealing temperature directly affects the degree of recrystallization, grain size, and dislocation density, and these microstructural changes ultimately determine the strength-ductility balance and strain-hardening behavior. Higher annealing temperatures also promote recrystallization and grain growth, which tends to lower the material's strength while improving ductility.(24) An increase in Al contributes to increasing the model's predicted value; this study confirmed that Al, when added together with Ni, forms precipitates that increase strength while decreasing ductility.</w:t>
      </w:r>
    </w:p>
    <w:p>
      <w:pPr>
        <w:spacing w:after="160"/>
        <w:jc w:val="both"/>
      </w:pPr>
      <w:r>
        <w:rPr>
          <w:b w:val="false"/>
          <w:bCs w:val="false"/>
          <w:i w:val="false"/>
          <w:iCs w:val="false"/>
        </w:rPr>
        <w:t xml:space="preserve">Fig. 9(a) shows the latent space of the trained VAE model. The upper region separates the probability distribution of materials with high ultimate tensile strength from that of materials with low strength. The generated data were obtained by randomly sampling 1,000 Z values from the probability distribution of materials with high ultimate tensile strength and feeding them into the decoder. The sampling region for the generated data is shown in Fig. 9(b).</w:t>
      </w:r>
    </w:p>
    <w:p>
      <w:pPr>
        <w:spacing w:after="160"/>
        <w:jc w:val="both"/>
      </w:pPr>
      <w:r>
        <w:rPr>
          <w:b w:val="false"/>
          <w:bCs w:val="false"/>
          <w:i w:val="false"/>
          <w:iCs w:val="false"/>
        </w:rPr>
        <w:t xml:space="preserve">Fig. 9(c) is a radar plot of the composition of the 1,000 data points generated by the VAE. The generated data show that Ni, Co, Fe, Mn, and Cr have relatively high average composition ratios. It was confirmed that Ni- and Fe-based HEAs exhibit excellent ultimate tensile strength. It has also been reported that adding Cu to HEAs improves both strength and ductility simultaneously. Compared with the training data, both groups share Ni, Fe, Mn, and Cr as major elements; however, while the training data show relatively high Ni, Co, and Fe content and low Mn content, the generated data show a slight decrease in Ni and Co content and a slight increase in Mn content. The 1,000 generated samples were then evaluated for strength using the previously optimized XGB model. Fig. 10 shows the predicted strength values for the 1,000 generated data points. The predicted strengths fall within the 800–1,600 MPa range, indicating that the VAE model successfully learned the probability distribution of high-strength materials.</w:t>
      </w:r>
    </w:p>
    <w:p>
      <w:pPr>
        <w:spacing w:after="160"/>
        <w:jc w:val="both"/>
      </w:pPr>
      <w:r>
        <w:rPr>
          <w:b w:val="false"/>
          <w:bCs w:val="false"/>
          <w:i w:val="false"/>
          <w:iCs w:val="false"/>
        </w:rPr>
        <w:t xml:space="preserve">Fig. 11 visualizes, using t-SNE (a dimensionality reduction technique), the spatial distribution of the 501 training data points and the data generated by the VAE, with the original dataset compositions and the generated data shown separately. The distribution of the generated data is confirmed to broadly overlap with the distribution of data having an ultimate tensile strength of 1,400 MPa or higher, indicating that the generated data closely resembles data with high ultimate tensile strength.</w:t>
      </w:r>
    </w:p>
    <w:p>
      <w:pPr>
        <w:pStyle w:val="Heading3"/>
        <w:spacing w:after="120" w:before="240"/>
      </w:pPr>
      <w:r>
        <w:t xml:space="preserve">Table 4. Performance metrics (R² and RMSE) of each model on the training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r>
              <w:rPr>
                <w:b/>
                <w:bCs/>
              </w:rPr>
              <w:t xml:space="preserve">Model</w:t>
            </w:r>
          </w:p>
        </w:tc>
        <w:tc>
          <w:tcPr>
            <w:tcW w:type="dxa" w:w="3000"/>
            <w:shd w:fill="D9D9D9" w:val="clear"/>
          </w:tcPr>
          <w:p>
            <w:r>
              <w:rPr>
                <w:b/>
                <w:bCs/>
              </w:rPr>
              <w:t xml:space="preserve">R² score</w:t>
            </w:r>
          </w:p>
        </w:tc>
        <w:tc>
          <w:tcPr>
            <w:tcW w:type="dxa" w:w="3000"/>
            <w:shd w:fill="D9D9D9" w:val="clear"/>
          </w:tcPr>
          <w:p>
            <w:r>
              <w:rPr>
                <w:b/>
                <w:bCs/>
              </w:rPr>
              <w:t xml:space="preserve">RMSE</w:t>
            </w:r>
          </w:p>
        </w:tc>
      </w:tr>
      <w:tr>
        <w:tc>
          <w:tcPr>
            <w:tcW w:type="dxa" w:w="3000"/>
          </w:tcPr>
          <w:p>
            <w:r>
              <w:t xml:space="preserve">DNN</w:t>
            </w:r>
          </w:p>
        </w:tc>
        <w:tc>
          <w:tcPr>
            <w:tcW w:type="dxa" w:w="3000"/>
          </w:tcPr>
          <w:p>
            <w:r>
              <w:t xml:space="preserve">0.794</w:t>
            </w:r>
          </w:p>
        </w:tc>
        <w:tc>
          <w:tcPr>
            <w:tcW w:type="dxa" w:w="3000"/>
          </w:tcPr>
          <w:p>
            <w:r>
              <w:t xml:space="preserve">140.8</w:t>
            </w:r>
          </w:p>
        </w:tc>
      </w:tr>
      <w:tr>
        <w:tc>
          <w:tcPr>
            <w:tcW w:type="dxa" w:w="3000"/>
          </w:tcPr>
          <w:p>
            <w:r>
              <w:t xml:space="preserve">XGB</w:t>
            </w:r>
          </w:p>
        </w:tc>
        <w:tc>
          <w:tcPr>
            <w:tcW w:type="dxa" w:w="3000"/>
          </w:tcPr>
          <w:p>
            <w:r>
              <w:t xml:space="preserve">0.93</w:t>
            </w:r>
          </w:p>
        </w:tc>
        <w:tc>
          <w:tcPr>
            <w:tcW w:type="dxa" w:w="3000"/>
          </w:tcPr>
          <w:p>
            <w:r>
              <w:t xml:space="preserve">81.9</w:t>
            </w:r>
          </w:p>
        </w:tc>
      </w:tr>
      <w:tr>
        <w:tc>
          <w:tcPr>
            <w:tcW w:type="dxa" w:w="3000"/>
          </w:tcPr>
          <w:p>
            <w:r>
              <w:t xml:space="preserve">RF</w:t>
            </w:r>
          </w:p>
        </w:tc>
        <w:tc>
          <w:tcPr>
            <w:tcW w:type="dxa" w:w="3000"/>
          </w:tcPr>
          <w:p>
            <w:r>
              <w:t xml:space="preserve">0.953</w:t>
            </w:r>
          </w:p>
        </w:tc>
        <w:tc>
          <w:tcPr>
            <w:tcW w:type="dxa" w:w="3000"/>
          </w:tcPr>
          <w:p>
            <w:r>
              <w:t xml:space="preserve">67.3</w:t>
            </w:r>
          </w:p>
        </w:tc>
      </w:tr>
    </w:tbl>
    <w:p>
      <w:pPr>
        <w:pStyle w:val="Heading3"/>
        <w:spacing w:after="120" w:before="240"/>
      </w:pPr>
      <w:r>
        <w:t xml:space="preserve">Table 5. Performance metrics (R² and RMSE) of each model on the test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r>
              <w:rPr>
                <w:b/>
                <w:bCs/>
              </w:rPr>
              <w:t xml:space="preserve">Model</w:t>
            </w:r>
          </w:p>
        </w:tc>
        <w:tc>
          <w:tcPr>
            <w:tcW w:type="dxa" w:w="3000"/>
            <w:shd w:fill="D9D9D9" w:val="clear"/>
          </w:tcPr>
          <w:p>
            <w:r>
              <w:rPr>
                <w:b/>
                <w:bCs/>
              </w:rPr>
              <w:t xml:space="preserve">R² score</w:t>
            </w:r>
          </w:p>
        </w:tc>
        <w:tc>
          <w:tcPr>
            <w:tcW w:type="dxa" w:w="3000"/>
            <w:shd w:fill="D9D9D9" w:val="clear"/>
          </w:tcPr>
          <w:p>
            <w:r>
              <w:rPr>
                <w:b/>
                <w:bCs/>
              </w:rPr>
              <w:t xml:space="preserve">RMSE</w:t>
            </w:r>
          </w:p>
        </w:tc>
      </w:tr>
      <w:tr>
        <w:tc>
          <w:tcPr>
            <w:tcW w:type="dxa" w:w="3000"/>
          </w:tcPr>
          <w:p>
            <w:r>
              <w:t xml:space="preserve">DNN</w:t>
            </w:r>
          </w:p>
        </w:tc>
        <w:tc>
          <w:tcPr>
            <w:tcW w:type="dxa" w:w="3000"/>
          </w:tcPr>
          <w:p>
            <w:r>
              <w:t xml:space="preserve">0.761</w:t>
            </w:r>
          </w:p>
        </w:tc>
        <w:tc>
          <w:tcPr>
            <w:tcW w:type="dxa" w:w="3000"/>
          </w:tcPr>
          <w:p>
            <w:r>
              <w:t xml:space="preserve">138.6</w:t>
            </w:r>
          </w:p>
        </w:tc>
      </w:tr>
      <w:tr>
        <w:tc>
          <w:tcPr>
            <w:tcW w:type="dxa" w:w="3000"/>
          </w:tcPr>
          <w:p>
            <w:r>
              <w:t xml:space="preserve">XGB</w:t>
            </w:r>
          </w:p>
        </w:tc>
        <w:tc>
          <w:tcPr>
            <w:tcW w:type="dxa" w:w="3000"/>
          </w:tcPr>
          <w:p>
            <w:r>
              <w:t xml:space="preserve">0.803</w:t>
            </w:r>
          </w:p>
        </w:tc>
        <w:tc>
          <w:tcPr>
            <w:tcW w:type="dxa" w:w="3000"/>
          </w:tcPr>
          <w:p>
            <w:r>
              <w:t xml:space="preserve">125.9</w:t>
            </w:r>
          </w:p>
        </w:tc>
      </w:tr>
      <w:tr>
        <w:tc>
          <w:tcPr>
            <w:tcW w:type="dxa" w:w="3000"/>
          </w:tcPr>
          <w:p>
            <w:r>
              <w:t xml:space="preserve">RF</w:t>
            </w:r>
          </w:p>
        </w:tc>
        <w:tc>
          <w:tcPr>
            <w:tcW w:type="dxa" w:w="3000"/>
          </w:tcPr>
          <w:p>
            <w:r>
              <w:t xml:space="preserve">0.744</w:t>
            </w:r>
          </w:p>
        </w:tc>
        <w:tc>
          <w:tcPr>
            <w:tcW w:type="dxa" w:w="3000"/>
          </w:tcPr>
          <w:p>
            <w:r>
              <w:t xml:space="preserve">143.3</w:t>
            </w:r>
          </w:p>
        </w:tc>
      </w:tr>
    </w:tbl>
    <w:p>
      <w:pPr>
        <w:pStyle w:val="Heading1"/>
        <w:spacing w:after="120" w:before="240"/>
      </w:pPr>
      <w:r>
        <w:t xml:space="preserve">4. Conclusion</w:t>
      </w:r>
    </w:p>
    <w:p>
      <w:pPr>
        <w:spacing w:after="160"/>
        <w:jc w:val="both"/>
      </w:pPr>
      <w:r>
        <w:rPr>
          <w:b w:val="false"/>
          <w:bCs w:val="false"/>
          <w:i w:val="false"/>
          <w:iCs w:val="false"/>
        </w:rPr>
        <w:t xml:space="preserve">In this study, the expected UTS of the 1,000 new data points generated by targeting the high-strength region of the VAE latent space was found to range from approximately 800 to 1,600 MPa, showing that the model effectively learned the probability distribution of high-strength data. SHAP interpretation showed that an increase in reduction rate contributes to increased strength, while an increase in annealing temperature contributes to decreased strength; furthermore, Al, Co, and Mo—despite their low average composition ratios—showed high importance in the model's predictions. Dimensionality reduction via t-SNE showed that the generated compositions expand the distribution of the training data into the high-strength region, supporting the potential to discover new high-strength HEA candidates. Therefore, the proposed framework was confirmed to have the potential to effectively design high-performance HEA candidates.</w:t>
      </w:r>
    </w:p>
    <w:p>
      <w:pPr>
        <w:pStyle w:val="Heading2"/>
        <w:spacing w:after="120" w:before="240"/>
      </w:pPr>
      <w:r>
        <w:t xml:space="preserve">Acknowledgement</w:t>
      </w:r>
    </w:p>
    <w:p>
      <w:pPr>
        <w:spacing w:after="160"/>
        <w:jc w:val="both"/>
      </w:pPr>
      <w:r>
        <w:rPr>
          <w:b w:val="false"/>
          <w:bCs w:val="false"/>
          <w:i w:val="false"/>
          <w:iCs w:val="false"/>
        </w:rPr>
        <w:t xml:space="preserve">This work was supported by the Technology Innovation Program (RS-2025-02220764) funded by the Ministry of Trade, Industry and Energy (MOTIE, Korea).</w:t>
      </w:r>
    </w:p>
    <w:p>
      <w:pPr>
        <w:spacing w:after="160"/>
        <w:jc w:val="both"/>
      </w:pPr>
      <w:r>
        <w:rPr>
          <w:b w:val="false"/>
          <w:bCs w:val="false"/>
          <w:i w:val="false"/>
          <w:iCs w:val="false"/>
        </w:rPr>
        <w:t xml:space="preserve">This research was supported by the Regional Innovation System &amp; Education (RISE) program through the Daejeon RISE center, funded by the Ministry of Education (MOE) and the Daejeon Metropolitan City, Republic of Korea (2025-RISE-06-013).</w:t>
      </w:r>
    </w:p>
    <w:p>
      <w:pPr>
        <w:pStyle w:val="Heading2"/>
        <w:spacing w:after="120" w:before="240"/>
      </w:pPr>
      <w:r>
        <w:t xml:space="preserve">References</w:t>
      </w:r>
    </w:p>
    <w:p>
      <w:pPr>
        <w:spacing w:after="80"/>
        <w:jc w:val="left"/>
      </w:pPr>
      <w:r>
        <w:rPr>
          <w:sz w:val="20"/>
          <w:szCs w:val="20"/>
        </w:rPr>
        <w:t xml:space="preserve">1. J.-W. Yeh, JOM, 67, 2254 (2015).</w:t>
      </w:r>
    </w:p>
    <w:p>
      <w:pPr>
        <w:spacing w:after="80"/>
        <w:jc w:val="left"/>
      </w:pPr>
      <w:r>
        <w:rPr>
          <w:sz w:val="20"/>
          <w:szCs w:val="20"/>
        </w:rPr>
        <w:t xml:space="preserve">2. W. Huo, X. Liu, S. Tan, F. Fang, Z. Xie, J. Shang and J. Jiang, Appl. Surf. Sci., 439, 222 (2018).</w:t>
      </w:r>
    </w:p>
    <w:p>
      <w:pPr>
        <w:spacing w:after="80"/>
        <w:jc w:val="left"/>
      </w:pPr>
      <w:r>
        <w:rPr>
          <w:sz w:val="20"/>
          <w:szCs w:val="20"/>
        </w:rPr>
        <w:t xml:space="preserve">3. R. B. Nair, H. S. Arora, S. Mukherjee, S. Singh, H. Singh and H. S. Grewal, Ultrason. Sonochem., 41, 252 (2018).</w:t>
      </w:r>
    </w:p>
    <w:p>
      <w:pPr>
        <w:spacing w:after="80"/>
        <w:jc w:val="left"/>
      </w:pPr>
      <w:r>
        <w:rPr>
          <w:sz w:val="20"/>
          <w:szCs w:val="20"/>
        </w:rPr>
        <w:t xml:space="preserve">4. J.-W. Yeh, S.-K. Chen, S.-J. Lin, J.-Y. Gan, T.-S. Chin, T.-T. Shun, C.-H. Tsau and S.-Y. Chang, Adv. Eng. Mater., 6, 299 (2004).</w:t>
      </w:r>
    </w:p>
    <w:p>
      <w:pPr>
        <w:spacing w:after="80"/>
        <w:jc w:val="left"/>
      </w:pPr>
      <w:r>
        <w:rPr>
          <w:sz w:val="20"/>
          <w:szCs w:val="20"/>
        </w:rPr>
        <w:t xml:space="preserve">5. B. Cantor, Prog. Mater. Sci., 120, 100754 (2021).</w:t>
      </w:r>
    </w:p>
    <w:p>
      <w:pPr>
        <w:spacing w:after="80"/>
        <w:jc w:val="left"/>
      </w:pPr>
      <w:r>
        <w:rPr>
          <w:sz w:val="20"/>
          <w:szCs w:val="20"/>
        </w:rPr>
        <w:t xml:space="preserve">6. R. Machaka, Comput. Mater. Sci., 188, 110244 (2021).</w:t>
      </w:r>
    </w:p>
    <w:p>
      <w:pPr>
        <w:spacing w:after="80"/>
        <w:jc w:val="left"/>
      </w:pPr>
      <w:r>
        <w:rPr>
          <w:sz w:val="20"/>
          <w:szCs w:val="20"/>
        </w:rPr>
        <w:t xml:space="preserve">7. S. Liu, B. Bocklund, J. Diffenderfer, S. Chaganti, B. Kailkhura, S. K. McCall, B. Gallagher, A. Perron and J. T. McKeown, npj Comput. Mater., 10, 172 (2024).</w:t>
      </w:r>
    </w:p>
    <w:p>
      <w:pPr>
        <w:spacing w:after="80"/>
        <w:jc w:val="left"/>
      </w:pPr>
      <w:r>
        <w:rPr>
          <w:sz w:val="20"/>
          <w:szCs w:val="20"/>
        </w:rPr>
        <w:t xml:space="preserve">8. D. Klimenko, N. Stepanov, J. Li, Q. Fang and S. Zherebtsov, Materials, 14, 7213 (2021).</w:t>
      </w:r>
    </w:p>
    <w:p>
      <w:pPr>
        <w:spacing w:after="80"/>
        <w:jc w:val="left"/>
      </w:pPr>
      <w:r>
        <w:rPr>
          <w:sz w:val="20"/>
          <w:szCs w:val="20"/>
        </w:rPr>
        <w:t xml:space="preserve">9. S. Y. Lee, S. Byeon, H. S. Kim, H. Jin and S. Lee, Mater. Des., 197, 109260 (2021).</w:t>
      </w:r>
    </w:p>
    <w:p>
      <w:pPr>
        <w:spacing w:after="80"/>
        <w:jc w:val="left"/>
      </w:pPr>
      <w:r>
        <w:rPr>
          <w:sz w:val="20"/>
          <w:szCs w:val="20"/>
        </w:rPr>
        <w:t xml:space="preserve">10. K. Y. Li, L. C. Liu, L. L. Shao, J. Zhou, H. B. Ke, M. Z. Li and W. H. Wang, J. Alloys Compd., 1010, 178325 (2025).</w:t>
      </w:r>
    </w:p>
    <w:p>
      <w:pPr>
        <w:spacing w:after="80"/>
        <w:jc w:val="left"/>
      </w:pPr>
      <w:r>
        <w:rPr>
          <w:sz w:val="20"/>
          <w:szCs w:val="20"/>
        </w:rPr>
        <w:t xml:space="preserve">11. Y. Long, C. Zhong, X. Ma, J. Zhang, H. Yao, J. Liu, K. Hu, Q. Zhang and X. Lin, ACS Appl. Mater. Interfaces, 17, 19856 (2025).</w:t>
      </w:r>
    </w:p>
    <w:p>
      <w:pPr>
        <w:spacing w:after="80"/>
        <w:jc w:val="left"/>
      </w:pPr>
      <w:r>
        <w:rPr>
          <w:sz w:val="20"/>
          <w:szCs w:val="20"/>
        </w:rPr>
        <w:t xml:space="preserve">12. S. Kim, L. Zhang, S.-H. Kim and Y. S. Choi, Met. Mater. Int., 30, 1817 (2024).</w:t>
      </w:r>
    </w:p>
    <w:p>
      <w:pPr>
        <w:spacing w:after="80"/>
        <w:jc w:val="left"/>
      </w:pPr>
      <w:r>
        <w:rPr>
          <w:sz w:val="20"/>
          <w:szCs w:val="20"/>
        </w:rPr>
        <w:t xml:space="preserve">13. K. Y. Li, M. Z. Li and W. H. Wang, J. Appl. Phys., 135, 025102 (2024).</w:t>
      </w:r>
    </w:p>
    <w:p>
      <w:pPr>
        <w:spacing w:after="80"/>
        <w:jc w:val="left"/>
      </w:pPr>
      <w:r>
        <w:rPr>
          <w:sz w:val="20"/>
          <w:szCs w:val="20"/>
        </w:rPr>
        <w:t xml:space="preserve">14. J. Wang, H. Kwon, H. S. Kim and B.-J. Lee, npj Comput. Mater., 9, 60 (2023).</w:t>
      </w:r>
    </w:p>
    <w:p>
      <w:pPr>
        <w:spacing w:after="80"/>
        <w:jc w:val="left"/>
      </w:pPr>
      <w:r>
        <w:rPr>
          <w:sz w:val="20"/>
          <w:szCs w:val="20"/>
        </w:rPr>
        <w:t xml:space="preserve">15. C. Chen, L. Ma, Y. Zhang, P. K. Liaw and J. Ren, Intermetallics, 154, 107819 (2023).</w:t>
      </w:r>
    </w:p>
    <w:p>
      <w:pPr>
        <w:spacing w:after="80"/>
        <w:jc w:val="left"/>
      </w:pPr>
      <w:r>
        <w:rPr>
          <w:sz w:val="20"/>
          <w:szCs w:val="20"/>
        </w:rPr>
        <w:t xml:space="preserve">16. J. Qin, F. Zhang, M. Ma, Y. Li and Z. Liu, Mater. Genome Eng. Adv., 2025, e70005 (2025).</w:t>
      </w:r>
    </w:p>
    <w:p>
      <w:pPr>
        <w:spacing w:after="80"/>
        <w:jc w:val="left"/>
      </w:pPr>
      <w:r>
        <w:rPr>
          <w:sz w:val="20"/>
          <w:szCs w:val="20"/>
        </w:rPr>
        <w:t xml:space="preserve">17. H. Jung, S. Lee, T. Kang, A. Zargaran, P.-P. Choi and S. S. Sohn, J. Mater. Sci. Technol., 181, 71 (2024).</w:t>
      </w:r>
    </w:p>
    <w:p>
      <w:pPr>
        <w:spacing w:after="80"/>
        <w:jc w:val="left"/>
      </w:pPr>
      <w:r>
        <w:rPr>
          <w:sz w:val="20"/>
          <w:szCs w:val="20"/>
        </w:rPr>
        <w:t xml:space="preserve">18. J. Tian, K. Tang, Y. K. Wu, T. H. Cao, J. B. Pang and F. Jiang, Mater. Sci. Eng. A, 811, 141054 (2021).</w:t>
      </w:r>
    </w:p>
    <w:p>
      <w:pPr>
        <w:spacing w:after="80"/>
        <w:jc w:val="left"/>
      </w:pPr>
      <w:r>
        <w:rPr>
          <w:sz w:val="20"/>
          <w:szCs w:val="20"/>
        </w:rPr>
        <w:t xml:space="preserve">19. F. Zheng, G. Zhang, X. Chen, X. Yang, Z. Yang, Y. Li and J. Li, Mater. Sci. Eng. A, 774, 138940 (2020).</w:t>
      </w:r>
    </w:p>
    <w:p>
      <w:pPr>
        <w:spacing w:after="80"/>
        <w:jc w:val="left"/>
      </w:pPr>
      <w:r>
        <w:rPr>
          <w:sz w:val="20"/>
          <w:szCs w:val="20"/>
        </w:rPr>
        <w:t xml:space="preserve">20. R. Chang, W. Fang, J. Yan, H. Yu, X. Bai, J. Li, Z. Wang, S. Zheng and F. Yin, J. Mater. Sci. Technol., 62, 25 (2021).</w:t>
      </w:r>
    </w:p>
    <w:p>
      <w:pPr>
        <w:spacing w:after="80"/>
        <w:jc w:val="left"/>
      </w:pPr>
      <w:r>
        <w:rPr>
          <w:sz w:val="20"/>
          <w:szCs w:val="20"/>
        </w:rPr>
        <w:t xml:space="preserve">21. H. Kwon, J. Moon, J. W. Bae, J. M. Park, S. Son, H.-S. Do, B.-J. Lee and H. S. Kim, Scr. Mater., 188, 140 (2020).</w:t>
      </w:r>
    </w:p>
    <w:p>
      <w:pPr>
        <w:spacing w:after="80"/>
        <w:jc w:val="left"/>
      </w:pPr>
      <w:r>
        <w:rPr>
          <w:sz w:val="20"/>
          <w:szCs w:val="20"/>
        </w:rPr>
        <w:t xml:space="preserve">22. S. M. Lundberg and S.-I. Lee in Proceedings of the 31st Conference on Neural Information Processing Systems (Long Beach, CA, December 2017).</w:t>
      </w:r>
    </w:p>
    <w:p>
      <w:pPr>
        <w:spacing w:after="80"/>
        <w:jc w:val="left"/>
      </w:pPr>
      <w:r>
        <w:rPr>
          <w:sz w:val="20"/>
          <w:szCs w:val="20"/>
        </w:rPr>
        <w:t xml:space="preserve">23. Y. Wang, J. Chen, R. Ding, W. Wang, J. He and X. Zhou, J. Mater. Res. Technol., 27, 6065 (2023).</w:t>
      </w:r>
    </w:p>
    <w:p>
      <w:pPr>
        <w:spacing w:after="80"/>
        <w:jc w:val="left"/>
      </w:pPr>
      <w:r>
        <w:rPr>
          <w:sz w:val="20"/>
          <w:szCs w:val="20"/>
        </w:rPr>
        <w:t xml:space="preserve">24. S. W. Wu, L. Xu, X. D. Ma, Y. F. Jia, Y. K. Mu, Y. D. Jia, G. Wang and C. T. Liu, Mater. Sci. Eng. A, 805, 140523 (2021).</w:t>
      </w:r>
    </w:p>
    <w:p>
      <w:pPr>
        <w:pStyle w:val="Heading2"/>
        <w:spacing w:after="120" w:before="240"/>
      </w:pPr>
      <w:r>
        <w:t xml:space="preserve">Author Information</w:t>
      </w:r>
    </w:p>
    <w:p>
      <w:pPr>
        <w:spacing w:after="160"/>
        <w:jc w:val="left"/>
      </w:pPr>
      <w:r>
        <w:rPr>
          <w:b w:val="false"/>
          <w:bCs w:val="false"/>
          <w:i w:val="false"/>
          <w:iCs w:val="false"/>
        </w:rPr>
        <w:t xml:space="preserve">Min-Gyu Kim — Graduate student, Department of Electrical and Electronic Engineering, Hannam University</w:t>
      </w:r>
    </w:p>
    <w:p>
      <w:pPr>
        <w:spacing w:after="160"/>
        <w:jc w:val="left"/>
      </w:pPr>
      <w:r>
        <w:rPr>
          <w:b w:val="false"/>
          <w:bCs w:val="false"/>
          <w:i w:val="false"/>
          <w:iCs w:val="false"/>
        </w:rPr>
        <w:t xml:space="preserve">Chunghee Nam — Professor, Department of Electrical and Electronic Engineering, Hannam University</w:t>
      </w:r>
    </w:p>
    <w:p>
      <w:pPr>
        <w:spacing w:before="300"/>
      </w:pPr>
      <w:r>
        <w:rPr>
          <w:i/>
          <w:iCs/>
          <w:sz w:val="20"/>
          <w:szCs w:val="20"/>
        </w:rPr>
        <w:t xml:space="preserve">Note: Figures 1–11 (framework diagram, histograms, radar plots, correlation heatmap, network plots, SHAP plot, VAE architecture, latent space plots, and t-SNE plot) are graphical elements from the original PDF and are not reproduced here; their captions are included above at the point they are referenced in the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2026-07-05T11:55:28.468Z</dcterms:created>
  <dcterms:modified xsi:type="dcterms:W3CDTF">2026-07-05T11:55:28.468Z</dcterms:modified>
</cp:coreProperties>
</file>

<file path=docProps/custom.xml><?xml version="1.0" encoding="utf-8"?>
<Properties xmlns="http://schemas.openxmlformats.org/officeDocument/2006/custom-properties" xmlns:vt="http://schemas.openxmlformats.org/officeDocument/2006/docPropsVTypes"/>
</file>