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Report: Ohm's Law</w:t>
      </w:r>
    </w:p>
    <w:p>
      <w:r>
        <w:t xml:space="preserve">This is a </w:t>
      </w:r>
      <w:r>
        <w:rPr>
          <w:b/>
        </w:rPr>
        <w:t>bold</w:t>
      </w:r>
      <w:r>
        <w:t xml:space="preserve"> and an </w:t>
      </w:r>
      <w:r>
        <w:rPr>
          <w:i/>
        </w:rPr>
        <w:t>italic</w:t>
      </w:r>
      <w:r>
        <w:t xml:space="preserve"> word, with a link-free sentence &amp; a &lt; sign.</w:t>
      </w:r>
    </w:p>
    <w:p>
      <w:pPr>
        <w:pStyle w:val="Heading2"/>
      </w:pPr>
      <w:r>
        <w:t>Readings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Volts</w:t>
            </w:r>
          </w:p>
        </w:tc>
        <w:tc>
          <w:tcPr>
            <w:tcW w:type="dxa" w:w="2880"/>
          </w:tcPr>
          <w:p>
            <w:r>
              <w:t>Amps</w:t>
            </w:r>
          </w:p>
        </w:tc>
        <w:tc>
          <w:tcPr>
            <w:tcW w:type="dxa" w:w="2880"/>
          </w:tcPr>
          <w:p>
            <w:r>
              <w:t>Ohms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0.5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1.5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</w:tbl>
    <w:p>
      <w:pPr>
        <w:pStyle w:val="ListBullet"/>
      </w:pPr>
      <w:r>
        <w:t>First point</w:t>
      </w:r>
    </w:p>
    <w:p>
      <w:pPr>
        <w:pStyle w:val="ListBullet"/>
      </w:pPr>
      <w:r>
        <w:t>Second point</w:t>
      </w:r>
    </w:p>
    <w:p>
      <w:r>
        <w:drawing>
          <wp:inline xmlns:a="http://schemas.openxmlformats.org/drawingml/2006/main" xmlns:pic="http://schemas.openxmlformats.org/drawingml/2006/picture">
            <wp:extent cx="508000" cy="25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5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