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01" w:rsidRDefault="00881E01" w:rsidP="00881E01">
      <w:pPr>
        <w:spacing w:after="0" w:line="240" w:lineRule="auto"/>
      </w:pPr>
      <w:bookmarkStart w:id="0" w:name="_GoBack"/>
      <w:bookmarkEnd w:id="0"/>
      <w:r>
        <w:t>Jornal da Economia</w:t>
      </w:r>
    </w:p>
    <w:p w:rsidR="00881E01" w:rsidRDefault="00881E01" w:rsidP="00881E01">
      <w:pPr>
        <w:spacing w:after="0" w:line="240" w:lineRule="auto"/>
      </w:pPr>
      <w:r>
        <w:t xml:space="preserve">Moody´s vê gastos do Brasil com juros em maior patamar em </w:t>
      </w:r>
      <w:proofErr w:type="gramStart"/>
      <w:r>
        <w:t>7</w:t>
      </w:r>
      <w:proofErr w:type="gramEnd"/>
      <w:r>
        <w:t xml:space="preserve"> anos</w:t>
      </w:r>
    </w:p>
    <w:p w:rsidR="00881E01" w:rsidRDefault="00881E01" w:rsidP="00881E01">
      <w:pPr>
        <w:spacing w:after="0" w:line="240" w:lineRule="auto"/>
      </w:pPr>
      <w:r>
        <w:t>A alta da Selic deve elevar as despesas do governo brasileiro com juros ao maior patamar desde 2015 neste ano, apontou a agência de classificação de risco Moody´s, destacando que o movimento representa um risco ao esforço de consolidação fiscal do país.</w:t>
      </w:r>
    </w:p>
    <w:p w:rsidR="00881E01" w:rsidRDefault="00881E01" w:rsidP="00881E01">
      <w:pPr>
        <w:spacing w:after="0" w:line="240" w:lineRule="auto"/>
      </w:pPr>
      <w:r>
        <w:t xml:space="preserve">Em relatório divulgado nesta quarta-feira (16), a Moody´s destacou como outros obstáculos </w:t>
      </w:r>
      <w:proofErr w:type="gramStart"/>
      <w:r>
        <w:t>as</w:t>
      </w:r>
      <w:proofErr w:type="gramEnd"/>
      <w:r>
        <w:t xml:space="preserve"> propostas em tramitação no Congresso para reduzir a tributação de combustíveis e incertezas macroeconômicas no ano eleitoral.</w:t>
      </w:r>
    </w:p>
    <w:p w:rsidR="00881E01" w:rsidRDefault="00881E01" w:rsidP="00881E01">
      <w:pPr>
        <w:spacing w:after="0" w:line="240" w:lineRule="auto"/>
      </w:pPr>
      <w:r>
        <w:t>"A elevada participação no Brasil da dívida atrelada a taxas flutuantes contribui para a suscetibilidade da carga da dívida a aumentos de taxas", disse a Moody´s, destacando que essa parcela está hoje em 39% do total da dívida mobiliária interna, ante 29% em 2016.</w:t>
      </w:r>
    </w:p>
    <w:p w:rsidR="00881E01" w:rsidRDefault="00881E01" w:rsidP="00881E01">
      <w:pPr>
        <w:spacing w:after="0" w:line="240" w:lineRule="auto"/>
      </w:pPr>
      <w:r>
        <w:t>Ao comentar as propostas para redução da tributação sobre combustíveis, a Moody´s afirmou que a aprovação de uma medida nesse sentido sem a devida compensação vai prejudicar o ímpeto recente de alta da arrecadação.</w:t>
      </w:r>
    </w:p>
    <w:p w:rsidR="00881E01" w:rsidRDefault="00881E01" w:rsidP="00881E01">
      <w:pPr>
        <w:spacing w:after="0" w:line="240" w:lineRule="auto"/>
      </w:pPr>
      <w:r>
        <w:t>"Ao mesmo tempo, as crescentes incertezas em torno da política fiscal e das perspectivas macroeconômicas gerais do Brasil antes das eleições de outubro de 2022 estão prejudicando o ânimo dos investidores, afetando negativamente a confiança do mercado e levando a um aumento dos prêmios de risco", disse a Moody´s, ressaltando que as expectativas de inflação seguem elevadas e as projeções para o crescimento em 2022 e 2023 sofreram revisões expressivas para baixo.</w:t>
      </w:r>
    </w:p>
    <w:p w:rsidR="00881E01" w:rsidRDefault="00881E01" w:rsidP="00881E01">
      <w:pPr>
        <w:spacing w:after="0" w:line="240" w:lineRule="auto"/>
      </w:pPr>
      <w:r>
        <w:t>A Moody's atribui ao Brasil classificação de nota de crédito soberano de longo prazo em moeda estrangeira em "Ba2", dois níveis abaixo do "rating" mínimo para ser considerado grau de investimento – selo de bom pagador. A agência retirou o grau de investimento do Brasil em 2016.</w:t>
      </w:r>
    </w:p>
    <w:p w:rsidR="00881E01" w:rsidRDefault="00881E01" w:rsidP="00881E01">
      <w:pPr>
        <w:spacing w:after="0" w:line="240" w:lineRule="auto"/>
      </w:pPr>
      <w:r>
        <w:t xml:space="preserve">As agências Fitch e S&amp;P colocam o Brasil em "BB-", também considerado grau </w:t>
      </w:r>
      <w:proofErr w:type="gramStart"/>
      <w:r>
        <w:t>especulativo</w:t>
      </w:r>
      <w:proofErr w:type="gramEnd"/>
      <w:r>
        <w:t>.</w:t>
      </w:r>
    </w:p>
    <w:p w:rsidR="00881E01" w:rsidRDefault="00881E01" w:rsidP="00881E01">
      <w:pPr>
        <w:spacing w:after="0" w:line="240" w:lineRule="auto"/>
      </w:pPr>
      <w:r>
        <w:t>Bancos brasileiros têm lucro recorde em pior ano da pandemia</w:t>
      </w:r>
    </w:p>
    <w:p w:rsidR="00881E01" w:rsidRDefault="00881E01" w:rsidP="00881E01">
      <w:pPr>
        <w:spacing w:after="0" w:line="240" w:lineRule="auto"/>
      </w:pPr>
      <w:r>
        <w:t>Os quatro maiores bancos do país listados na Bolsa de Valores lucraram juntos R$ 81,6 bilhões.</w:t>
      </w:r>
    </w:p>
    <w:p w:rsidR="00881E01" w:rsidRDefault="00881E01" w:rsidP="00881E01">
      <w:pPr>
        <w:spacing w:after="0" w:line="240" w:lineRule="auto"/>
      </w:pPr>
      <w:r>
        <w:t xml:space="preserve">O ano de 2021 ficou marcado na história do país como o mais mortal da pandemia. Mais de 424 mil pessoas morreram de covid-19, doença que </w:t>
      </w:r>
      <w:proofErr w:type="gramStart"/>
      <w:r>
        <w:t>forçou brasileiros</w:t>
      </w:r>
      <w:proofErr w:type="gramEnd"/>
      <w:r>
        <w:t xml:space="preserve"> a entrarem em isolamento social e deteriorou indicadores da economia do país.</w:t>
      </w:r>
    </w:p>
    <w:p w:rsidR="00881E01" w:rsidRDefault="00881E01" w:rsidP="00881E01">
      <w:pPr>
        <w:spacing w:after="0" w:line="240" w:lineRule="auto"/>
      </w:pPr>
      <w:r>
        <w:t xml:space="preserve">O ano passado, entretanto, também foi um período de lucros recordes para bancos. Só as quatro maiores instituições </w:t>
      </w:r>
      <w:proofErr w:type="gramStart"/>
      <w:r>
        <w:t>financeiras com ações negociadas na Bolsa de Valores de São Paulo – Banco do Brasil, Bradesco</w:t>
      </w:r>
      <w:proofErr w:type="gramEnd"/>
      <w:r>
        <w:t>, Itaú e Santander – lucraram juntas R$ 81,6 bilhões.</w:t>
      </w:r>
    </w:p>
    <w:p w:rsidR="00881E01" w:rsidRDefault="00881E01" w:rsidP="00881E01">
      <w:pPr>
        <w:spacing w:after="0" w:line="240" w:lineRule="auto"/>
      </w:pPr>
      <w:r>
        <w:t xml:space="preserve">O valor é o maior já registrado pela empresa </w:t>
      </w:r>
      <w:proofErr w:type="spellStart"/>
      <w:r>
        <w:t>Economatica</w:t>
      </w:r>
      <w:proofErr w:type="spellEnd"/>
      <w:r>
        <w:t>, que acompanha os resultados contábeis dessas instituições financeiras há 15 anos.</w:t>
      </w:r>
    </w:p>
    <w:p w:rsidR="00881E01" w:rsidRDefault="00881E01" w:rsidP="00881E01">
      <w:pPr>
        <w:spacing w:after="0" w:line="240" w:lineRule="auto"/>
      </w:pPr>
      <w:r>
        <w:t xml:space="preserve">Dados tabulados pela </w:t>
      </w:r>
      <w:proofErr w:type="spellStart"/>
      <w:r>
        <w:t>Ecomatica</w:t>
      </w:r>
      <w:proofErr w:type="spellEnd"/>
      <w:r>
        <w:t xml:space="preserve"> apontam que o lucro somado dos quatro grandes bancos cresceu 32,5% de 2020 para 2021. Já de novembro de 2020 a novembro de 2021, a renda do trabalhador caiu 11,4%, segundo o Instituto Brasileiro de Geografia e Estatística (IBGE).</w:t>
      </w:r>
    </w:p>
    <w:p w:rsidR="00881E01" w:rsidRDefault="00881E01" w:rsidP="00881E01">
      <w:pPr>
        <w:spacing w:after="0" w:line="240" w:lineRule="auto"/>
      </w:pPr>
      <w:r>
        <w:t>De acordo com a Pesquisa Nacional por Amostra de Domicílios Contínua (Pnad Contínua), realizada pelo instituto, o trabalhador brasileiro recebia R$ 2.444 por mês até novembro de 2021. Esse é o menor valor já registrado pelo IBGE, que levanta o dado desde 2012.</w:t>
      </w:r>
    </w:p>
    <w:p w:rsidR="00881E01" w:rsidRDefault="00881E01" w:rsidP="00881E01">
      <w:pPr>
        <w:spacing w:after="0" w:line="240" w:lineRule="auto"/>
      </w:pPr>
      <w:r>
        <w:t>Recordes individuais</w:t>
      </w:r>
    </w:p>
    <w:p w:rsidR="00881E01" w:rsidRDefault="00881E01" w:rsidP="00881E01">
      <w:pPr>
        <w:spacing w:after="0" w:line="240" w:lineRule="auto"/>
      </w:pPr>
      <w:r>
        <w:t xml:space="preserve">Dos quatro bancos listados no estudo da </w:t>
      </w:r>
      <w:proofErr w:type="spellStart"/>
      <w:r>
        <w:t>Economatica</w:t>
      </w:r>
      <w:proofErr w:type="spellEnd"/>
      <w:r>
        <w:t>, três deles – Banco do Brasil, Bradesco e Itaú – tiveram lucros individuais recordes.</w:t>
      </w:r>
    </w:p>
    <w:p w:rsidR="00881E01" w:rsidRDefault="00881E01" w:rsidP="00881E01">
      <w:pPr>
        <w:spacing w:after="0" w:line="240" w:lineRule="auto"/>
      </w:pPr>
      <w:r>
        <w:t>O Itaú, maior banco do país, foi também o que mais lucrou em 2021: R$ 26,9 bilhões, já descontados os impostos. O maior lucro da história da empresa é 45% maior do que o registrado por ela mesma em 2020.</w:t>
      </w:r>
    </w:p>
    <w:p w:rsidR="00403A41" w:rsidRPr="00881E01" w:rsidRDefault="00881E01" w:rsidP="00881E01">
      <w:pPr>
        <w:spacing w:after="0" w:line="240" w:lineRule="auto"/>
      </w:pPr>
      <w:r>
        <w:t>O Bradesco lucrou R$ 26,2 bilhões em 2021, 34,7% a mais que em 2020. Já o Banco do Brasil, controlado pelo governo, lucrou R$ 21 bilhões, 51,4% a mais do que no ano anterior.</w:t>
      </w:r>
    </w:p>
    <w:sectPr w:rsidR="00403A41" w:rsidRPr="00881E01" w:rsidSect="00881E01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6B" w:rsidRDefault="00DE116B" w:rsidP="00077E31">
      <w:pPr>
        <w:spacing w:after="0" w:line="240" w:lineRule="auto"/>
      </w:pPr>
      <w:r>
        <w:separator/>
      </w:r>
    </w:p>
  </w:endnote>
  <w:endnote w:type="continuationSeparator" w:id="0">
    <w:p w:rsidR="00DE116B" w:rsidRDefault="00DE116B" w:rsidP="0007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6B" w:rsidRDefault="00DE116B" w:rsidP="00077E31">
      <w:pPr>
        <w:spacing w:after="0" w:line="240" w:lineRule="auto"/>
      </w:pPr>
      <w:r>
        <w:separator/>
      </w:r>
    </w:p>
  </w:footnote>
  <w:footnote w:type="continuationSeparator" w:id="0">
    <w:p w:rsidR="00DE116B" w:rsidRDefault="00DE116B" w:rsidP="00077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B"/>
    <w:rsid w:val="00015884"/>
    <w:rsid w:val="00077E31"/>
    <w:rsid w:val="0028596B"/>
    <w:rsid w:val="003166A9"/>
    <w:rsid w:val="00403A41"/>
    <w:rsid w:val="00525EF7"/>
    <w:rsid w:val="00537306"/>
    <w:rsid w:val="006A4747"/>
    <w:rsid w:val="00881E01"/>
    <w:rsid w:val="00951846"/>
    <w:rsid w:val="00BA69B2"/>
    <w:rsid w:val="00BE1E49"/>
    <w:rsid w:val="00BF061C"/>
    <w:rsid w:val="00D63744"/>
    <w:rsid w:val="00DE116B"/>
    <w:rsid w:val="00F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01"/>
  </w:style>
  <w:style w:type="paragraph" w:styleId="Ttulo1">
    <w:name w:val="heading 1"/>
    <w:basedOn w:val="Normal"/>
    <w:next w:val="Normal"/>
    <w:link w:val="Ttulo1Char"/>
    <w:qFormat/>
    <w:rsid w:val="002859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859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8596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28596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Rodap">
    <w:name w:val="footer"/>
    <w:basedOn w:val="Normal"/>
    <w:link w:val="RodapChar"/>
    <w:uiPriority w:val="99"/>
    <w:rsid w:val="0028596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859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7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E31"/>
  </w:style>
  <w:style w:type="paragraph" w:styleId="Legenda">
    <w:name w:val="caption"/>
    <w:basedOn w:val="Normal"/>
    <w:next w:val="Normal"/>
    <w:uiPriority w:val="35"/>
    <w:unhideWhenUsed/>
    <w:qFormat/>
    <w:rsid w:val="00525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25EF7"/>
    <w:pPr>
      <w:spacing w:after="0"/>
    </w:pPr>
  </w:style>
  <w:style w:type="character" w:styleId="Hyperlink">
    <w:name w:val="Hyperlink"/>
    <w:basedOn w:val="Fontepargpadro"/>
    <w:uiPriority w:val="99"/>
    <w:unhideWhenUsed/>
    <w:rsid w:val="00525EF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01"/>
  </w:style>
  <w:style w:type="paragraph" w:styleId="Ttulo1">
    <w:name w:val="heading 1"/>
    <w:basedOn w:val="Normal"/>
    <w:next w:val="Normal"/>
    <w:link w:val="Ttulo1Char"/>
    <w:qFormat/>
    <w:rsid w:val="002859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8596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8596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28596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Rodap">
    <w:name w:val="footer"/>
    <w:basedOn w:val="Normal"/>
    <w:link w:val="RodapChar"/>
    <w:uiPriority w:val="99"/>
    <w:rsid w:val="0028596B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8596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7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E31"/>
  </w:style>
  <w:style w:type="paragraph" w:styleId="Legenda">
    <w:name w:val="caption"/>
    <w:basedOn w:val="Normal"/>
    <w:next w:val="Normal"/>
    <w:uiPriority w:val="35"/>
    <w:unhideWhenUsed/>
    <w:qFormat/>
    <w:rsid w:val="00525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25EF7"/>
    <w:pPr>
      <w:spacing w:after="0"/>
    </w:pPr>
  </w:style>
  <w:style w:type="character" w:styleId="Hyperlink">
    <w:name w:val="Hyperlink"/>
    <w:basedOn w:val="Fontepargpadro"/>
    <w:uiPriority w:val="99"/>
    <w:unhideWhenUsed/>
    <w:rsid w:val="00525EF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6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E0EC-0468-436A-9EEB-7D1751A2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B Sousa</dc:creator>
  <cp:lastModifiedBy>Paulo Augusto B Sousa</cp:lastModifiedBy>
  <cp:revision>2</cp:revision>
  <dcterms:created xsi:type="dcterms:W3CDTF">2023-10-27T14:45:00Z</dcterms:created>
  <dcterms:modified xsi:type="dcterms:W3CDTF">2023-10-27T14:45:00Z</dcterms:modified>
</cp:coreProperties>
</file>