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Plugin</w:t>
      </w:r>
      <w:r>
        <w:t xml:space="preserve"> </w:t>
      </w:r>
      <w:r>
        <w:rPr>
          <w:iCs/>
          <w:i/>
        </w:rPr>
        <w:t xml:space="preserve">Alignement</w:t>
      </w:r>
      <w:r>
        <w:t xml:space="preserve"> </w:t>
      </w:r>
      <w:r>
        <w:t xml:space="preserve">—</w:t>
      </w:r>
      <w:r>
        <w:t xml:space="preserve"> </w:t>
      </w:r>
      <w:r>
        <w:t xml:space="preserve">Documentation</w:t>
      </w:r>
      <w:r>
        <w:t xml:space="preserve"> </w:t>
      </w:r>
      <w:r>
        <w:t xml:space="preserve">métier</w:t>
      </w:r>
    </w:p>
    <w:p>
      <w:pPr>
        <w:pStyle w:val="Subtitle"/>
      </w:pPr>
      <w:r>
        <w:t xml:space="preserve">SousLeSens</w:t>
      </w:r>
      <w:r>
        <w:t xml:space="preserve"> </w:t>
      </w:r>
      <w:r>
        <w:t xml:space="preserve">Vocables</w:t>
      </w:r>
      <w:r>
        <w:t xml:space="preserve"> </w:t>
      </w:r>
      <w:r>
        <w:t xml:space="preserve">—</w:t>
      </w:r>
      <w:r>
        <w:t xml:space="preserve"> </w:t>
      </w:r>
      <w:r>
        <w:t xml:space="preserve">Alignement</w:t>
      </w:r>
      <w:r>
        <w:t xml:space="preserve"> </w:t>
      </w:r>
      <w:r>
        <w:t xml:space="preserve">sémantique</w:t>
      </w:r>
      <w:r>
        <w:t xml:space="preserve"> </w:t>
      </w:r>
      <w:r>
        <w:t xml:space="preserve">de</w:t>
      </w:r>
      <w:r>
        <w:t xml:space="preserve"> </w:t>
      </w:r>
      <w:r>
        <w:t xml:space="preserve">référentiels</w:t>
      </w:r>
    </w:p>
    <w:p>
      <w:pPr>
        <w:pStyle w:val="Author"/>
      </w:pPr>
      <w:r>
        <w:t xml:space="preserve">SousLeSens</w:t>
      </w:r>
      <w:r>
        <w:t xml:space="preserve"> </w:t>
      </w:r>
      <w:r>
        <w:t xml:space="preserve">Vocables</w:t>
      </w:r>
    </w:p>
    <w:p>
      <w:pPr>
        <w:pStyle w:val="Date"/>
      </w:pPr>
      <w:r>
        <w:t xml:space="preserve">Juillet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bjectif-métier"/>
    <w:p>
      <w:pPr>
        <w:pStyle w:val="Heading1"/>
      </w:pPr>
      <w:r>
        <w:t xml:space="preserve">1. Objectif métier</w:t>
      </w:r>
    </w:p>
    <w:p>
      <w:pPr>
        <w:pStyle w:val="FirstParagraph"/>
      </w:pPr>
      <w:r>
        <w:t xml:space="preserve">Le plugin</w:t>
      </w:r>
      <w:r>
        <w:t xml:space="preserve"> </w:t>
      </w:r>
      <w:r>
        <w:rPr>
          <w:bCs/>
          <w:b/>
        </w:rPr>
        <w:t xml:space="preserve">Alignement</w:t>
      </w:r>
      <w:r>
        <w:t xml:space="preserve"> </w:t>
      </w:r>
      <w:r>
        <w:t xml:space="preserve">répond à un besoin d’</w:t>
      </w:r>
      <w:r>
        <w:rPr>
          <w:bCs/>
          <w:b/>
        </w:rPr>
        <w:t xml:space="preserve">interopérabilité sémantique</w:t>
      </w:r>
      <w:r>
        <w:t xml:space="preserve"> </w:t>
      </w:r>
      <w:r>
        <w:t xml:space="preserve">: mettre en</w:t>
      </w:r>
      <w:r>
        <w:t xml:space="preserve"> </w:t>
      </w:r>
      <w:r>
        <w:t xml:space="preserve">correspondance les classes de</w:t>
      </w:r>
      <w:r>
        <w:t xml:space="preserve"> </w:t>
      </w:r>
      <w:r>
        <w:rPr>
          <w:bCs/>
          <w:b/>
        </w:rPr>
        <w:t xml:space="preserve">deux référentiels distincts</w:t>
      </w:r>
      <w:r>
        <w:t xml:space="preserve"> </w:t>
      </w:r>
      <w:r>
        <w:t xml:space="preserve">(ontologies / taxonomies OWL)</w:t>
      </w:r>
      <w:r>
        <w:t xml:space="preserve"> </w:t>
      </w:r>
      <w:r>
        <w:t xml:space="preserve">afin d’établir des liens formels entre elles.</w:t>
      </w:r>
    </w:p>
    <w:p>
      <w:pPr>
        <w:pStyle w:val="BodyText"/>
      </w:pPr>
      <w:r>
        <w:t xml:space="preserve">Le cas d’usage de référence est l’alignement de</w:t>
      </w:r>
      <w:r>
        <w:t xml:space="preserve"> </w:t>
      </w:r>
      <w:r>
        <w:rPr>
          <w:bCs/>
          <w:b/>
        </w:rPr>
        <w:t xml:space="preserve">CFIHOS</w:t>
      </w:r>
      <w:r>
        <w:t xml:space="preserve"> </w:t>
      </w:r>
      <w:r>
        <w:t xml:space="preserve">(référentiel</w:t>
      </w:r>
      <w:r>
        <w:t xml:space="preserve"> </w:t>
      </w:r>
      <w:r>
        <w:rPr>
          <w:iCs/>
          <w:i/>
        </w:rPr>
        <w:t xml:space="preserve">source</w:t>
      </w:r>
      <w:r>
        <w:t xml:space="preserve">) vers</w:t>
      </w:r>
      <w:r>
        <w:t xml:space="preserve"> </w:t>
      </w:r>
      <w:r>
        <w:rPr>
          <w:bCs/>
          <w:b/>
        </w:rPr>
        <w:t xml:space="preserve">UNSPSC</w:t>
      </w:r>
      <w:r>
        <w:t xml:space="preserve"> </w:t>
      </w:r>
      <w:r>
        <w:t xml:space="preserve">(référentiel</w:t>
      </w:r>
      <w:r>
        <w:t xml:space="preserve"> </w:t>
      </w:r>
      <w:r>
        <w:rPr>
          <w:iCs/>
          <w:i/>
        </w:rPr>
        <w:t xml:space="preserve">cible</w:t>
      </w:r>
      <w:r>
        <w:t xml:space="preserve">), mais le mécanisme est générique et s’applique à tout couple</w:t>
      </w:r>
      <w:r>
        <w:t xml:space="preserve"> </w:t>
      </w:r>
      <w:r>
        <w:t xml:space="preserve">de sources OWL disponibles dans l’instance.</w:t>
      </w:r>
    </w:p>
    <w:p>
      <w:pPr>
        <w:pStyle w:val="BodyText"/>
      </w:pPr>
      <w:r>
        <w:t xml:space="preserve">Concrètement, le plugin permet de répondre à la question :</w:t>
      </w:r>
    </w:p>
    <w:p>
      <w:pPr>
        <w:pStyle w:val="BlockText"/>
      </w:pPr>
      <w:r>
        <w:t xml:space="preserve">« Pour chaque concept de mon référentiel source, quel(s) concept(s) du référentiel cible</w:t>
      </w:r>
      <w:r>
        <w:t xml:space="preserve"> </w:t>
      </w:r>
      <w:r>
        <w:t xml:space="preserve">désigne(nt) la même chose, un concept plus général, ou un concept plus spécifique ? »</w:t>
      </w:r>
    </w:p>
    <w:p>
      <w:pPr>
        <w:pStyle w:val="FirstParagraph"/>
      </w:pPr>
      <w:r>
        <w:t xml:space="preserve">Le résultat est double :</w:t>
      </w:r>
    </w:p>
    <w:p>
      <w:pPr>
        <w:numPr>
          <w:ilvl w:val="0"/>
          <w:numId w:val="1001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liens sémantiques formels</w:t>
      </w:r>
      <w:r>
        <w:t xml:space="preserve"> </w:t>
      </w:r>
      <w:r>
        <w:t xml:space="preserve">écrits dans le graphe (triples</w:t>
      </w:r>
      <w:r>
        <w:t xml:space="preserve"> </w:t>
      </w:r>
      <w:r>
        <w:rPr>
          <w:rStyle w:val="VerbatimChar"/>
        </w:rPr>
        <w:t xml:space="preserve">owl:equivalentClass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rdfs:subClassOf</w:t>
      </w:r>
      <w:r>
        <w:t xml:space="preserve">), directement exploitables ensuite dans les autres outils</w:t>
      </w:r>
      <w:r>
        <w:t xml:space="preserve"> </w:t>
      </w:r>
      <w:r>
        <w:t xml:space="preserve">(Lineage, KGquery…) ;</w:t>
      </w:r>
    </w:p>
    <w:p>
      <w:pPr>
        <w:numPr>
          <w:ilvl w:val="0"/>
          <w:numId w:val="1001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exports CSV</w:t>
      </w:r>
      <w:r>
        <w:t xml:space="preserve"> </w:t>
      </w:r>
      <w:r>
        <w:t xml:space="preserve">documentant les décisions, y compris celles laissées à un arbitrage</w:t>
      </w:r>
      <w:r>
        <w:t xml:space="preserve"> </w:t>
      </w:r>
      <w:r>
        <w:t xml:space="preserve">humain ultérieur.</w:t>
      </w:r>
    </w:p>
    <w:p>
      <w:pPr>
        <w:pStyle w:val="FirstParagraph"/>
      </w:pPr>
      <w:r>
        <w:t xml:space="preserve">La valeur métier :</w:t>
      </w:r>
      <w:r>
        <w:t xml:space="preserve"> </w:t>
      </w:r>
      <w:r>
        <w:rPr>
          <w:bCs/>
          <w:b/>
        </w:rPr>
        <w:t xml:space="preserve">réduire drastiquement l’effort manuel</w:t>
      </w:r>
      <w:r>
        <w:t xml:space="preserve"> </w:t>
      </w:r>
      <w:r>
        <w:t xml:space="preserve">d’alignement de deux</w:t>
      </w:r>
      <w:r>
        <w:t xml:space="preserve"> </w:t>
      </w:r>
      <w:r>
        <w:t xml:space="preserve">nomenclatures volumineuses, en combinant une recherche automatique de candidats</w:t>
      </w:r>
      <w:r>
        <w:t xml:space="preserve"> </w:t>
      </w:r>
      <w:r>
        <w:t xml:space="preserve">(ElasticSearch), une détection déterministe des correspondances évidentes, et une</w:t>
      </w:r>
      <w:r>
        <w:t xml:space="preserve"> </w:t>
      </w:r>
      <w:r>
        <w:t xml:space="preserve">classification assistée par IA (LLM) pour les cas ambigus — tout en gardant l’humain</w:t>
      </w:r>
      <w:r>
        <w:t xml:space="preserve"> </w:t>
      </w:r>
      <w:r>
        <w:t xml:space="preserve">décideur à chaque étape.</w:t>
      </w:r>
    </w:p>
    <w:bookmarkEnd w:id="20"/>
    <w:bookmarkStart w:id="21" w:name="concepts-clés"/>
    <w:p>
      <w:pPr>
        <w:pStyle w:val="Heading1"/>
      </w:pPr>
      <w:r>
        <w:t xml:space="preserve">2. Concepts clés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p>
            <w:pPr>
              <w:pStyle w:val="Compact"/>
              <w:jc w:val="left"/>
            </w:pPr>
            <w:r>
              <w:t xml:space="preserve">Signification métier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(from)</w:t>
            </w:r>
          </w:p>
        </w:tc>
        <w:tc>
          <w:p>
            <w:pPr>
              <w:pStyle w:val="Compact"/>
              <w:jc w:val="left"/>
            </w:pPr>
            <w:r>
              <w:t xml:space="preserve">Le référentiel de départ dont on veut aligner les classes (ex. CFIHOS).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(target)</w:t>
            </w:r>
          </w:p>
        </w:tc>
        <w:tc>
          <w:p>
            <w:pPr>
              <w:pStyle w:val="Compact"/>
              <w:jc w:val="left"/>
            </w:pPr>
            <w:r>
              <w:t xml:space="preserve">Le référentiel d’arrivée sur lequel on cherche les correspondances (ex. UNSPSC).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Conteneur (container)</w:t>
            </w:r>
          </w:p>
        </w:tc>
        <w:tc>
          <w:p>
            <w:pPr>
              <w:pStyle w:val="Compact"/>
              <w:jc w:val="left"/>
            </w:pPr>
            <w:r>
              <w:t xml:space="preserve">Un sous-arbre du référentiel (ex. « Equipments ») qui délimite le périmètre à aligner. On aligne les</w:t>
            </w:r>
            <w:r>
              <w:t xml:space="preserve"> </w:t>
            </w:r>
            <w:r>
              <w:rPr>
                <w:bCs/>
                <w:b/>
              </w:rPr>
              <w:t xml:space="preserve">feuilles</w:t>
            </w:r>
            <w:r>
              <w:t xml:space="preserve"> </w:t>
            </w:r>
            <w:r>
              <w:t xml:space="preserve">(classes terminales) d’un conteneur source vers un conteneur cible.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Correspondance exacte</w:t>
            </w:r>
          </w:p>
        </w:tc>
        <w:tc>
          <w:p>
            <w:pPr>
              <w:pStyle w:val="Compact"/>
              <w:jc w:val="left"/>
            </w:pPr>
            <w:r>
              <w:t xml:space="preserve">Deux libellés qui désignent la même chose après normalisation (casse, séparateurs, singulier/pluriel anglais du dernier mot). Traitées automatiquement.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Correspondance non-exacte</w:t>
            </w:r>
          </w:p>
        </w:tc>
        <w:tc>
          <w:p>
            <w:pPr>
              <w:pStyle w:val="Compact"/>
              <w:jc w:val="left"/>
            </w:pPr>
            <w:r>
              <w:t xml:space="preserve">Un candidat rapproché par la recherche mais dont les libellés ne coïncident pas exactement. Nécessite un jugement sémantique (étape IA).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owl:equivalentClass</w:t>
            </w:r>
          </w:p>
        </w:tc>
        <w:tc>
          <w:p>
            <w:pPr>
              <w:pStyle w:val="Compact"/>
              <w:jc w:val="left"/>
            </w:pPr>
            <w:r>
              <w:t xml:space="preserve">Lien formel « ces deux classes sont équivalentes ».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rdfs:subClassOf</w:t>
            </w:r>
          </w:p>
        </w:tc>
        <w:tc>
          <w:p>
            <w:pPr>
              <w:pStyle w:val="Compact"/>
              <w:jc w:val="left"/>
            </w:pPr>
            <w:r>
              <w:t xml:space="preserve">Lien formel « cette classe est une sous-classe (concept plus spécifique) de l’autre ».</w:t>
            </w:r>
          </w:p>
        </w:tc>
      </w:tr>
    </w:tbl>
    <w:bookmarkEnd w:id="21"/>
    <w:bookmarkStart w:id="22" w:name="vue-densemble-du-processus"/>
    <w:p>
      <w:pPr>
        <w:pStyle w:val="Heading1"/>
      </w:pPr>
      <w:r>
        <w:t xml:space="preserve">3. Vue d’ensemble du processus</w:t>
      </w:r>
    </w:p>
    <w:p>
      <w:pPr>
        <w:pStyle w:val="FirstParagraph"/>
      </w:pPr>
      <w:r>
        <w:t xml:space="preserve">Le plugin déroule un</w:t>
      </w:r>
      <w:r>
        <w:t xml:space="preserve"> </w:t>
      </w:r>
      <w:r>
        <w:rPr>
          <w:bCs/>
          <w:b/>
        </w:rPr>
        <w:t xml:space="preserve">enchaînement d’étapes guidé</w:t>
      </w:r>
      <w:r>
        <w:t xml:space="preserve"> </w:t>
      </w:r>
      <w:r>
        <w:t xml:space="preserve">(piloté par le moteur de « bot »</w:t>
      </w:r>
      <w:r>
        <w:t xml:space="preserve"> </w:t>
      </w:r>
      <w:r>
        <w:t xml:space="preserve">conversationnel de SousLeSens). L’utilisateur valide chaque étape avant de passer à la</w:t>
      </w:r>
      <w:r>
        <w:t xml:space="preserve"> </w:t>
      </w:r>
      <w:r>
        <w:t xml:space="preserve">suivante ; rien n’est écrit dans le graphe sans son action explicite.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Sélection</w:t>
      </w:r>
      <w:r>
        <w:t xml:space="preserve"> </w:t>
      </w:r>
      <w:r>
        <w:t xml:space="preserve">du référentiel source, du référentiel cible et de leurs conteneurs.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Génération des candidats</w:t>
      </w:r>
      <w:r>
        <w:t xml:space="preserve"> </w:t>
      </w:r>
      <w:r>
        <w:t xml:space="preserve">: recherche des libellés similaires (ElasticSearch).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Séparation</w:t>
      </w:r>
      <w:r>
        <w:t xml:space="preserve"> </w:t>
      </w:r>
      <w:r>
        <w:t xml:space="preserve">automatique des candidats en</w:t>
      </w:r>
      <w:r>
        <w:t xml:space="preserve"> </w:t>
      </w:r>
      <w:r>
        <w:rPr>
          <w:iCs/>
          <w:i/>
        </w:rPr>
        <w:t xml:space="preserve">exacts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non-exacts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Validation des exacts</w:t>
      </w:r>
      <w:r>
        <w:t xml:space="preserve"> </w:t>
      </w:r>
      <w:r>
        <w:t xml:space="preserve">→ génération des liens</w:t>
      </w:r>
      <w:r>
        <w:t xml:space="preserve"> </w:t>
      </w:r>
      <w:r>
        <w:rPr>
          <w:rStyle w:val="VerbatimChar"/>
        </w:rPr>
        <w:t xml:space="preserve">owl:equivalentClass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Traitement IA</w:t>
      </w:r>
      <w:r>
        <w:t xml:space="preserve"> </w:t>
      </w:r>
      <w:r>
        <w:t xml:space="preserve">des non-exacts : classification sémantique par le LLM.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Post-traitement IA</w:t>
      </w:r>
      <w:r>
        <w:t xml:space="preserve"> 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les « Exact match AI » →</w:t>
      </w:r>
      <w:r>
        <w:t xml:space="preserve"> </w:t>
      </w:r>
      <w:r>
        <w:rPr>
          <w:rStyle w:val="VerbatimChar"/>
        </w:rPr>
        <w:t xml:space="preserve">owl:equivalentClass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les « SubclassOf » / « SubclassOf inverse » →</w:t>
      </w:r>
      <w:r>
        <w:t xml:space="preserve"> </w:t>
      </w:r>
      <w:r>
        <w:rPr>
          <w:rStyle w:val="VerbatimChar"/>
        </w:rPr>
        <w:t xml:space="preserve">rdfs:subClassOf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reste</w:t>
      </w:r>
      <w:r>
        <w:t xml:space="preserve"> </w:t>
      </w:r>
      <w:r>
        <w:t xml:space="preserve">(non concluant) → export CSV pour arbitrage.</w:t>
      </w:r>
    </w:p>
    <w:p>
      <w:pPr>
        <w:pStyle w:val="FirstParagraph"/>
      </w:pPr>
      <w:r>
        <w:t xml:space="preserve">Le schéma ci-dessous résume le flux :</w:t>
      </w:r>
    </w:p>
    <w:p>
      <w:pPr>
        <w:pStyle w:val="SourceCode"/>
      </w:pPr>
      <w:r>
        <w:rPr>
          <w:rStyle w:val="VerbatimChar"/>
        </w:rPr>
        <w:t xml:space="preserve">Source + Cible (conteneurs)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Recherche similaires (ElasticSearch)  ──►  candidats (paires source/cible + score)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Séparation exact / non-exact  (casse + pluriel)</w:t>
      </w:r>
      <w:r>
        <w:br/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   ▼                        ▼</w:t>
      </w:r>
      <w:r>
        <w:br/>
      </w:r>
      <w:r>
        <w:rPr>
          <w:rStyle w:val="VerbatimChar"/>
        </w:rPr>
        <w:t xml:space="preserve">Exacts                   Non-exacts</w:t>
      </w:r>
      <w:r>
        <w:br/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Validation humaine       Récupération des définitions (SPARQL)</w:t>
      </w:r>
      <w:r>
        <w:br/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owl:equivalentClass      Classification IA (LLM)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▼                         ▼</w:t>
      </w:r>
      <w:r>
        <w:br/>
      </w:r>
      <w:r>
        <w:rPr>
          <w:rStyle w:val="VerbatimChar"/>
        </w:rPr>
        <w:t xml:space="preserve">  Exact match AI     SubclassOf / inverse       Not match / Unknown / Other</w:t>
      </w:r>
      <w:r>
        <w:br/>
      </w:r>
      <w:r>
        <w:rPr>
          <w:rStyle w:val="VerbatimChar"/>
        </w:rPr>
        <w:t xml:space="preserve">        │                   │                         │</w:t>
      </w:r>
      <w:r>
        <w:br/>
      </w:r>
      <w:r>
        <w:rPr>
          <w:rStyle w:val="VerbatimChar"/>
        </w:rPr>
        <w:t xml:space="preserve"> owl:equivalentClass   rdfs:subClassOf            Export CSV (reste)</w:t>
      </w:r>
    </w:p>
    <w:bookmarkEnd w:id="22"/>
    <w:bookmarkStart w:id="31" w:name="étapes-détaillées"/>
    <w:p>
      <w:pPr>
        <w:pStyle w:val="Heading1"/>
      </w:pPr>
      <w:r>
        <w:t xml:space="preserve">4. Étapes détaillées</w:t>
      </w:r>
    </w:p>
    <w:bookmarkStart w:id="23" w:name="sélection-des-périmètres"/>
    <w:p>
      <w:pPr>
        <w:pStyle w:val="Heading2"/>
      </w:pPr>
      <w:r>
        <w:t xml:space="preserve">4.1. Sélection des périmètres</w:t>
      </w:r>
    </w:p>
    <w:p>
      <w:pPr>
        <w:pStyle w:val="FirstParagraph"/>
      </w:pPr>
      <w:r>
        <w:t xml:space="preserve">L’utilisateur choisit :</w:t>
      </w:r>
    </w:p>
    <w:p>
      <w:pPr>
        <w:numPr>
          <w:ilvl w:val="0"/>
          <w:numId w:val="1004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(parmi les sources de schéma OWL) et, à l’intérieur, un</w:t>
      </w:r>
      <w:r>
        <w:t xml:space="preserve"> </w:t>
      </w:r>
      <w:r>
        <w:rPr>
          <w:bCs/>
          <w:b/>
        </w:rPr>
        <w:t xml:space="preserve">conteneur</w:t>
      </w:r>
      <w:r>
        <w:t xml:space="preserve"> 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cible</w:t>
      </w:r>
      <w:r>
        <w:t xml:space="preserve"> </w:t>
      </w:r>
      <w:r>
        <w:t xml:space="preserve">(par défaut</w:t>
      </w:r>
      <w:r>
        <w:t xml:space="preserve"> </w:t>
      </w:r>
      <w:r>
        <w:rPr>
          <w:iCs/>
          <w:i/>
        </w:rPr>
        <w:t xml:space="preserve">UNSPSC</w:t>
      </w:r>
      <w:r>
        <w:t xml:space="preserve">) et un</w:t>
      </w:r>
      <w:r>
        <w:t xml:space="preserve"> </w:t>
      </w:r>
      <w:r>
        <w:rPr>
          <w:bCs/>
          <w:b/>
        </w:rPr>
        <w:t xml:space="preserve">conteneur</w:t>
      </w:r>
      <w:r>
        <w:t xml:space="preserve"> </w:t>
      </w:r>
      <w:r>
        <w:t xml:space="preserve">cible.</w:t>
      </w:r>
    </w:p>
    <w:p>
      <w:pPr>
        <w:pStyle w:val="FirstParagraph"/>
      </w:pPr>
      <w:r>
        <w:t xml:space="preserve">Les deux conteneurs délimitent le périmètre : on n’aligne que les</w:t>
      </w:r>
      <w:r>
        <w:t xml:space="preserve"> </w:t>
      </w:r>
      <w:r>
        <w:rPr>
          <w:bCs/>
          <w:b/>
        </w:rPr>
        <w:t xml:space="preserve">classes feuilles</w:t>
      </w:r>
      <w:r>
        <w:t xml:space="preserve"> </w:t>
      </w:r>
      <w:r>
        <w:t xml:space="preserve">descendant du conteneur source, vers les classes descendant du conteneur cible.</w:t>
      </w:r>
    </w:p>
    <w:bookmarkEnd w:id="23"/>
    <w:bookmarkStart w:id="24" w:name="Xa1fa1ebbb1411ce1e75894affe3cf1c5620b6da"/>
    <w:p>
      <w:pPr>
        <w:pStyle w:val="Heading2"/>
      </w:pPr>
      <w:r>
        <w:t xml:space="preserve">4.2. Génération des candidats (recherche de similaires)</w:t>
      </w:r>
    </w:p>
    <w:p>
      <w:pPr>
        <w:pStyle w:val="FirstParagraph"/>
      </w:pPr>
      <w:r>
        <w:t xml:space="preserve">Pour chaque libellé de classe feuille de la source, le plugin interroge l’</w:t>
      </w:r>
      <w:r>
        <w:rPr>
          <w:bCs/>
          <w:b/>
        </w:rPr>
        <w:t xml:space="preserve">index</w:t>
      </w:r>
      <w:r>
        <w:rPr>
          <w:bCs/>
          <w:b/>
        </w:rPr>
        <w:t xml:space="preserve"> </w:t>
      </w:r>
      <w:r>
        <w:rPr>
          <w:bCs/>
          <w:b/>
        </w:rPr>
        <w:t xml:space="preserve">ElasticSearch</w:t>
      </w:r>
      <w:r>
        <w:t xml:space="preserve"> </w:t>
      </w:r>
      <w:r>
        <w:t xml:space="preserve">de la cible (recherche</w:t>
      </w:r>
      <w:r>
        <w:t xml:space="preserve"> </w:t>
      </w:r>
      <w:r>
        <w:rPr>
          <w:rStyle w:val="VerbatimChar"/>
        </w:rPr>
        <w:t xml:space="preserve">match_phrase</w:t>
      </w:r>
      <w:r>
        <w:t xml:space="preserve">) et récupère les classes dont le</w:t>
      </w:r>
      <w:r>
        <w:t xml:space="preserve"> </w:t>
      </w:r>
      <w:r>
        <w:t xml:space="preserve">libellé est proche, avec un</w:t>
      </w:r>
      <w:r>
        <w:t xml:space="preserve"> </w:t>
      </w:r>
      <w:r>
        <w:rPr>
          <w:bCs/>
          <w:b/>
        </w:rPr>
        <w:t xml:space="preserve">score de pertinence</w:t>
      </w:r>
      <w:r>
        <w:t xml:space="preserve">.</w:t>
      </w:r>
    </w:p>
    <w:p>
      <w:pPr>
        <w:pStyle w:val="BodyText"/>
      </w:pPr>
      <w:r>
        <w:t xml:space="preserve">Deux règles métier affinent les résultats 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Filtre de longueur</w:t>
      </w:r>
      <w:r>
        <w:t xml:space="preserve"> </w:t>
      </w:r>
      <w:r>
        <w:t xml:space="preserve">: on ne retient une cible que si elle comporte</w:t>
      </w:r>
      <w:r>
        <w:t xml:space="preserve"> </w:t>
      </w:r>
      <w:r>
        <w:rPr>
          <w:bCs/>
          <w:b/>
        </w:rPr>
        <w:t xml:space="preserve">au plus autant de</w:t>
      </w:r>
      <w:r>
        <w:rPr>
          <w:bCs/>
          <w:b/>
        </w:rPr>
        <w:t xml:space="preserve"> </w:t>
      </w:r>
      <w:r>
        <w:rPr>
          <w:bCs/>
          <w:b/>
        </w:rPr>
        <w:t xml:space="preserve">mots</w:t>
      </w:r>
      <w:r>
        <w:t xml:space="preserve"> </w:t>
      </w:r>
      <w:r>
        <w:t xml:space="preserve">que le terme source (évite d’apparier un terme précis à un terme plus générique et</w:t>
      </w:r>
      <w:r>
        <w:t xml:space="preserve"> </w:t>
      </w:r>
      <w:r>
        <w:t xml:space="preserve">bruité).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Gestion des « orphelins »</w:t>
      </w:r>
      <w:r>
        <w:t xml:space="preserve"> </w:t>
      </w:r>
      <w:r>
        <w:t xml:space="preserve">: un terme source composé qui n’obtient aucune correspondance</w:t>
      </w:r>
      <w:r>
        <w:t xml:space="preserve"> </w:t>
      </w:r>
      <w:r>
        <w:t xml:space="preserve">est ré-essayé en</w:t>
      </w:r>
      <w:r>
        <w:t xml:space="preserve"> </w:t>
      </w:r>
      <w:r>
        <w:rPr>
          <w:bCs/>
          <w:b/>
        </w:rPr>
        <w:t xml:space="preserve">retirant son premier mot</w:t>
      </w:r>
      <w:r>
        <w:t xml:space="preserve"> </w:t>
      </w:r>
      <w:r>
        <w:t xml:space="preserve">(souvent un qualificatif), ce qui rattrape des</w:t>
      </w:r>
      <w:r>
        <w:t xml:space="preserve"> </w:t>
      </w:r>
      <w:r>
        <w:t xml:space="preserve">correspondances sur le noyau du terme.</w:t>
      </w:r>
    </w:p>
    <w:p>
      <w:pPr>
        <w:pStyle w:val="FirstParagraph"/>
      </w:pPr>
      <w:r>
        <w:t xml:space="preserve">Le résultat est un ensemble de</w:t>
      </w:r>
      <w:r>
        <w:t xml:space="preserve"> </w:t>
      </w:r>
      <w:r>
        <w:rPr>
          <w:bCs/>
          <w:b/>
        </w:rPr>
        <w:t xml:space="preserve">paires candidates</w:t>
      </w:r>
      <w:r>
        <w:t xml:space="preserve"> </w:t>
      </w:r>
      <w:r>
        <w:rPr>
          <w:rStyle w:val="VerbatimChar"/>
        </w:rPr>
        <w:t xml:space="preserve">(classe source → classe cible, score)</w:t>
      </w:r>
      <w:r>
        <w:t xml:space="preserve">,</w:t>
      </w:r>
      <w:r>
        <w:t xml:space="preserve"> </w:t>
      </w:r>
      <w:r>
        <w:t xml:space="preserve">regroupées par source.</w:t>
      </w:r>
    </w:p>
    <w:bookmarkEnd w:id="24"/>
    <w:bookmarkStart w:id="25" w:name="séparation-exact-non-exact"/>
    <w:p>
      <w:pPr>
        <w:pStyle w:val="Heading2"/>
      </w:pPr>
      <w:r>
        <w:t xml:space="preserve">4.3. Séparation exact / non-exact</w:t>
      </w:r>
    </w:p>
    <w:p>
      <w:pPr>
        <w:pStyle w:val="FirstParagraph"/>
      </w:pPr>
      <w:r>
        <w:t xml:space="preserve">Chaque paire candidate est classée automatiquement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Exacte</w:t>
      </w:r>
      <w:r>
        <w:t xml:space="preserve"> </w:t>
      </w:r>
      <w:r>
        <w:t xml:space="preserve">si les deux libellés coïncident après</w:t>
      </w:r>
      <w:r>
        <w:t xml:space="preserve"> </w:t>
      </w:r>
      <w:r>
        <w:rPr>
          <w:bCs/>
          <w:b/>
        </w:rPr>
        <w:t xml:space="preserve">normalisation</w:t>
      </w:r>
      <w:r>
        <w:t xml:space="preserve"> 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insensibilité à la</w:t>
      </w:r>
      <w:r>
        <w:t xml:space="preserve"> </w:t>
      </w:r>
      <w:r>
        <w:rPr>
          <w:bCs/>
          <w:b/>
        </w:rPr>
        <w:t xml:space="preserve">casse</w:t>
      </w:r>
      <w:r>
        <w:t xml:space="preserve"> 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les séparateurs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sont traités comme des espaces ;</w:t>
      </w:r>
    </w:p>
    <w:p>
      <w:pPr>
        <w:numPr>
          <w:ilvl w:val="1"/>
          <w:numId w:val="1007"/>
        </w:numPr>
        <w:pStyle w:val="Compact"/>
      </w:pPr>
      <w:r>
        <w:t xml:space="preserve">tolérance au</w:t>
      </w:r>
      <w:r>
        <w:t xml:space="preserve"> </w:t>
      </w:r>
      <w:r>
        <w:rPr>
          <w:bCs/>
          <w:b/>
        </w:rPr>
        <w:t xml:space="preserve">singulier/pluriel anglais</w:t>
      </w:r>
      <w:r>
        <w:t xml:space="preserve"> </w:t>
      </w:r>
      <w:r>
        <w:t xml:space="preserve">du dernier mot (ex.</w:t>
      </w:r>
      <w:r>
        <w:t xml:space="preserve"> </w:t>
      </w:r>
      <w:r>
        <w:rPr>
          <w:iCs/>
          <w:i/>
        </w:rPr>
        <w:t xml:space="preserve">valve</w:t>
      </w:r>
      <w:r>
        <w:t xml:space="preserve"> </w:t>
      </w:r>
      <w:r>
        <w:t xml:space="preserve">≈</w:t>
      </w:r>
      <w:r>
        <w:t xml:space="preserve"> </w:t>
      </w:r>
      <w:r>
        <w:rPr>
          <w:iCs/>
          <w:i/>
        </w:rPr>
        <w:t xml:space="preserve">valves</w:t>
      </w:r>
      <w:r>
        <w:t xml:space="preserve">).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Pas</w:t>
      </w:r>
      <w:r>
        <w:t xml:space="preserve"> </w:t>
      </w:r>
      <w:r>
        <w:t xml:space="preserve">de racinisation agressive (on évite les faux positifs type</w:t>
      </w:r>
      <w:r>
        <w:t xml:space="preserve"> </w:t>
      </w:r>
      <w:r>
        <w:rPr>
          <w:iCs/>
          <w:i/>
        </w:rPr>
        <w:t xml:space="preserve">shielding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shield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Non-exacte</w:t>
      </w:r>
      <w:r>
        <w:t xml:space="preserve"> </w:t>
      </w:r>
      <w:r>
        <w:t xml:space="preserve">dans tous les autres cas.</w:t>
      </w:r>
    </w:p>
    <w:bookmarkEnd w:id="25"/>
    <w:bookmarkStart w:id="26" w:name="validation-des-correspondances-exactes"/>
    <w:p>
      <w:pPr>
        <w:pStyle w:val="Heading2"/>
      </w:pPr>
      <w:r>
        <w:t xml:space="preserve">4.4. Validation des correspondances exactes</w:t>
      </w:r>
    </w:p>
    <w:p>
      <w:pPr>
        <w:pStyle w:val="FirstParagraph"/>
      </w:pPr>
      <w:r>
        <w:t xml:space="preserve">Les paires exactes sont présentées dans une</w:t>
      </w:r>
      <w:r>
        <w:t xml:space="preserve"> </w:t>
      </w:r>
      <w:r>
        <w:rPr>
          <w:bCs/>
          <w:b/>
        </w:rPr>
        <w:t xml:space="preserve">liste à cases à cocher</w:t>
      </w:r>
      <w:r>
        <w:t xml:space="preserve"> </w:t>
      </w:r>
      <w:r>
        <w:t xml:space="preserve">(toutes cochées par</w:t>
      </w:r>
      <w:r>
        <w:t xml:space="preserve"> </w:t>
      </w:r>
      <w:r>
        <w:t xml:space="preserve">défaut), en trois colonnes :</w:t>
      </w:r>
      <w:r>
        <w:t xml:space="preserve"> </w:t>
      </w:r>
      <w:r>
        <w:rPr>
          <w:iCs/>
          <w:i/>
        </w:rPr>
        <w:t xml:space="preserve">libellé source | libellé cible | score</w:t>
      </w:r>
      <w:r>
        <w:t xml:space="preserve">. L’utilisateur</w:t>
      </w:r>
      <w:r>
        <w:t xml:space="preserve"> </w:t>
      </w:r>
      <w:r>
        <w:rPr>
          <w:bCs/>
          <w:b/>
        </w:rPr>
        <w:t xml:space="preserve">décoche</w:t>
      </w:r>
      <w:r>
        <w:t xml:space="preserve"> </w:t>
      </w:r>
      <w:r>
        <w:t xml:space="preserve">les rapprochements qu’il refuse.</w:t>
      </w:r>
    </w:p>
    <w:p>
      <w:pPr>
        <w:pStyle w:val="BodyText"/>
      </w:pPr>
      <w:r>
        <w:t xml:space="preserve">Un bouton</w:t>
      </w:r>
      <w:r>
        <w:t xml:space="preserve"> </w:t>
      </w:r>
      <w:r>
        <w:rPr>
          <w:bCs/>
          <w:b/>
        </w:rPr>
        <w:t xml:space="preserve">« generate equivalent class »</w:t>
      </w:r>
      <w:r>
        <w:t xml:space="preserve"> </w:t>
      </w:r>
      <w:r>
        <w:t xml:space="preserve">crée alors, pour les paires cochées, les triples</w:t>
      </w:r>
      <w:r>
        <w:t xml:space="preserve"> </w:t>
      </w:r>
      <w:r>
        <w:rPr>
          <w:rStyle w:val="VerbatimChar"/>
          <w:bCs/>
          <w:b/>
        </w:rPr>
        <w:t xml:space="preserve">owl:equivalentClass</w:t>
      </w:r>
      <w:r>
        <w:t xml:space="preserve"> </w:t>
      </w:r>
      <w:r>
        <w:t xml:space="preserve">dans le</w:t>
      </w:r>
      <w:r>
        <w:t xml:space="preserve"> </w:t>
      </w:r>
      <w:r>
        <w:rPr>
          <w:bCs/>
          <w:b/>
        </w:rPr>
        <w:t xml:space="preserve">graphe nommé de la source</w:t>
      </w:r>
      <w:r>
        <w:t xml:space="preserve">. L’opération est</w:t>
      </w:r>
      <w:r>
        <w:t xml:space="preserve"> </w:t>
      </w:r>
      <w:r>
        <w:rPr>
          <w:bCs/>
          <w:b/>
        </w:rPr>
        <w:t xml:space="preserve">idempotente</w:t>
      </w:r>
      <w:r>
        <w:t xml:space="preserve"> </w:t>
      </w:r>
      <w:r>
        <w:t xml:space="preserve">: cliquer plusieurs fois ne recrée pas les liens déjà générés.</w:t>
      </w:r>
    </w:p>
    <w:p>
      <w:pPr>
        <w:pStyle w:val="BodyText"/>
      </w:pPr>
      <w:r>
        <w:t xml:space="preserve">Les paires</w:t>
      </w:r>
      <w:r>
        <w:t xml:space="preserve"> </w:t>
      </w:r>
      <w:r>
        <w:rPr>
          <w:bCs/>
          <w:b/>
        </w:rPr>
        <w:t xml:space="preserve">décochées</w:t>
      </w:r>
      <w:r>
        <w:t xml:space="preserve"> </w:t>
      </w:r>
      <w:r>
        <w:t xml:space="preserve">ne sont pas perdues : elles sont</w:t>
      </w:r>
      <w:r>
        <w:t xml:space="preserve"> </w:t>
      </w:r>
      <w:r>
        <w:rPr>
          <w:bCs/>
          <w:b/>
        </w:rPr>
        <w:t xml:space="preserve">basculées vers les non-exactes</w:t>
      </w:r>
      <w:r>
        <w:t xml:space="preserve"> </w:t>
      </w:r>
      <w:r>
        <w:t xml:space="preserve">pour être soumises, elles aussi, au jugement de l’IA.</w:t>
      </w:r>
    </w:p>
    <w:bookmarkEnd w:id="26"/>
    <w:bookmarkStart w:id="27" w:name="X6cc8c3610252e1fa67c73a830b83b3bede46759"/>
    <w:p>
      <w:pPr>
        <w:pStyle w:val="Heading2"/>
      </w:pPr>
      <w:r>
        <w:t xml:space="preserve">4.5. Préparation du traitement IA : récupération des définitions</w:t>
      </w:r>
    </w:p>
    <w:p>
      <w:pPr>
        <w:pStyle w:val="FirstParagraph"/>
      </w:pPr>
      <w:r>
        <w:t xml:space="preserve">Avant la classification, le plugin va chercher dans SousLeSens (via SPARQL) la</w:t>
      </w:r>
      <w:r>
        <w:t xml:space="preserve"> </w:t>
      </w:r>
      <w:r>
        <w:rPr>
          <w:bCs/>
          <w:b/>
        </w:rPr>
        <w:t xml:space="preserve">définition</w:t>
      </w:r>
      <w:r>
        <w:rPr>
          <w:bCs/>
          <w:b/>
        </w:rPr>
        <w:t xml:space="preserve"> </w:t>
      </w:r>
      <w:r>
        <w:rPr>
          <w:bCs/>
          <w:b/>
        </w:rPr>
        <w:t xml:space="preserve">textuelle</w:t>
      </w:r>
      <w:r>
        <w:t xml:space="preserve"> </w:t>
      </w:r>
      <w:r>
        <w:t xml:space="preserve">de chaque classe impliquée dans les paires non-exactes, côté source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côté</w:t>
      </w:r>
      <w:r>
        <w:t xml:space="preserve"> </w:t>
      </w:r>
      <w:r>
        <w:t xml:space="preserve">cible. Sont considérés comme définitions les objets littéraux dont le prédicat contient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BodyText"/>
      </w:pPr>
      <w:r>
        <w:t xml:space="preserve">Ces définitions constituent le</w:t>
      </w:r>
      <w:r>
        <w:t xml:space="preserve"> </w:t>
      </w:r>
      <w:r>
        <w:rPr>
          <w:bCs/>
          <w:b/>
        </w:rPr>
        <w:t xml:space="preserve">contexte</w:t>
      </w:r>
      <w:r>
        <w:t xml:space="preserve"> </w:t>
      </w:r>
      <w:r>
        <w:t xml:space="preserve">fourni à l’IA : la décision se fonde sur le</w:t>
      </w:r>
      <w:r>
        <w:t xml:space="preserve"> </w:t>
      </w:r>
      <w:r>
        <w:rPr>
          <w:bCs/>
          <w:b/>
        </w:rPr>
        <w:t xml:space="preserve">sens</w:t>
      </w:r>
      <w:r>
        <w:t xml:space="preserve"> </w:t>
      </w:r>
      <w:r>
        <w:t xml:space="preserve">des concepts, pas seulement sur leurs libellés.</w:t>
      </w:r>
    </w:p>
    <w:bookmarkEnd w:id="27"/>
    <w:bookmarkStart w:id="28" w:name="traitement-ia-classification-sémantique"/>
    <w:p>
      <w:pPr>
        <w:pStyle w:val="Heading2"/>
      </w:pPr>
      <w:r>
        <w:t xml:space="preserve">4.6. Traitement IA (classification sémantique)</w:t>
      </w:r>
    </w:p>
    <w:p>
      <w:pPr>
        <w:pStyle w:val="FirstParagraph"/>
      </w:pPr>
      <w:r>
        <w:t xml:space="preserve">Les paires non-exactes et la table des définitions sont envoyées au service d’IA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/api/v1/alignment</w:t>
      </w:r>
      <w:r>
        <w:t xml:space="preserve">). Le modèle utilisé est</w:t>
      </w:r>
      <w:r>
        <w:t xml:space="preserve"> </w:t>
      </w:r>
      <w:r>
        <w:rPr>
          <w:bCs/>
          <w:b/>
        </w:rPr>
        <w:t xml:space="preserve">celui configuré au niveau de la</w:t>
      </w:r>
      <w:r>
        <w:rPr>
          <w:bCs/>
          <w:b/>
        </w:rPr>
        <w:t xml:space="preserve"> </w:t>
      </w:r>
      <w:r>
        <w:rPr>
          <w:bCs/>
          <w:b/>
        </w:rPr>
        <w:t xml:space="preserve">plateforme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mainConfig.llm</w:t>
      </w:r>
      <w:r>
        <w:t xml:space="preserve">) — il n’y a pas de choix de modèle par appel.</w:t>
      </w:r>
    </w:p>
    <w:p>
      <w:pPr>
        <w:pStyle w:val="BodyText"/>
      </w:pPr>
      <w:r>
        <w:t xml:space="preserve">Pour rester fiable, la classification est effectuée</w:t>
      </w:r>
      <w:r>
        <w:t xml:space="preserve"> </w:t>
      </w:r>
      <w:r>
        <w:rPr>
          <w:bCs/>
          <w:b/>
        </w:rPr>
        <w:t xml:space="preserve">par lots de 30 paires</w:t>
      </w:r>
      <w:r>
        <w:t xml:space="preserve">, chaque lot ne</w:t>
      </w:r>
      <w:r>
        <w:t xml:space="preserve"> </w:t>
      </w:r>
      <w:r>
        <w:t xml:space="preserve">recevant que les définitions qui le concernent. Les résultats, les</w:t>
      </w:r>
      <w:r>
        <w:t xml:space="preserve"> </w:t>
      </w:r>
      <w:r>
        <w:rPr>
          <w:bCs/>
          <w:b/>
        </w:rPr>
        <w:t xml:space="preserve">compteurs par catégorie</w:t>
      </w:r>
      <w:r>
        <w:t xml:space="preserve"> </w:t>
      </w:r>
      <w:r>
        <w:t xml:space="preserve">et la</w:t>
      </w:r>
      <w:r>
        <w:t xml:space="preserve"> </w:t>
      </w:r>
      <w:r>
        <w:rPr>
          <w:bCs/>
          <w:b/>
        </w:rPr>
        <w:t xml:space="preserve">consommation de jetons</w:t>
      </w:r>
      <w:r>
        <w:t xml:space="preserve"> </w:t>
      </w:r>
      <w:r>
        <w:t xml:space="preserve">(tokens) sont agrégés.</w:t>
      </w:r>
    </w:p>
    <w:p>
      <w:pPr>
        <w:pStyle w:val="BodyText"/>
      </w:pPr>
      <w:r>
        <w:t xml:space="preserve">Le LLM renvoie,</w:t>
      </w:r>
      <w:r>
        <w:t xml:space="preserve"> </w:t>
      </w:r>
      <w:r>
        <w:rPr>
          <w:bCs/>
          <w:b/>
        </w:rPr>
        <w:t xml:space="preserve">pour chaque paire</w:t>
      </w:r>
      <w:r>
        <w:t xml:space="preserve">, une</w:t>
      </w:r>
      <w:r>
        <w:t xml:space="preserve"> </w:t>
      </w:r>
      <w:r>
        <w:rPr>
          <w:bCs/>
          <w:b/>
        </w:rPr>
        <w:t xml:space="preserve">catégorie</w:t>
      </w:r>
      <w:r>
        <w:t xml:space="preserve"> </w:t>
      </w:r>
      <w:r>
        <w:t xml:space="preserve">et une</w:t>
      </w:r>
      <w:r>
        <w:t xml:space="preserve"> </w:t>
      </w:r>
      <w:r>
        <w:rPr>
          <w:bCs/>
          <w:b/>
        </w:rPr>
        <w:t xml:space="preserve">justification</w:t>
      </w:r>
      <w:r>
        <w:t xml:space="preserve"> </w:t>
      </w:r>
      <w:r>
        <w:t xml:space="preserve">(« reason »).</w:t>
      </w:r>
      <w:r>
        <w:t xml:space="preserve"> </w:t>
      </w:r>
      <w:r>
        <w:t xml:space="preserve">Le résultat s’affiche sous forme de tableau filtrable (avec export CSV intégré), dont les deux</w:t>
      </w:r>
      <w:r>
        <w:t xml:space="preserve"> </w:t>
      </w:r>
      <w:r>
        <w:t xml:space="preserve">premières colonnes portent le</w:t>
      </w:r>
      <w:r>
        <w:t xml:space="preserve"> </w:t>
      </w:r>
      <w:r>
        <w:rPr>
          <w:bCs/>
          <w:b/>
        </w:rPr>
        <w:t xml:space="preserve">nom réel</w:t>
      </w:r>
      <w:r>
        <w:t xml:space="preserve"> </w:t>
      </w:r>
      <w:r>
        <w:t xml:space="preserve">des référentiels (ex.</w:t>
      </w:r>
      <w:r>
        <w:t xml:space="preserve"> </w:t>
      </w:r>
      <w:r>
        <w:rPr>
          <w:iCs/>
          <w:i/>
        </w:rPr>
        <w:t xml:space="preserve">CFIHOS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UNSPSC</w:t>
      </w:r>
      <w:r>
        <w:t xml:space="preserve">), suivies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ai category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reason</w:t>
      </w:r>
      <w:r>
        <w:t xml:space="preserve">. Le</w:t>
      </w:r>
      <w:r>
        <w:t xml:space="preserve"> </w:t>
      </w:r>
      <w:r>
        <w:rPr>
          <w:bCs/>
          <w:b/>
        </w:rPr>
        <w:t xml:space="preserve">modèle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nombre de tokens</w:t>
      </w:r>
      <w:r>
        <w:t xml:space="preserve"> </w:t>
      </w:r>
      <w:r>
        <w:t xml:space="preserve">consommés sont affichés</w:t>
      </w:r>
      <w:r>
        <w:t xml:space="preserve"> </w:t>
      </w:r>
      <w:r>
        <w:t xml:space="preserve">pour la traçabilité.</w:t>
      </w:r>
    </w:p>
    <w:bookmarkEnd w:id="28"/>
    <w:bookmarkStart w:id="29" w:name="les-catégories-de-classification-ia"/>
    <w:p>
      <w:pPr>
        <w:pStyle w:val="Heading2"/>
      </w:pPr>
      <w:r>
        <w:t xml:space="preserve">4.7. Les catégories de classification IA</w:t>
      </w:r>
    </w:p>
    <w:p>
      <w:pPr>
        <w:pStyle w:val="FirstParagraph"/>
      </w:pPr>
      <w:r>
        <w:t xml:space="preserve">Le LLM affecte à chaque paire</w:t>
      </w:r>
      <w:r>
        <w:t xml:space="preserve"> </w:t>
      </w:r>
      <w:r>
        <w:rPr>
          <w:bCs/>
          <w:b/>
        </w:rPr>
        <w:t xml:space="preserve">exactement une</w:t>
      </w:r>
      <w:r>
        <w:t xml:space="preserve"> </w:t>
      </w:r>
      <w:r>
        <w:t xml:space="preserve">des catégories suivantes (une 6ᵉ,</w:t>
      </w:r>
      <w:r>
        <w:t xml:space="preserve"> </w:t>
      </w:r>
      <w:r>
        <w:rPr>
          <w:iCs/>
          <w:i/>
        </w:rPr>
        <w:t xml:space="preserve">Other</w:t>
      </w:r>
      <w:r>
        <w:t xml:space="preserve">,</w:t>
      </w:r>
      <w:r>
        <w:t xml:space="preserve"> </w:t>
      </w:r>
      <w:r>
        <w:t xml:space="preserve">sert de filet de sécurité si la réponse ne correspond à aucune) 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p>
            <w:pPr>
              <w:pStyle w:val="Compact"/>
              <w:jc w:val="left"/>
            </w:pPr>
            <w:r>
              <w:t xml:space="preserve">Signification</w:t>
            </w:r>
          </w:p>
        </w:tc>
        <w:tc>
          <w:p>
            <w:pPr>
              <w:pStyle w:val="Compact"/>
              <w:jc w:val="left"/>
            </w:pPr>
            <w:r>
              <w:t xml:space="preserve">Traduction en triple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 match AI</w:t>
            </w:r>
          </w:p>
        </w:tc>
        <w:tc>
          <w:p>
            <w:pPr>
              <w:pStyle w:val="Compact"/>
              <w:jc w:val="left"/>
            </w:pPr>
            <w:r>
              <w:t xml:space="preserve">Les deux classes désignent exactement la même chose.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owl:equivalentClass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SubclassOf</w:t>
            </w:r>
          </w:p>
        </w:tc>
        <w:tc>
          <w:p>
            <w:pPr>
              <w:pStyle w:val="Compact"/>
              <w:jc w:val="left"/>
            </w:pPr>
            <w:r>
              <w:t xml:space="preserve">La classe</w:t>
            </w:r>
            <w:r>
              <w:t xml:space="preserve"> </w:t>
            </w:r>
            <w:r>
              <w:rPr>
                <w:bCs/>
                <w:b/>
              </w:rPr>
              <w:t xml:space="preserve">source</w:t>
            </w:r>
            <w:r>
              <w:t xml:space="preserve"> </w:t>
            </w:r>
            <w:r>
              <w:t xml:space="preserve">est plus spécifique que la classe</w:t>
            </w:r>
            <w:r>
              <w:t xml:space="preserve"> </w:t>
            </w:r>
            <w:r>
              <w:rPr>
                <w:bCs/>
                <w:b/>
              </w:rPr>
              <w:t xml:space="preserve">cible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rdfs:subClassOf</w:t>
            </w:r>
            <w:r>
              <w:t xml:space="preserve"> </w:t>
            </w:r>
            <w:r>
              <w:t xml:space="preserve">(source → cible)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SubclassOf inverse</w:t>
            </w:r>
          </w:p>
        </w:tc>
        <w:tc>
          <w:p>
            <w:pPr>
              <w:pStyle w:val="Compact"/>
              <w:jc w:val="left"/>
            </w:pPr>
            <w:r>
              <w:t xml:space="preserve">La classe</w:t>
            </w:r>
            <w:r>
              <w:t xml:space="preserve"> </w:t>
            </w:r>
            <w:r>
              <w:rPr>
                <w:bCs/>
                <w:b/>
              </w:rPr>
              <w:t xml:space="preserve">cible</w:t>
            </w:r>
            <w:r>
              <w:t xml:space="preserve"> </w:t>
            </w:r>
            <w:r>
              <w:t xml:space="preserve">est plus spécifique que la classe</w:t>
            </w:r>
            <w:r>
              <w:t xml:space="preserve"> </w:t>
            </w:r>
            <w:r>
              <w:rPr>
                <w:bCs/>
                <w:b/>
              </w:rPr>
              <w:t xml:space="preserve">source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rdfs:subClassOf</w:t>
            </w:r>
            <w:r>
              <w:t xml:space="preserve"> </w:t>
            </w:r>
            <w:r>
              <w:t xml:space="preserve">(cible → source)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match</w:t>
            </w:r>
          </w:p>
        </w:tc>
        <w:tc>
          <w:p>
            <w:pPr>
              <w:pStyle w:val="Compact"/>
              <w:jc w:val="left"/>
            </w:pPr>
            <w:r>
              <w:t xml:space="preserve">Aucune relation entre les deux concepts.</w:t>
            </w:r>
          </w:p>
        </w:tc>
        <w:tc>
          <w:p>
            <w:pPr>
              <w:pStyle w:val="Compact"/>
              <w:jc w:val="left"/>
            </w:pPr>
            <w:r>
              <w:t xml:space="preserve">(aucun — export)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t xml:space="preserve">Confiance insuffisante pour trancher.</w:t>
            </w:r>
          </w:p>
        </w:tc>
        <w:tc>
          <w:p>
            <w:pPr>
              <w:pStyle w:val="Compact"/>
              <w:jc w:val="left"/>
            </w:pPr>
            <w:r>
              <w:t xml:space="preserve">(aucun — export)</w:t>
            </w:r>
          </w:p>
        </w:tc>
      </w:tr>
    </w:tbl>
    <w:p>
      <w:pPr>
        <w:pStyle w:val="BodyText"/>
      </w:pPr>
      <w:r>
        <w:t xml:space="preserve">Principe métier important : l’IA est invitée à préférer</w:t>
      </w:r>
      <w:r>
        <w:t xml:space="preserve"> </w:t>
      </w:r>
      <w:r>
        <w:rPr>
          <w:bCs/>
          <w:b/>
        </w:rPr>
        <w:t xml:space="preserve">« Unknown »</w:t>
      </w:r>
      <w:r>
        <w:t xml:space="preserve"> </w:t>
      </w:r>
      <w:r>
        <w:t xml:space="preserve">plutôt que de</w:t>
      </w:r>
      <w:r>
        <w:t xml:space="preserve"> </w:t>
      </w:r>
      <w:r>
        <w:t xml:space="preserve">déclarer à tort une équivalence ou une absence de lien. La prudence prime sur la couverture.</w:t>
      </w:r>
    </w:p>
    <w:bookmarkEnd w:id="29"/>
    <w:bookmarkStart w:id="30" w:name="post-traitement-ia-et-écriture-des-liens"/>
    <w:p>
      <w:pPr>
        <w:pStyle w:val="Heading2"/>
      </w:pPr>
      <w:r>
        <w:t xml:space="preserve">4.8. Post-traitement IA et écriture des liens</w:t>
      </w:r>
    </w:p>
    <w:p>
      <w:pPr>
        <w:pStyle w:val="FirstParagraph"/>
      </w:pPr>
      <w:r>
        <w:t xml:space="preserve">À partir des résultats de l’IA, le plugin propose trois sous-étapes, chacune avec validation</w:t>
      </w:r>
      <w:r>
        <w:t xml:space="preserve"> </w:t>
      </w:r>
      <w:r>
        <w:t xml:space="preserve">humaine (liste cochable) 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Exact match AI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owl:equivalentClass</w:t>
      </w:r>
      <w:r>
        <w:t xml:space="preserve"> </w:t>
      </w:r>
      <w:r>
        <w:t xml:space="preserve">: l’utilisateur confirme les équivalences</w:t>
      </w:r>
      <w:r>
        <w:t xml:space="preserve"> </w:t>
      </w:r>
      <w:r>
        <w:t xml:space="preserve">proposées par l’IA ; le bouton crée les triples. Un export CSV</w:t>
      </w:r>
      <w:r>
        <w:t xml:space="preserve"> </w:t>
      </w:r>
      <w:r>
        <w:t xml:space="preserve">(</w:t>
      </w:r>
      <w:r>
        <w:rPr>
          <w:rStyle w:val="VerbatimChar"/>
        </w:rPr>
        <w:t xml:space="preserve">equivalent_class_AI.csv</w:t>
      </w:r>
      <w:r>
        <w:t xml:space="preserve">) est possible.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SubclassOf / SubclassOf inverse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rdfs:subClassOf</w:t>
      </w:r>
      <w:r>
        <w:t xml:space="preserve"> </w:t>
      </w:r>
      <w:r>
        <w:t xml:space="preserve">: création des triples de</w:t>
      </w:r>
      <w:r>
        <w:t xml:space="preserve"> </w:t>
      </w:r>
      <w:r>
        <w:t xml:space="preserve">sous-classe (le sens</w:t>
      </w:r>
      <w:r>
        <w:t xml:space="preserve"> </w:t>
      </w:r>
      <w:r>
        <w:rPr>
          <w:iCs/>
          <w:i/>
        </w:rPr>
        <w:t xml:space="preserve">inverse</w:t>
      </w:r>
      <w:r>
        <w:t xml:space="preserve"> </w:t>
      </w:r>
      <w:r>
        <w:t xml:space="preserve">échange sujet et objet). Export</w:t>
      </w:r>
      <w:r>
        <w:t xml:space="preserve"> </w:t>
      </w:r>
      <w:r>
        <w:rPr>
          <w:rStyle w:val="VerbatimChar"/>
        </w:rPr>
        <w:t xml:space="preserve">subclass_AI.csv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Reste à traiter</w:t>
      </w:r>
      <w:r>
        <w:t xml:space="preserve"> </w:t>
      </w:r>
      <w:r>
        <w:t xml:space="preserve">: toutes les paires</w:t>
      </w:r>
      <w:r>
        <w:t xml:space="preserve"> </w:t>
      </w:r>
      <w:r>
        <w:rPr>
          <w:iCs/>
          <w:i/>
        </w:rPr>
        <w:t xml:space="preserve">Not match</w:t>
      </w:r>
      <w:r>
        <w:t xml:space="preserve">,</w:t>
      </w:r>
      <w:r>
        <w:t xml:space="preserve"> </w:t>
      </w:r>
      <w:r>
        <w:rPr>
          <w:iCs/>
          <w:i/>
        </w:rPr>
        <w:t xml:space="preserve">Unknown</w:t>
      </w:r>
      <w:r>
        <w:t xml:space="preserve">,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celles</w:t>
      </w:r>
      <w:r>
        <w:t xml:space="preserve"> </w:t>
      </w:r>
      <w:r>
        <w:rPr>
          <w:bCs/>
          <w:b/>
        </w:rPr>
        <w:t xml:space="preserve">décochées</w:t>
      </w:r>
      <w:r>
        <w:t xml:space="preserve"> </w:t>
      </w:r>
      <w:r>
        <w:t xml:space="preserve">aux étapes précédentes sont regroupées et exportables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remaining_AI.csv</w:t>
      </w:r>
      <w:r>
        <w:t xml:space="preserve">) pour un arbitrage manuel hors outil.</w:t>
      </w:r>
    </w:p>
    <w:p>
      <w:pPr>
        <w:pStyle w:val="FirstParagraph"/>
      </w:pPr>
      <w:r>
        <w:t xml:space="preserve">À chaque étape, ce qui est</w:t>
      </w:r>
      <w:r>
        <w:t xml:space="preserve"> </w:t>
      </w:r>
      <w:r>
        <w:rPr>
          <w:bCs/>
          <w:b/>
        </w:rPr>
        <w:t xml:space="preserve">décoché</w:t>
      </w:r>
      <w:r>
        <w:t xml:space="preserve"> </w:t>
      </w:r>
      <w:r>
        <w:t xml:space="preserve">n’est jamais écrit dans le graphe mais</w:t>
      </w:r>
      <w:r>
        <w:t xml:space="preserve"> </w:t>
      </w:r>
      <w:r>
        <w:rPr>
          <w:bCs/>
          <w:b/>
        </w:rPr>
        <w:t xml:space="preserve">reporté dans</w:t>
      </w:r>
      <w:r>
        <w:rPr>
          <w:bCs/>
          <w:b/>
        </w:rPr>
        <w:t xml:space="preserve"> </w:t>
      </w:r>
      <w:r>
        <w:rPr>
          <w:bCs/>
          <w:b/>
        </w:rPr>
        <w:t xml:space="preserve">le reste</w:t>
      </w:r>
      <w:r>
        <w:t xml:space="preserve"> </w:t>
      </w:r>
      <w:r>
        <w:t xml:space="preserve">: aucune décision candidate n’est silencieusement perdue.</w:t>
      </w:r>
    </w:p>
    <w:bookmarkEnd w:id="30"/>
    <w:bookmarkEnd w:id="31"/>
    <w:bookmarkStart w:id="32" w:name="résultats-produits"/>
    <w:p>
      <w:pPr>
        <w:pStyle w:val="Heading1"/>
      </w:pPr>
      <w:r>
        <w:t xml:space="preserve">5. Résultats produits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Dans le graphe</w:t>
      </w:r>
      <w:r>
        <w:t xml:space="preserve"> </w:t>
      </w:r>
      <w:r>
        <w:t xml:space="preserve">(graphe nommé de la source) :</w:t>
      </w:r>
    </w:p>
    <w:p>
      <w:pPr>
        <w:numPr>
          <w:ilvl w:val="1"/>
          <w:numId w:val="1010"/>
        </w:numPr>
        <w:pStyle w:val="Compact"/>
      </w:pPr>
      <w:r>
        <w:t xml:space="preserve">triples</w:t>
      </w:r>
      <w:r>
        <w:t xml:space="preserve"> </w:t>
      </w:r>
      <w:r>
        <w:rPr>
          <w:rStyle w:val="VerbatimChar"/>
        </w:rPr>
        <w:t xml:space="preserve">owl:equivalentClass</w:t>
      </w:r>
      <w:r>
        <w:t xml:space="preserve"> </w:t>
      </w:r>
      <w:r>
        <w:t xml:space="preserve">(correspondances exactes validées + « Exact match AI ») ;</w:t>
      </w:r>
    </w:p>
    <w:p>
      <w:pPr>
        <w:numPr>
          <w:ilvl w:val="1"/>
          <w:numId w:val="1010"/>
        </w:numPr>
        <w:pStyle w:val="Compact"/>
      </w:pPr>
      <w:r>
        <w:t xml:space="preserve">triples</w:t>
      </w:r>
      <w:r>
        <w:t xml:space="preserve"> </w:t>
      </w:r>
      <w:r>
        <w:rPr>
          <w:rStyle w:val="VerbatimChar"/>
        </w:rPr>
        <w:t xml:space="preserve">rdfs:subClassOf</w:t>
      </w:r>
      <w:r>
        <w:t xml:space="preserve"> </w:t>
      </w:r>
      <w:r>
        <w:t xml:space="preserve">(relations de spécialisation validées).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 exports CSV</w:t>
      </w:r>
      <w:r>
        <w:t xml:space="preserve"> </w:t>
      </w:r>
      <w:r>
        <w:t xml:space="preserve">(téléchargés côté navigateur, séparateur</w:t>
      </w:r>
      <w:r>
        <w:t xml:space="preserve"> </w:t>
      </w:r>
      <w:r>
        <w:rPr>
          <w:rStyle w:val="VerbatimChar"/>
        </w:rPr>
        <w:t xml:space="preserve">;</w:t>
      </w:r>
      <w:r>
        <w:t xml:space="preserve">, encodage UTF-8) 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equivalent_class_AI.csv</w:t>
      </w:r>
      <w:r>
        <w:t xml:space="preserve"> </w:t>
      </w:r>
      <w:r>
        <w:t xml:space="preserve">— équivalences proposées par l’IA et retenues ;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subclass_AI.csv</w:t>
      </w:r>
      <w:r>
        <w:t xml:space="preserve"> </w:t>
      </w:r>
      <w:r>
        <w:t xml:space="preserve">— relations de sous-classe retenues ;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remaining_AI.csv</w:t>
      </w:r>
      <w:r>
        <w:t xml:space="preserve"> </w:t>
      </w:r>
      <w:r>
        <w:t xml:space="preserve">— paires non conclues, à arbitrer.</w:t>
      </w:r>
    </w:p>
    <w:bookmarkEnd w:id="32"/>
    <w:bookmarkStart w:id="33" w:name="X9e9753191aaf9c388e503d0f3fbb99930ceae8f"/>
    <w:p>
      <w:pPr>
        <w:pStyle w:val="Heading1"/>
      </w:pPr>
      <w:r>
        <w:t xml:space="preserve">6. Fonction annexe : recherche et exploration multi-sources</w:t>
      </w:r>
    </w:p>
    <w:p>
      <w:pPr>
        <w:pStyle w:val="FirstParagraph"/>
      </w:pPr>
      <w:r>
        <w:t xml:space="preserve">Outre le flux d’alignement, le plugin offre un</w:t>
      </w:r>
      <w:r>
        <w:t xml:space="preserve"> </w:t>
      </w:r>
      <w:r>
        <w:rPr>
          <w:bCs/>
          <w:b/>
        </w:rPr>
        <w:t xml:space="preserve">panneau de recherche transverse</w:t>
      </w:r>
      <w:r>
        <w:t xml:space="preserve"> </w:t>
      </w:r>
      <w:r>
        <w:t xml:space="preserve">: saisir un</w:t>
      </w:r>
      <w:r>
        <w:t xml:space="preserve"> </w:t>
      </w:r>
      <w:r>
        <w:t xml:space="preserve">terme recherche les libellés similaires</w:t>
      </w:r>
      <w:r>
        <w:t xml:space="preserve"> </w:t>
      </w:r>
      <w:r>
        <w:rPr>
          <w:bCs/>
          <w:b/>
        </w:rPr>
        <w:t xml:space="preserve">dans la source active et ses sources importées</w:t>
      </w:r>
      <w:r>
        <w:t xml:space="preserve">, en</w:t>
      </w:r>
      <w:r>
        <w:t xml:space="preserve"> </w:t>
      </w:r>
      <w:r>
        <w:t xml:space="preserve">mode</w:t>
      </w:r>
      <w:r>
        <w:t xml:space="preserve"> </w:t>
      </w:r>
      <w:r>
        <w:rPr>
          <w:bCs/>
          <w:b/>
        </w:rPr>
        <w:t xml:space="preserve">flou</w:t>
      </w:r>
      <w:r>
        <w:t xml:space="preserve"> </w:t>
      </w:r>
      <w:r>
        <w:t xml:space="preserve">(</w:t>
      </w:r>
      <w:r>
        <w:rPr>
          <w:iCs/>
          <w:i/>
        </w:rPr>
        <w:t xml:space="preserve">fuzzyMatch</w:t>
      </w:r>
      <w:r>
        <w:t xml:space="preserve">) ou</w:t>
      </w:r>
      <w:r>
        <w:t xml:space="preserve"> </w:t>
      </w:r>
      <w:r>
        <w:rPr>
          <w:bCs/>
          <w:b/>
        </w:rPr>
        <w:t xml:space="preserve">exact</w:t>
      </w:r>
      <w:r>
        <w:t xml:space="preserve"> </w:t>
      </w:r>
      <w:r>
        <w:t xml:space="preserve">(</w:t>
      </w:r>
      <w:r>
        <w:rPr>
          <w:iCs/>
          <w:i/>
        </w:rPr>
        <w:t xml:space="preserve">exactMatch</w:t>
      </w:r>
      <w:r>
        <w:t xml:space="preserve">). Les résultats sont regroupés par</w:t>
      </w:r>
      <w:r>
        <w:t xml:space="preserve"> </w:t>
      </w:r>
      <w:r>
        <w:t xml:space="preserve">source ; en cliquant sur un résultat, l’utilisateur voit la</w:t>
      </w:r>
      <w:r>
        <w:t xml:space="preserve"> </w:t>
      </w:r>
      <w:r>
        <w:rPr>
          <w:bCs/>
          <w:b/>
        </w:rPr>
        <w:t xml:space="preserve">fiche du concept</w:t>
      </w:r>
      <w:r>
        <w:t xml:space="preserve"> </w:t>
      </w:r>
      <w:r>
        <w:t xml:space="preserve">et un</w:t>
      </w:r>
      <w:r>
        <w:t xml:space="preserve"> </w:t>
      </w:r>
      <w:r>
        <w:rPr>
          <w:bCs/>
          <w:b/>
        </w:rPr>
        <w:t xml:space="preserve">graphe</w:t>
      </w:r>
      <w:r>
        <w:rPr>
          <w:bCs/>
          <w:b/>
        </w:rPr>
        <w:t xml:space="preserve"> </w:t>
      </w:r>
      <w:r>
        <w:rPr>
          <w:bCs/>
          <w:b/>
        </w:rPr>
        <w:t xml:space="preserve">de son voisinage</w:t>
      </w:r>
      <w:r>
        <w:t xml:space="preserve"> </w:t>
      </w:r>
      <w:r>
        <w:t xml:space="preserve">(relations directes et inverses, hors</w:t>
      </w:r>
      <w:r>
        <w:t xml:space="preserve"> </w:t>
      </w:r>
      <w:r>
        <w:rPr>
          <w:rStyle w:val="VerbatimChar"/>
        </w:rPr>
        <w:t xml:space="preserve">rdf:type</w:t>
      </w:r>
      <w:r>
        <w:t xml:space="preserve">), affiché de façon</w:t>
      </w:r>
      <w:r>
        <w:t xml:space="preserve"> </w:t>
      </w:r>
      <w:r>
        <w:t xml:space="preserve">hiérarchique. Cet outil sert à</w:t>
      </w:r>
      <w:r>
        <w:t xml:space="preserve"> </w:t>
      </w:r>
      <w:r>
        <w:rPr>
          <w:bCs/>
          <w:b/>
        </w:rPr>
        <w:t xml:space="preserve">explorer et vérifier</w:t>
      </w:r>
      <w:r>
        <w:t xml:space="preserve"> </w:t>
      </w:r>
      <w:r>
        <w:t xml:space="preserve">manuellement les concepts avant ou</w:t>
      </w:r>
      <w:r>
        <w:t xml:space="preserve"> </w:t>
      </w:r>
      <w:r>
        <w:t xml:space="preserve">après alignement.</w:t>
      </w:r>
    </w:p>
    <w:bookmarkEnd w:id="33"/>
    <w:bookmarkStart w:id="34" w:name="pré-requis-et-dépendances"/>
    <w:p>
      <w:pPr>
        <w:pStyle w:val="Heading1"/>
      </w:pPr>
      <w:r>
        <w:t xml:space="preserve">7. Pré-requis et dépendances</w:t>
      </w:r>
    </w:p>
    <w:p>
      <w:pPr>
        <w:pStyle w:val="FirstParagraph"/>
      </w:pPr>
      <w:r>
        <w:t xml:space="preserve">Pour fonctionner, le plugin suppose :</w:t>
      </w:r>
    </w:p>
    <w:p>
      <w:pPr>
        <w:numPr>
          <w:ilvl w:val="0"/>
          <w:numId w:val="1012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sources de schéma OWL</w:t>
      </w:r>
      <w:r>
        <w:t xml:space="preserve"> </w:t>
      </w:r>
      <w:r>
        <w:t xml:space="preserve">chargées dans SousLeSens, avec leurs</w:t>
      </w:r>
      <w:r>
        <w:t xml:space="preserve"> </w:t>
      </w:r>
      <w:r>
        <w:rPr>
          <w:bCs/>
          <w:b/>
        </w:rPr>
        <w:t xml:space="preserve">conteneurs</w:t>
      </w:r>
      <w:r>
        <w:t xml:space="preserve"> 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index ElasticSearch</w:t>
      </w:r>
      <w:r>
        <w:t xml:space="preserve"> </w:t>
      </w:r>
      <w:r>
        <w:t xml:space="preserve">de la source cible (indispensable à la recherche de similaires) ;</w:t>
      </w:r>
    </w:p>
    <w:p>
      <w:pPr>
        <w:numPr>
          <w:ilvl w:val="0"/>
          <w:numId w:val="1012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définitions</w:t>
      </w:r>
      <w:r>
        <w:t xml:space="preserve"> </w:t>
      </w:r>
      <w:r>
        <w:t xml:space="preserve">renseignées sur les classes (sans quoi le contexte fourni à l’IA est</w:t>
      </w:r>
      <w:r>
        <w:t xml:space="preserve"> </w:t>
      </w:r>
      <w:r>
        <w:t xml:space="preserve">pauvre et la classification moins fiable) ;</w:t>
      </w:r>
    </w:p>
    <w:p>
      <w:pPr>
        <w:numPr>
          <w:ilvl w:val="0"/>
          <w:numId w:val="1012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modèle LLM configuré</w:t>
      </w:r>
      <w:r>
        <w:t xml:space="preserve"> </w:t>
      </w:r>
      <w:r>
        <w:t xml:space="preserve">au niveau de la plateforme (</w:t>
      </w:r>
      <w:r>
        <w:rPr>
          <w:rStyle w:val="VerbatimChar"/>
        </w:rPr>
        <w:t xml:space="preserve">mainConfig.llm</w:t>
      </w:r>
      <w:r>
        <w:t xml:space="preserve">) pour l’étape IA ;</w:t>
      </w:r>
    </w:p>
    <w:p>
      <w:pPr>
        <w:numPr>
          <w:ilvl w:val="0"/>
          <w:numId w:val="1012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droits d’écriture</w:t>
      </w:r>
      <w:r>
        <w:t xml:space="preserve"> </w:t>
      </w:r>
      <w:r>
        <w:t xml:space="preserve">sur le graphe de la source (les liens y sont insérés).</w:t>
      </w:r>
    </w:p>
    <w:bookmarkEnd w:id="34"/>
    <w:bookmarkStart w:id="35" w:name="points-dattention-métier"/>
    <w:p>
      <w:pPr>
        <w:pStyle w:val="Heading1"/>
      </w:pPr>
      <w:r>
        <w:t xml:space="preserve">8. Points d’attention métier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L’humain reste décideur</w:t>
      </w:r>
      <w:r>
        <w:t xml:space="preserve"> </w:t>
      </w:r>
      <w:r>
        <w:t xml:space="preserve">: aucune écriture dans le graphe sans validation explicite ; les</w:t>
      </w:r>
      <w:r>
        <w:t xml:space="preserve"> </w:t>
      </w:r>
      <w:r>
        <w:t xml:space="preserve">propositions (exactes comme IA) sont toujours présentées cochables/décochables.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Prudence de l’IA</w:t>
      </w:r>
      <w:r>
        <w:t xml:space="preserve"> </w:t>
      </w:r>
      <w:r>
        <w:t xml:space="preserve">: la catégorie</w:t>
      </w:r>
      <w:r>
        <w:t xml:space="preserve"> </w:t>
      </w:r>
      <w:r>
        <w:rPr>
          <w:iCs/>
          <w:i/>
        </w:rPr>
        <w:t xml:space="preserve">Unknown</w:t>
      </w:r>
      <w:r>
        <w:t xml:space="preserve"> </w:t>
      </w:r>
      <w:r>
        <w:t xml:space="preserve">est privilégiée en cas de doute ; il est</w:t>
      </w:r>
      <w:r>
        <w:t xml:space="preserve"> </w:t>
      </w:r>
      <w:r>
        <w:t xml:space="preserve">attendu qu’une part des paires finisse dans le « reste » à arbitrer.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Qualité tributaire des données</w:t>
      </w:r>
      <w:r>
        <w:t xml:space="preserve"> </w:t>
      </w:r>
      <w:r>
        <w:t xml:space="preserve">: la pertinence dépend de la richesse des libellés, des</w:t>
      </w:r>
      <w:r>
        <w:t xml:space="preserve"> </w:t>
      </w:r>
      <w:r>
        <w:t xml:space="preserve">définitions, et de la bonne indexation ElasticSearch de la cible.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Traçabilité</w:t>
      </w:r>
      <w:r>
        <w:t xml:space="preserve"> </w:t>
      </w:r>
      <w:r>
        <w:t xml:space="preserve">: modèle utilisé, tokens consommés et justification par paire sont exposés,</w:t>
      </w:r>
      <w:r>
        <w:t xml:space="preserve"> </w:t>
      </w:r>
      <w:r>
        <w:t xml:space="preserve">et les décisions sont exportables en CSV pour audit.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Coût IA</w:t>
      </w:r>
      <w:r>
        <w:t xml:space="preserve"> </w:t>
      </w:r>
      <w:r>
        <w:t xml:space="preserve">: l’étape de classification consomme des jetons LLM (facturés) ; elle peut durer</w:t>
      </w:r>
      <w:r>
        <w:t xml:space="preserve"> </w:t>
      </w:r>
      <w:r>
        <w:t xml:space="preserve">plusieurs minutes sur de gros volumes (traitement par lots).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généré à partir de l’analyse du code du plugin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alignement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plugins.available/alignement</w:t>
      </w:r>
      <w:r>
        <w:rPr>
          <w:iCs/>
          <w:i/>
        </w:rPr>
        <w:t xml:space="preserve">) et de la route d’alignement sémantique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api/v1/paths/alignment.js</w:t>
      </w:r>
      <w:r>
        <w:rPr>
          <w:iCs/>
          <w:i/>
        </w:rPr>
        <w:t xml:space="preserve">. Historique : ce plugin est issu d’un fork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panorama</w:t>
      </w:r>
      <w:r>
        <w:rPr>
          <w:iCs/>
          <w:i/>
        </w:rPr>
        <w:t xml:space="preserve"> </w:t>
      </w:r>
      <w:r>
        <w:rPr>
          <w:iCs/>
          <w:i/>
        </w:rPr>
        <w:t xml:space="preserve">puis a</w:t>
      </w:r>
      <w:r>
        <w:rPr>
          <w:iCs/>
          <w:i/>
        </w:rPr>
        <w:t xml:space="preserve"> </w:t>
      </w:r>
      <w:r>
        <w:rPr>
          <w:iCs/>
          <w:i/>
        </w:rPr>
        <w:t xml:space="preserve">évolué de façon indépendante.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Plugin Alignement — Documentation métier</dc:title>
  <dc:creator>SousLeSens Vocables</dc:creator>
  <dc:language>fr</dc:language>
  <cp:keywords/>
  <dcterms:created xsi:type="dcterms:W3CDTF">2026-07-10T07:01:57Z</dcterms:created>
  <dcterms:modified xsi:type="dcterms:W3CDTF">2026-07-10T07:01:57Z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Juillet 2026</vt:lpwstr>
  </property>
  <property fmtid="{D5CDD505-2E9C-101B-9397-08002B2CF9AE}" pid="3" name="subtitle">
    <vt:lpwstr>SousLeSens Vocables — Alignement sémantique de référentiels</vt:lpwstr>
  </property>
</Properties>
</file>