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7B429" w14:textId="23022216" w:rsidR="007514DF" w:rsidRDefault="004F4428" w:rsidP="007514DF">
      <w:pPr>
        <w:pStyle w:val="Title"/>
        <w:jc w:val="right"/>
        <w:rPr>
          <w:b/>
          <w:color w:val="767171" w:themeColor="background2" w:themeShade="80"/>
          <w:sz w:val="32"/>
          <w:szCs w:val="32"/>
        </w:rPr>
      </w:pPr>
      <w:r>
        <w:rPr>
          <w:noProof/>
          <w:lang w:eastAsia="en-AU"/>
        </w:rPr>
        <w:drawing>
          <wp:inline distT="0" distB="0" distL="0" distR="0" wp14:anchorId="1C264739" wp14:editId="038713E7">
            <wp:extent cx="1933575" cy="1112520"/>
            <wp:effectExtent l="0" t="0" r="9525" b="0"/>
            <wp:docPr id="1" name="Picture 1" descr="Australian Government - job 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2527.NATION\AppData\Local\Microsoft\Windows\Temporary Internet Files\Content.Outlook\LD08ARUY\jobactive_Rel3_FullCol_CMYK.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844"/>
                    <a:stretch/>
                  </pic:blipFill>
                  <pic:spPr bwMode="auto">
                    <a:xfrm>
                      <a:off x="0" y="0"/>
                      <a:ext cx="1934076" cy="1112808"/>
                    </a:xfrm>
                    <a:prstGeom prst="rect">
                      <a:avLst/>
                    </a:prstGeom>
                    <a:noFill/>
                    <a:ln>
                      <a:noFill/>
                    </a:ln>
                    <a:extLst>
                      <a:ext uri="{53640926-AAD7-44D8-BBD7-CCE9431645EC}">
                        <a14:shadowObscured xmlns:a14="http://schemas.microsoft.com/office/drawing/2010/main"/>
                      </a:ext>
                    </a:extLst>
                  </pic:spPr>
                </pic:pic>
              </a:graphicData>
            </a:graphic>
          </wp:inline>
        </w:drawing>
      </w:r>
    </w:p>
    <w:p w14:paraId="68F747FB" w14:textId="1677CEB3" w:rsidR="00146FF3" w:rsidRDefault="00146FF3" w:rsidP="00146FF3">
      <w:pPr>
        <w:pStyle w:val="Title"/>
      </w:pPr>
      <w:r w:rsidRPr="0027592B">
        <w:rPr>
          <w:b/>
          <w:color w:val="767171" w:themeColor="background2" w:themeShade="80"/>
          <w:sz w:val="32"/>
          <w:szCs w:val="32"/>
        </w:rPr>
        <w:t>Guideline</w:t>
      </w:r>
      <w:r w:rsidRPr="0027592B">
        <w:rPr>
          <w:color w:val="767171" w:themeColor="background2" w:themeShade="80"/>
          <w:sz w:val="32"/>
          <w:szCs w:val="32"/>
        </w:rPr>
        <w:t>:</w:t>
      </w:r>
      <w:r>
        <w:br/>
      </w:r>
      <w:r w:rsidR="004F4428">
        <w:t xml:space="preserve">New Employment Services Trial (NEST) - </w:t>
      </w:r>
      <w:r w:rsidR="0059027E" w:rsidRPr="0059027E">
        <w:t>Disability Support Pension Recipients (Compulsory Requirements)</w:t>
      </w:r>
    </w:p>
    <w:p w14:paraId="71916623" w14:textId="02E0F7DD" w:rsidR="002E6FDB" w:rsidRDefault="0022352A" w:rsidP="00DC2B4C">
      <w:pPr>
        <w:pStyle w:val="guidelinetext"/>
        <w:ind w:left="0"/>
      </w:pPr>
      <w:r>
        <w:t xml:space="preserve">This Guideline advises </w:t>
      </w:r>
      <w:r w:rsidR="00BB6C05">
        <w:t>Provider</w:t>
      </w:r>
      <w:r>
        <w:t xml:space="preserve">s of their responsibilities to </w:t>
      </w:r>
      <w:r w:rsidR="0059027E" w:rsidRPr="00F70AC0">
        <w:t xml:space="preserve">Disability Support Pension (DSP) recipients under 35 years </w:t>
      </w:r>
      <w:r w:rsidR="00C3493A">
        <w:t xml:space="preserve">of age </w:t>
      </w:r>
      <w:r w:rsidR="0059027E" w:rsidRPr="00F70AC0">
        <w:t xml:space="preserve">who have an assessed work capacity of at least eight hours per week </w:t>
      </w:r>
      <w:r w:rsidR="00C3493A">
        <w:t>and do not have</w:t>
      </w:r>
      <w:r w:rsidR="0059027E" w:rsidRPr="00F70AC0">
        <w:t xml:space="preserve"> a child under six years)</w:t>
      </w:r>
      <w:r>
        <w:t xml:space="preserve">. These </w:t>
      </w:r>
      <w:r w:rsidR="00BB6C05">
        <w:t>Participant</w:t>
      </w:r>
      <w:r>
        <w:t>s</w:t>
      </w:r>
      <w:r w:rsidR="0059027E" w:rsidRPr="00F70AC0">
        <w:t xml:space="preserve"> are required to be engaged and participating in at least one compulsory activity to improve their employment prospects and increase their participation in paid work.</w:t>
      </w:r>
    </w:p>
    <w:p w14:paraId="72083384" w14:textId="0B882784" w:rsidR="00A86143" w:rsidRDefault="00A86143" w:rsidP="00DC2B4C">
      <w:pPr>
        <w:pStyle w:val="guidelinetext"/>
        <w:ind w:left="0"/>
      </w:pPr>
      <w:r>
        <w:t xml:space="preserve">These compulsory activities may include participation in </w:t>
      </w:r>
      <w:r w:rsidR="00C863F9">
        <w:t xml:space="preserve">NEST Trial </w:t>
      </w:r>
      <w:r w:rsidR="00BB6C05">
        <w:t>Provider</w:t>
      </w:r>
      <w:r w:rsidR="004F4428">
        <w:t xml:space="preserve"> </w:t>
      </w:r>
      <w:r>
        <w:t>services</w:t>
      </w:r>
      <w:r w:rsidR="0019343A">
        <w:t xml:space="preserve"> </w:t>
      </w:r>
      <w:r>
        <w:t>and will depend on an individual’s circumstance.</w:t>
      </w:r>
    </w:p>
    <w:p w14:paraId="3FAD30E2" w14:textId="68B0B345" w:rsidR="0022352A" w:rsidRPr="0022352A" w:rsidRDefault="0022352A" w:rsidP="00DC2B4C">
      <w:pPr>
        <w:pStyle w:val="guidelinetext"/>
        <w:ind w:left="0"/>
      </w:pPr>
      <w:r w:rsidRPr="0022352A">
        <w:t xml:space="preserve">The </w:t>
      </w:r>
      <w:r w:rsidR="00BB6C05">
        <w:t>Provider</w:t>
      </w:r>
      <w:r w:rsidRPr="0022352A">
        <w:t xml:space="preserve"> should focus on increasing the DSP recipient’s work capacity and engagement with </w:t>
      </w:r>
      <w:r w:rsidR="00C863F9">
        <w:t>NEST Trial</w:t>
      </w:r>
      <w:r w:rsidR="00140F25">
        <w:t xml:space="preserve"> </w:t>
      </w:r>
      <w:r w:rsidR="00BB6C05">
        <w:t>Provider</w:t>
      </w:r>
      <w:r w:rsidR="004F4428">
        <w:t xml:space="preserve"> </w:t>
      </w:r>
      <w:r w:rsidR="00D21549">
        <w:t>S</w:t>
      </w:r>
      <w:r w:rsidR="00140F25">
        <w:t>ervices</w:t>
      </w:r>
      <w:r w:rsidRPr="0022352A">
        <w:t xml:space="preserve"> to assist them to prepare for, find, and maintain employment with the overall aim of decreasing their reliance on Income Support Payments.</w:t>
      </w:r>
    </w:p>
    <w:p w14:paraId="72393786" w14:textId="77777777" w:rsidR="00837E53" w:rsidRDefault="00837E53" w:rsidP="005D72CD">
      <w:pPr>
        <w:tabs>
          <w:tab w:val="right" w:pos="1701"/>
        </w:tabs>
        <w:rPr>
          <w:color w:val="385623" w:themeColor="accent6" w:themeShade="80"/>
        </w:rPr>
      </w:pPr>
    </w:p>
    <w:p w14:paraId="1813FF53" w14:textId="77777777" w:rsidR="002E6FDB" w:rsidRDefault="002E6FDB" w:rsidP="005D72CD">
      <w:pPr>
        <w:tabs>
          <w:tab w:val="right" w:pos="1701"/>
        </w:tabs>
        <w:sectPr w:rsidR="002E6FDB" w:rsidSect="000613A1">
          <w:headerReference w:type="default" r:id="rId12"/>
          <w:footerReference w:type="default" r:id="rId13"/>
          <w:headerReference w:type="first" r:id="rId14"/>
          <w:footerReference w:type="first" r:id="rId15"/>
          <w:pgSz w:w="11906" w:h="16838"/>
          <w:pgMar w:top="426" w:right="1440" w:bottom="1440" w:left="1440" w:header="0" w:footer="708" w:gutter="0"/>
          <w:cols w:space="708"/>
          <w:titlePg/>
          <w:docGrid w:linePitch="360"/>
        </w:sectPr>
      </w:pPr>
    </w:p>
    <w:p w14:paraId="5236DF81" w14:textId="042DE69F" w:rsidR="008A194F" w:rsidRPr="005D72CD" w:rsidRDefault="008A194F" w:rsidP="00D911DD">
      <w:pPr>
        <w:rPr>
          <w:color w:val="385623" w:themeColor="accent6" w:themeShade="80"/>
        </w:rPr>
      </w:pPr>
      <w:r w:rsidRPr="0027592B">
        <w:rPr>
          <w:color w:val="767171" w:themeColor="background2" w:themeShade="80"/>
        </w:rPr>
        <w:t>Version</w:t>
      </w:r>
      <w:r w:rsidR="004B7969" w:rsidRPr="0027592B">
        <w:rPr>
          <w:color w:val="767171" w:themeColor="background2" w:themeShade="80"/>
        </w:rPr>
        <w:t>:</w:t>
      </w:r>
      <w:r w:rsidR="00837E53">
        <w:rPr>
          <w:color w:val="767171" w:themeColor="background2" w:themeShade="80"/>
        </w:rPr>
        <w:t xml:space="preserve"> </w:t>
      </w:r>
      <w:r w:rsidR="004F4428">
        <w:t>1.0</w:t>
      </w:r>
    </w:p>
    <w:p w14:paraId="1E29353A" w14:textId="77777777" w:rsidR="00837E53" w:rsidRDefault="00837E53" w:rsidP="00D911DD"/>
    <w:p w14:paraId="2DEBB1FC" w14:textId="46A754FC" w:rsidR="008A194F" w:rsidRDefault="00D911DD" w:rsidP="00D911DD">
      <w:r>
        <w:rPr>
          <w:color w:val="767171" w:themeColor="background2" w:themeShade="80"/>
        </w:rPr>
        <w:br w:type="column"/>
      </w:r>
      <w:r w:rsidR="008A194F" w:rsidRPr="0027592B">
        <w:rPr>
          <w:color w:val="767171" w:themeColor="background2" w:themeShade="80"/>
        </w:rPr>
        <w:t>Published</w:t>
      </w:r>
      <w:r w:rsidR="00E12AFD" w:rsidRPr="0027592B">
        <w:rPr>
          <w:color w:val="767171" w:themeColor="background2" w:themeShade="80"/>
        </w:rPr>
        <w:t xml:space="preserve"> on</w:t>
      </w:r>
      <w:r w:rsidR="004B7969" w:rsidRPr="0027592B">
        <w:rPr>
          <w:color w:val="767171" w:themeColor="background2" w:themeShade="80"/>
        </w:rPr>
        <w:t>:</w:t>
      </w:r>
      <w:r w:rsidR="00837E53">
        <w:t xml:space="preserve"> </w:t>
      </w:r>
      <w:r w:rsidR="002C3BB6">
        <w:t>14</w:t>
      </w:r>
      <w:r w:rsidR="00E85283">
        <w:t xml:space="preserve"> November 2019</w:t>
      </w:r>
    </w:p>
    <w:p w14:paraId="4617E810" w14:textId="783906A3" w:rsidR="00837E53" w:rsidRPr="002E6FDB" w:rsidRDefault="008A194F">
      <w:pPr>
        <w:rPr>
          <w:color w:val="385623" w:themeColor="accent6" w:themeShade="80"/>
        </w:rPr>
        <w:sectPr w:rsidR="00837E53" w:rsidRPr="002E6FDB" w:rsidSect="00D36EEA">
          <w:type w:val="continuous"/>
          <w:pgSz w:w="11906" w:h="16838"/>
          <w:pgMar w:top="120" w:right="1440" w:bottom="1440" w:left="1440" w:header="142" w:footer="708" w:gutter="0"/>
          <w:cols w:num="2" w:space="708"/>
          <w:titlePg/>
          <w:docGrid w:linePitch="360"/>
        </w:sectPr>
      </w:pPr>
      <w:r w:rsidRPr="0027592B">
        <w:rPr>
          <w:color w:val="767171" w:themeColor="background2" w:themeShade="80"/>
        </w:rPr>
        <w:t>Effective</w:t>
      </w:r>
      <w:r w:rsidR="00E12AFD" w:rsidRPr="0027592B">
        <w:rPr>
          <w:color w:val="767171" w:themeColor="background2" w:themeShade="80"/>
        </w:rPr>
        <w:t xml:space="preserve"> from</w:t>
      </w:r>
      <w:r w:rsidR="004B7969" w:rsidRPr="00FD231E">
        <w:rPr>
          <w:color w:val="767171" w:themeColor="background2" w:themeShade="80"/>
        </w:rPr>
        <w:t>:</w:t>
      </w:r>
      <w:r w:rsidR="00837E53" w:rsidRPr="00FD231E">
        <w:t xml:space="preserve"> </w:t>
      </w:r>
      <w:r w:rsidR="00E85283">
        <w:t>4 November</w:t>
      </w:r>
      <w:r w:rsidR="00C863F9">
        <w:t>2019</w:t>
      </w:r>
      <w:r w:rsidR="005D72CD" w:rsidRPr="009364B6">
        <w:rPr>
          <w:highlight w:val="yellow"/>
        </w:rPr>
        <w:t xml:space="preserve"> </w:t>
      </w:r>
    </w:p>
    <w:p w14:paraId="3DA79832" w14:textId="77777777" w:rsidR="004B7969" w:rsidRPr="0027592B" w:rsidRDefault="004B7969" w:rsidP="009A4DF9">
      <w:pPr>
        <w:pStyle w:val="guidelinedocinfo"/>
        <w:outlineLvl w:val="9"/>
      </w:pPr>
      <w:bookmarkStart w:id="0" w:name="_Toc476559650"/>
      <w:bookmarkStart w:id="1" w:name="_Toc476749495"/>
      <w:bookmarkStart w:id="2" w:name="_Toc476752810"/>
      <w:bookmarkStart w:id="3" w:name="_Toc476753687"/>
      <w:bookmarkStart w:id="4" w:name="_Toc476754183"/>
      <w:r w:rsidRPr="0027592B">
        <w:t>Related documents and references</w:t>
      </w:r>
      <w:bookmarkEnd w:id="0"/>
      <w:bookmarkEnd w:id="1"/>
      <w:bookmarkEnd w:id="2"/>
      <w:bookmarkEnd w:id="3"/>
      <w:bookmarkEnd w:id="4"/>
    </w:p>
    <w:p w14:paraId="61867939" w14:textId="77777777" w:rsidR="00F46AEF" w:rsidRDefault="00F46AEF" w:rsidP="00D911DD">
      <w:pPr>
        <w:pStyle w:val="guidelinechanges"/>
        <w:sectPr w:rsidR="00F46AEF" w:rsidSect="00D36EEA">
          <w:type w:val="continuous"/>
          <w:pgSz w:w="11906" w:h="16838"/>
          <w:pgMar w:top="120" w:right="1440" w:bottom="1440" w:left="1440" w:header="142" w:footer="708" w:gutter="0"/>
          <w:cols w:space="708"/>
          <w:titlePg/>
          <w:docGrid w:linePitch="360"/>
        </w:sectPr>
      </w:pPr>
    </w:p>
    <w:p w14:paraId="42ED9BE6" w14:textId="71E7AC57" w:rsidR="001E6206" w:rsidRPr="00623EC9" w:rsidRDefault="00F151BF" w:rsidP="001E6206">
      <w:pPr>
        <w:pStyle w:val="guidelinechanges"/>
      </w:pPr>
      <w:r w:rsidRPr="00623EC9">
        <w:t>Assessments Guideline - Job Seeker Classification Instrument (JSCI) and Employment Services Assessments (ESAts)</w:t>
      </w:r>
    </w:p>
    <w:p w14:paraId="3082960E" w14:textId="37924714" w:rsidR="001E6206" w:rsidRPr="00623EC9" w:rsidRDefault="001E6206" w:rsidP="001E6206">
      <w:pPr>
        <w:pStyle w:val="guidelinechanges"/>
      </w:pPr>
      <w:r w:rsidRPr="00623EC9">
        <w:t xml:space="preserve">Eligibility, Referral and Commencement Guideline </w:t>
      </w:r>
    </w:p>
    <w:p w14:paraId="7E250996" w14:textId="63CEF511" w:rsidR="001E6206" w:rsidRPr="00623EC9" w:rsidRDefault="003545A1" w:rsidP="001E6206">
      <w:pPr>
        <w:pStyle w:val="guidelinechanges"/>
      </w:pPr>
      <w:r w:rsidRPr="00623EC9">
        <w:t>Employment Fund Wage Subsidies Guideline</w:t>
      </w:r>
      <w:r w:rsidR="001370E0" w:rsidRPr="007F387D">
        <w:br/>
      </w:r>
      <w:r w:rsidR="00202FB1" w:rsidRPr="00623EC9">
        <w:t>Targeted Compliance Framework Guideline</w:t>
      </w:r>
      <w:r w:rsidR="00202FB1" w:rsidRPr="007F387D">
        <w:t xml:space="preserve"> </w:t>
      </w:r>
      <w:bookmarkStart w:id="5" w:name="_GoBack"/>
      <w:bookmarkEnd w:id="5"/>
      <w:r w:rsidR="00202FB1" w:rsidRPr="007F387D">
        <w:br/>
      </w:r>
      <w:r w:rsidR="001370E0" w:rsidRPr="00623EC9">
        <w:t>Job Plan and Setting Mutual Obligation Requirements Guidelines</w:t>
      </w:r>
    </w:p>
    <w:p w14:paraId="6DEDCB3B" w14:textId="2C1348ED" w:rsidR="001E6206" w:rsidRPr="00623EC9" w:rsidRDefault="001E6206" w:rsidP="001E6206">
      <w:pPr>
        <w:pStyle w:val="guidelinechanges"/>
      </w:pPr>
      <w:r w:rsidRPr="00623EC9">
        <w:t>Period of Service, Suspensions and Exits Guideline</w:t>
      </w:r>
    </w:p>
    <w:p w14:paraId="569A8D7E" w14:textId="21472A52" w:rsidR="001E6206" w:rsidRPr="00623EC9" w:rsidRDefault="001E6206" w:rsidP="001E6206">
      <w:pPr>
        <w:pStyle w:val="guidelinechanges"/>
      </w:pPr>
      <w:r w:rsidRPr="00623EC9">
        <w:t>Privacy Guideline</w:t>
      </w:r>
    </w:p>
    <w:p w14:paraId="02330CBE" w14:textId="609ECE9B" w:rsidR="001E6206" w:rsidRPr="00623EC9" w:rsidRDefault="00A36925" w:rsidP="001E6206">
      <w:pPr>
        <w:pStyle w:val="guidelinechanges"/>
      </w:pPr>
      <w:r w:rsidRPr="00623EC9">
        <w:t xml:space="preserve">Servicing </w:t>
      </w:r>
      <w:r w:rsidR="00C56330" w:rsidRPr="00623EC9">
        <w:t>Participants</w:t>
      </w:r>
      <w:r w:rsidRPr="00623EC9">
        <w:t xml:space="preserve"> with Challenging Behaviours Guideline</w:t>
      </w:r>
    </w:p>
    <w:p w14:paraId="7B7C9310" w14:textId="45BC9981" w:rsidR="00080ECD" w:rsidRPr="00623EC9" w:rsidRDefault="006F7040" w:rsidP="001E6206">
      <w:pPr>
        <w:pStyle w:val="guidelinechanges"/>
      </w:pPr>
      <w:r w:rsidRPr="00623EC9">
        <w:t xml:space="preserve">Enhanced Services </w:t>
      </w:r>
      <w:r w:rsidR="00BB6C05" w:rsidRPr="00623EC9">
        <w:t>Provider</w:t>
      </w:r>
      <w:r w:rsidRPr="00623EC9">
        <w:t xml:space="preserve"> Payments </w:t>
      </w:r>
      <w:r w:rsidR="001E6206" w:rsidRPr="00623EC9">
        <w:t>Guideline</w:t>
      </w:r>
    </w:p>
    <w:p w14:paraId="7522B5F0" w14:textId="77777777" w:rsidR="00080ECD" w:rsidRPr="00623EC9" w:rsidRDefault="00080ECD">
      <w:pPr>
        <w:rPr>
          <w:rStyle w:val="Hyperlink"/>
          <w:sz w:val="20"/>
        </w:rPr>
      </w:pPr>
      <w:r w:rsidRPr="00623EC9">
        <w:rPr>
          <w:rStyle w:val="Hyperlink"/>
        </w:rPr>
        <w:br w:type="page"/>
      </w:r>
    </w:p>
    <w:p w14:paraId="4FAAA2F6" w14:textId="77777777" w:rsidR="001E6206" w:rsidRPr="00623EC9" w:rsidRDefault="001E6206" w:rsidP="001E6206">
      <w:pPr>
        <w:pStyle w:val="guidelinechanges"/>
        <w:rPr>
          <w:rStyle w:val="Hyperlink"/>
        </w:rPr>
      </w:pPr>
    </w:p>
    <w:p w14:paraId="603A8B0F" w14:textId="4B097AE6" w:rsidR="00B24DBC" w:rsidRDefault="00B24DBC">
      <w:pPr>
        <w:rPr>
          <w:rStyle w:val="Hyperlink"/>
          <w:sz w:val="20"/>
        </w:rPr>
        <w:sectPr w:rsidR="00B24DBC" w:rsidSect="00B24DBC">
          <w:headerReference w:type="even" r:id="rId16"/>
          <w:headerReference w:type="default" r:id="rId17"/>
          <w:footerReference w:type="default" r:id="rId18"/>
          <w:headerReference w:type="first" r:id="rId19"/>
          <w:type w:val="continuous"/>
          <w:pgSz w:w="11906" w:h="16838"/>
          <w:pgMar w:top="120" w:right="1440" w:bottom="1440" w:left="1440" w:header="142" w:footer="708" w:gutter="0"/>
          <w:cols w:num="2" w:space="708"/>
          <w:titlePg/>
          <w:docGrid w:linePitch="360"/>
        </w:sectPr>
      </w:pPr>
    </w:p>
    <w:sdt>
      <w:sdtPr>
        <w:rPr>
          <w:b w:val="0"/>
          <w:bCs w:val="0"/>
          <w:i w:val="0"/>
          <w:iCs w:val="0"/>
          <w:sz w:val="22"/>
          <w:szCs w:val="22"/>
        </w:rPr>
        <w:id w:val="503332439"/>
        <w:docPartObj>
          <w:docPartGallery w:val="Table of Contents"/>
          <w:docPartUnique/>
        </w:docPartObj>
      </w:sdtPr>
      <w:sdtEndPr>
        <w:rPr>
          <w:rFonts w:cstheme="minorHAnsi"/>
          <w:bCs/>
          <w:iCs/>
          <w:noProof/>
        </w:rPr>
      </w:sdtEndPr>
      <w:sdtContent>
        <w:p w14:paraId="40F5BA88" w14:textId="77777777" w:rsidR="00080ECD" w:rsidRPr="00F451F7" w:rsidRDefault="00733501">
          <w:pPr>
            <w:pStyle w:val="TOC1"/>
            <w:rPr>
              <w:i w:val="0"/>
              <w:color w:val="5B9BD5" w:themeColor="accent1"/>
              <w:sz w:val="22"/>
              <w:szCs w:val="22"/>
            </w:rPr>
          </w:pPr>
          <w:r w:rsidRPr="00F451F7">
            <w:rPr>
              <w:i w:val="0"/>
              <w:color w:val="5B9BD5" w:themeColor="accent1"/>
              <w:sz w:val="22"/>
              <w:szCs w:val="22"/>
            </w:rPr>
            <w:t>Contents</w:t>
          </w:r>
        </w:p>
        <w:p w14:paraId="60D7098E" w14:textId="463A70E2" w:rsidR="008D27D5" w:rsidRPr="00116316" w:rsidRDefault="008D27D5">
          <w:pPr>
            <w:pStyle w:val="TOC1"/>
            <w:tabs>
              <w:tab w:val="left" w:pos="720"/>
              <w:tab w:val="right" w:pos="9016"/>
            </w:tabs>
            <w:rPr>
              <w:rFonts w:eastAsiaTheme="minorEastAsia"/>
              <w:b w:val="0"/>
              <w:bCs w:val="0"/>
              <w:i w:val="0"/>
              <w:iCs w:val="0"/>
              <w:noProof/>
              <w:sz w:val="22"/>
              <w:szCs w:val="22"/>
              <w:lang w:eastAsia="en-AU"/>
            </w:rPr>
          </w:pPr>
          <w:r w:rsidRPr="00116316">
            <w:rPr>
              <w:b w:val="0"/>
              <w:i w:val="0"/>
              <w:noProof/>
              <w:sz w:val="22"/>
              <w:szCs w:val="22"/>
            </w:rPr>
            <w:t>1.</w:t>
          </w:r>
          <w:r w:rsidRPr="00116316">
            <w:rPr>
              <w:rFonts w:eastAsiaTheme="minorEastAsia"/>
              <w:b w:val="0"/>
              <w:bCs w:val="0"/>
              <w:i w:val="0"/>
              <w:iCs w:val="0"/>
              <w:noProof/>
              <w:sz w:val="22"/>
              <w:szCs w:val="22"/>
              <w:lang w:eastAsia="en-AU"/>
            </w:rPr>
            <w:tab/>
          </w:r>
          <w:r w:rsidRPr="00116316">
            <w:rPr>
              <w:b w:val="0"/>
              <w:i w:val="0"/>
              <w:noProof/>
              <w:sz w:val="22"/>
              <w:szCs w:val="22"/>
            </w:rPr>
            <w:t>Services Australia Registers and Refers DSP Recipients to NEST Trial Provider Services</w:t>
          </w:r>
          <w:r w:rsidRPr="00116316">
            <w:rPr>
              <w:b w:val="0"/>
              <w:i w:val="0"/>
              <w:noProof/>
              <w:sz w:val="22"/>
              <w:szCs w:val="22"/>
            </w:rPr>
            <w:tab/>
          </w:r>
          <w:r w:rsidR="00B445C3">
            <w:rPr>
              <w:b w:val="0"/>
              <w:i w:val="0"/>
              <w:noProof/>
              <w:sz w:val="22"/>
              <w:szCs w:val="22"/>
            </w:rPr>
            <w:t>3</w:t>
          </w:r>
        </w:p>
        <w:p w14:paraId="3496896B" w14:textId="1FFC51DE" w:rsidR="008D27D5" w:rsidRPr="00116316" w:rsidRDefault="008D27D5">
          <w:pPr>
            <w:pStyle w:val="TOC2"/>
            <w:rPr>
              <w:rFonts w:eastAsiaTheme="minorEastAsia"/>
              <w:b w:val="0"/>
              <w:bCs w:val="0"/>
              <w:noProof/>
              <w:lang w:eastAsia="en-AU"/>
            </w:rPr>
          </w:pPr>
          <w:r w:rsidRPr="00116316">
            <w:rPr>
              <w:b w:val="0"/>
              <w:noProof/>
            </w:rPr>
            <w:t>Services Australia refers DSP recipients with compulsory requirements</w:t>
          </w:r>
          <w:r w:rsidRPr="00116316">
            <w:rPr>
              <w:b w:val="0"/>
              <w:noProof/>
            </w:rPr>
            <w:tab/>
          </w:r>
          <w:r w:rsidR="00B445C3">
            <w:rPr>
              <w:b w:val="0"/>
              <w:noProof/>
            </w:rPr>
            <w:t>3</w:t>
          </w:r>
        </w:p>
        <w:p w14:paraId="0E2298E1" w14:textId="5341174C" w:rsidR="008D27D5" w:rsidRPr="00116316" w:rsidRDefault="008D27D5">
          <w:pPr>
            <w:pStyle w:val="TOC2"/>
            <w:rPr>
              <w:rFonts w:eastAsiaTheme="minorEastAsia"/>
              <w:b w:val="0"/>
              <w:bCs w:val="0"/>
              <w:noProof/>
              <w:lang w:eastAsia="en-AU"/>
            </w:rPr>
          </w:pPr>
          <w:r w:rsidRPr="00116316">
            <w:rPr>
              <w:b w:val="0"/>
              <w:noProof/>
            </w:rPr>
            <w:t>Can DSP Recipients without compulsory requirements receive NEST Trial Provider services?</w:t>
          </w:r>
          <w:r w:rsidRPr="00116316">
            <w:rPr>
              <w:b w:val="0"/>
              <w:noProof/>
            </w:rPr>
            <w:tab/>
          </w:r>
          <w:r w:rsidR="00B445C3">
            <w:rPr>
              <w:b w:val="0"/>
              <w:noProof/>
            </w:rPr>
            <w:t>3</w:t>
          </w:r>
        </w:p>
        <w:p w14:paraId="604F9C65" w14:textId="616F09D5" w:rsidR="008D27D5" w:rsidRPr="00116316" w:rsidRDefault="008D27D5">
          <w:pPr>
            <w:pStyle w:val="TOC1"/>
            <w:tabs>
              <w:tab w:val="left" w:pos="720"/>
              <w:tab w:val="right" w:pos="9016"/>
            </w:tabs>
            <w:rPr>
              <w:rFonts w:eastAsiaTheme="minorEastAsia"/>
              <w:b w:val="0"/>
              <w:bCs w:val="0"/>
              <w:i w:val="0"/>
              <w:iCs w:val="0"/>
              <w:noProof/>
              <w:sz w:val="22"/>
              <w:szCs w:val="22"/>
              <w:lang w:eastAsia="en-AU"/>
            </w:rPr>
          </w:pPr>
          <w:r w:rsidRPr="00116316">
            <w:rPr>
              <w:b w:val="0"/>
              <w:i w:val="0"/>
              <w:noProof/>
              <w:sz w:val="22"/>
              <w:szCs w:val="22"/>
            </w:rPr>
            <w:t>2.</w:t>
          </w:r>
          <w:r w:rsidRPr="00116316">
            <w:rPr>
              <w:rFonts w:eastAsiaTheme="minorEastAsia"/>
              <w:b w:val="0"/>
              <w:bCs w:val="0"/>
              <w:i w:val="0"/>
              <w:iCs w:val="0"/>
              <w:noProof/>
              <w:sz w:val="22"/>
              <w:szCs w:val="22"/>
              <w:lang w:eastAsia="en-AU"/>
            </w:rPr>
            <w:tab/>
          </w:r>
          <w:r w:rsidRPr="00116316">
            <w:rPr>
              <w:b w:val="0"/>
              <w:i w:val="0"/>
              <w:noProof/>
              <w:sz w:val="22"/>
              <w:szCs w:val="22"/>
            </w:rPr>
            <w:t>Role of the NEST Provider</w:t>
          </w:r>
          <w:r w:rsidRPr="00116316">
            <w:rPr>
              <w:b w:val="0"/>
              <w:i w:val="0"/>
              <w:noProof/>
              <w:sz w:val="22"/>
              <w:szCs w:val="22"/>
            </w:rPr>
            <w:tab/>
          </w:r>
          <w:r w:rsidR="00B445C3">
            <w:rPr>
              <w:b w:val="0"/>
              <w:i w:val="0"/>
              <w:noProof/>
              <w:sz w:val="22"/>
              <w:szCs w:val="22"/>
            </w:rPr>
            <w:t>3</w:t>
          </w:r>
        </w:p>
        <w:p w14:paraId="692FB26B" w14:textId="69C2603D" w:rsidR="008D27D5" w:rsidRPr="00116316" w:rsidRDefault="008D27D5">
          <w:pPr>
            <w:pStyle w:val="TOC2"/>
            <w:rPr>
              <w:rFonts w:eastAsiaTheme="minorEastAsia"/>
              <w:b w:val="0"/>
              <w:bCs w:val="0"/>
              <w:noProof/>
              <w:lang w:eastAsia="en-AU"/>
            </w:rPr>
          </w:pPr>
          <w:r w:rsidRPr="00116316">
            <w:rPr>
              <w:b w:val="0"/>
              <w:noProof/>
            </w:rPr>
            <w:t>Conducting the Initial Interview</w:t>
          </w:r>
          <w:r w:rsidRPr="00116316">
            <w:rPr>
              <w:b w:val="0"/>
              <w:noProof/>
            </w:rPr>
            <w:tab/>
          </w:r>
          <w:r w:rsidR="00B445C3">
            <w:rPr>
              <w:b w:val="0"/>
              <w:noProof/>
            </w:rPr>
            <w:t>4</w:t>
          </w:r>
        </w:p>
        <w:p w14:paraId="65DCAA01" w14:textId="629769F6" w:rsidR="008D27D5" w:rsidRPr="00116316" w:rsidRDefault="008D27D5">
          <w:pPr>
            <w:pStyle w:val="TOC2"/>
            <w:rPr>
              <w:rFonts w:eastAsiaTheme="minorEastAsia"/>
              <w:b w:val="0"/>
              <w:bCs w:val="0"/>
              <w:noProof/>
              <w:lang w:eastAsia="en-AU"/>
            </w:rPr>
          </w:pPr>
          <w:r w:rsidRPr="00116316">
            <w:rPr>
              <w:b w:val="0"/>
              <w:noProof/>
            </w:rPr>
            <w:t>Commencement</w:t>
          </w:r>
          <w:r w:rsidRPr="00116316">
            <w:rPr>
              <w:b w:val="0"/>
              <w:noProof/>
            </w:rPr>
            <w:tab/>
          </w:r>
          <w:r w:rsidR="00B445C3">
            <w:rPr>
              <w:b w:val="0"/>
              <w:noProof/>
            </w:rPr>
            <w:t>4</w:t>
          </w:r>
        </w:p>
        <w:p w14:paraId="5D72E139" w14:textId="62CFE9B7" w:rsidR="008D27D5" w:rsidRPr="00116316" w:rsidRDefault="008D27D5">
          <w:pPr>
            <w:pStyle w:val="TOC1"/>
            <w:tabs>
              <w:tab w:val="left" w:pos="720"/>
              <w:tab w:val="right" w:pos="9016"/>
            </w:tabs>
            <w:rPr>
              <w:rFonts w:eastAsiaTheme="minorEastAsia"/>
              <w:b w:val="0"/>
              <w:bCs w:val="0"/>
              <w:i w:val="0"/>
              <w:iCs w:val="0"/>
              <w:noProof/>
              <w:sz w:val="22"/>
              <w:szCs w:val="22"/>
              <w:lang w:eastAsia="en-AU"/>
            </w:rPr>
          </w:pPr>
          <w:r w:rsidRPr="00116316">
            <w:rPr>
              <w:b w:val="0"/>
              <w:i w:val="0"/>
              <w:noProof/>
              <w:sz w:val="22"/>
              <w:szCs w:val="22"/>
            </w:rPr>
            <w:t>3.</w:t>
          </w:r>
          <w:r w:rsidRPr="00116316">
            <w:rPr>
              <w:rFonts w:eastAsiaTheme="minorEastAsia"/>
              <w:b w:val="0"/>
              <w:bCs w:val="0"/>
              <w:i w:val="0"/>
              <w:iCs w:val="0"/>
              <w:noProof/>
              <w:sz w:val="22"/>
              <w:szCs w:val="22"/>
              <w:lang w:eastAsia="en-AU"/>
            </w:rPr>
            <w:tab/>
          </w:r>
          <w:r w:rsidRPr="00116316">
            <w:rPr>
              <w:b w:val="0"/>
              <w:i w:val="0"/>
              <w:noProof/>
              <w:sz w:val="22"/>
              <w:szCs w:val="22"/>
            </w:rPr>
            <w:t>Ongoing Servicing</w:t>
          </w:r>
          <w:r w:rsidRPr="00116316">
            <w:rPr>
              <w:b w:val="0"/>
              <w:i w:val="0"/>
              <w:noProof/>
              <w:sz w:val="22"/>
              <w:szCs w:val="22"/>
            </w:rPr>
            <w:tab/>
          </w:r>
          <w:r w:rsidR="00B445C3">
            <w:rPr>
              <w:b w:val="0"/>
              <w:i w:val="0"/>
              <w:noProof/>
              <w:sz w:val="22"/>
              <w:szCs w:val="22"/>
            </w:rPr>
            <w:t>4</w:t>
          </w:r>
        </w:p>
        <w:p w14:paraId="1B372106" w14:textId="6955F467" w:rsidR="008D27D5" w:rsidRPr="00116316" w:rsidRDefault="008D27D5">
          <w:pPr>
            <w:pStyle w:val="TOC2"/>
            <w:rPr>
              <w:rFonts w:eastAsiaTheme="minorEastAsia"/>
              <w:b w:val="0"/>
              <w:bCs w:val="0"/>
              <w:noProof/>
              <w:lang w:eastAsia="en-AU"/>
            </w:rPr>
          </w:pPr>
          <w:r w:rsidRPr="00116316">
            <w:rPr>
              <w:b w:val="0"/>
              <w:noProof/>
            </w:rPr>
            <w:t>DSP recipients with Compulsory Requirements</w:t>
          </w:r>
          <w:r w:rsidRPr="00116316">
            <w:rPr>
              <w:b w:val="0"/>
              <w:noProof/>
            </w:rPr>
            <w:tab/>
          </w:r>
          <w:r w:rsidR="00B445C3">
            <w:rPr>
              <w:b w:val="0"/>
              <w:noProof/>
            </w:rPr>
            <w:t>4</w:t>
          </w:r>
        </w:p>
        <w:p w14:paraId="2CFAAA70" w14:textId="03DC9092" w:rsidR="008D27D5" w:rsidRPr="00116316" w:rsidRDefault="008D27D5">
          <w:pPr>
            <w:pStyle w:val="TOC2"/>
            <w:rPr>
              <w:rFonts w:eastAsiaTheme="minorEastAsia"/>
              <w:b w:val="0"/>
              <w:bCs w:val="0"/>
              <w:noProof/>
              <w:lang w:eastAsia="en-AU"/>
            </w:rPr>
          </w:pPr>
          <w:r w:rsidRPr="00116316">
            <w:rPr>
              <w:b w:val="0"/>
              <w:noProof/>
            </w:rPr>
            <w:t>DSP recipients with compulsory requirements are not required to undertake Work for the Dole</w:t>
          </w:r>
          <w:r w:rsidRPr="00116316">
            <w:rPr>
              <w:b w:val="0"/>
              <w:noProof/>
            </w:rPr>
            <w:tab/>
          </w:r>
          <w:r w:rsidR="00B445C3">
            <w:rPr>
              <w:b w:val="0"/>
              <w:noProof/>
            </w:rPr>
            <w:t>6</w:t>
          </w:r>
        </w:p>
        <w:p w14:paraId="27695A90" w14:textId="7446524F" w:rsidR="008D27D5" w:rsidRPr="00116316" w:rsidRDefault="008D27D5">
          <w:pPr>
            <w:pStyle w:val="TOC2"/>
            <w:rPr>
              <w:rFonts w:eastAsiaTheme="minorEastAsia"/>
              <w:b w:val="0"/>
              <w:bCs w:val="0"/>
              <w:noProof/>
              <w:lang w:eastAsia="en-AU"/>
            </w:rPr>
          </w:pPr>
          <w:r w:rsidRPr="00116316">
            <w:rPr>
              <w:b w:val="0"/>
              <w:noProof/>
            </w:rPr>
            <w:t>Eligibility for complementary programs</w:t>
          </w:r>
          <w:r w:rsidRPr="00116316">
            <w:rPr>
              <w:b w:val="0"/>
              <w:noProof/>
            </w:rPr>
            <w:tab/>
          </w:r>
          <w:r w:rsidR="00B445C3">
            <w:rPr>
              <w:b w:val="0"/>
              <w:noProof/>
            </w:rPr>
            <w:t>6</w:t>
          </w:r>
        </w:p>
        <w:p w14:paraId="0FC411EB" w14:textId="5C464FC0" w:rsidR="008D27D5" w:rsidRPr="00116316" w:rsidRDefault="008D27D5">
          <w:pPr>
            <w:pStyle w:val="TOC1"/>
            <w:tabs>
              <w:tab w:val="left" w:pos="720"/>
              <w:tab w:val="right" w:pos="9016"/>
            </w:tabs>
            <w:rPr>
              <w:rFonts w:eastAsiaTheme="minorEastAsia"/>
              <w:b w:val="0"/>
              <w:bCs w:val="0"/>
              <w:i w:val="0"/>
              <w:iCs w:val="0"/>
              <w:noProof/>
              <w:sz w:val="22"/>
              <w:szCs w:val="22"/>
              <w:lang w:eastAsia="en-AU"/>
            </w:rPr>
          </w:pPr>
          <w:r w:rsidRPr="00116316">
            <w:rPr>
              <w:b w:val="0"/>
              <w:i w:val="0"/>
              <w:noProof/>
              <w:sz w:val="22"/>
              <w:szCs w:val="22"/>
            </w:rPr>
            <w:t>4.</w:t>
          </w:r>
          <w:r w:rsidRPr="00116316">
            <w:rPr>
              <w:rFonts w:eastAsiaTheme="minorEastAsia"/>
              <w:b w:val="0"/>
              <w:bCs w:val="0"/>
              <w:i w:val="0"/>
              <w:iCs w:val="0"/>
              <w:noProof/>
              <w:sz w:val="22"/>
              <w:szCs w:val="22"/>
              <w:lang w:eastAsia="en-AU"/>
            </w:rPr>
            <w:tab/>
          </w:r>
          <w:r w:rsidRPr="00116316">
            <w:rPr>
              <w:b w:val="0"/>
              <w:i w:val="0"/>
              <w:noProof/>
              <w:sz w:val="22"/>
              <w:szCs w:val="22"/>
            </w:rPr>
            <w:t>Non-attendance</w:t>
          </w:r>
          <w:r w:rsidRPr="00116316">
            <w:rPr>
              <w:b w:val="0"/>
              <w:i w:val="0"/>
              <w:noProof/>
              <w:sz w:val="22"/>
              <w:szCs w:val="22"/>
            </w:rPr>
            <w:tab/>
          </w:r>
          <w:r w:rsidR="00B445C3">
            <w:rPr>
              <w:b w:val="0"/>
              <w:i w:val="0"/>
              <w:noProof/>
              <w:sz w:val="22"/>
              <w:szCs w:val="22"/>
            </w:rPr>
            <w:t>6</w:t>
          </w:r>
        </w:p>
        <w:p w14:paraId="6FF02269" w14:textId="7E00F903" w:rsidR="008D27D5" w:rsidRPr="00116316" w:rsidRDefault="008D27D5">
          <w:pPr>
            <w:pStyle w:val="TOC2"/>
            <w:rPr>
              <w:rFonts w:eastAsiaTheme="minorEastAsia"/>
              <w:b w:val="0"/>
              <w:bCs w:val="0"/>
              <w:noProof/>
              <w:lang w:eastAsia="en-AU"/>
            </w:rPr>
          </w:pPr>
          <w:r w:rsidRPr="00116316">
            <w:rPr>
              <w:b w:val="0"/>
              <w:noProof/>
            </w:rPr>
            <w:t>Appointments</w:t>
          </w:r>
          <w:r w:rsidRPr="00116316">
            <w:rPr>
              <w:b w:val="0"/>
              <w:noProof/>
            </w:rPr>
            <w:tab/>
          </w:r>
          <w:r w:rsidR="00B445C3">
            <w:rPr>
              <w:b w:val="0"/>
              <w:noProof/>
            </w:rPr>
            <w:t>6</w:t>
          </w:r>
        </w:p>
        <w:p w14:paraId="6A64FF44" w14:textId="6A025801" w:rsidR="008D27D5" w:rsidRPr="00116316" w:rsidRDefault="008D27D5">
          <w:pPr>
            <w:pStyle w:val="TOC2"/>
            <w:rPr>
              <w:rFonts w:eastAsiaTheme="minorEastAsia"/>
              <w:b w:val="0"/>
              <w:bCs w:val="0"/>
              <w:noProof/>
              <w:lang w:eastAsia="en-AU"/>
            </w:rPr>
          </w:pPr>
          <w:r w:rsidRPr="00116316">
            <w:rPr>
              <w:b w:val="0"/>
              <w:noProof/>
            </w:rPr>
            <w:t>Activities</w:t>
          </w:r>
          <w:r w:rsidRPr="00116316">
            <w:rPr>
              <w:b w:val="0"/>
              <w:noProof/>
            </w:rPr>
            <w:tab/>
          </w:r>
          <w:r w:rsidR="00B445C3">
            <w:rPr>
              <w:b w:val="0"/>
              <w:noProof/>
            </w:rPr>
            <w:t>7</w:t>
          </w:r>
        </w:p>
        <w:p w14:paraId="3FA1CDE9" w14:textId="185CC890" w:rsidR="008D27D5" w:rsidRPr="00116316" w:rsidRDefault="008D27D5">
          <w:pPr>
            <w:pStyle w:val="TOC1"/>
            <w:tabs>
              <w:tab w:val="left" w:pos="720"/>
              <w:tab w:val="right" w:pos="9016"/>
            </w:tabs>
            <w:rPr>
              <w:rFonts w:eastAsiaTheme="minorEastAsia"/>
              <w:b w:val="0"/>
              <w:bCs w:val="0"/>
              <w:i w:val="0"/>
              <w:iCs w:val="0"/>
              <w:noProof/>
              <w:sz w:val="22"/>
              <w:szCs w:val="22"/>
              <w:lang w:eastAsia="en-AU"/>
            </w:rPr>
          </w:pPr>
          <w:r w:rsidRPr="00116316">
            <w:rPr>
              <w:b w:val="0"/>
              <w:i w:val="0"/>
              <w:noProof/>
              <w:sz w:val="22"/>
              <w:szCs w:val="22"/>
            </w:rPr>
            <w:t>5.</w:t>
          </w:r>
          <w:r w:rsidRPr="00116316">
            <w:rPr>
              <w:rFonts w:eastAsiaTheme="minorEastAsia"/>
              <w:b w:val="0"/>
              <w:bCs w:val="0"/>
              <w:i w:val="0"/>
              <w:iCs w:val="0"/>
              <w:noProof/>
              <w:sz w:val="22"/>
              <w:szCs w:val="22"/>
              <w:lang w:eastAsia="en-AU"/>
            </w:rPr>
            <w:tab/>
          </w:r>
          <w:r w:rsidRPr="00116316">
            <w:rPr>
              <w:b w:val="0"/>
              <w:i w:val="0"/>
              <w:noProof/>
              <w:sz w:val="22"/>
              <w:szCs w:val="22"/>
            </w:rPr>
            <w:t>Suspensions and Exits</w:t>
          </w:r>
          <w:r w:rsidRPr="00116316">
            <w:rPr>
              <w:b w:val="0"/>
              <w:i w:val="0"/>
              <w:noProof/>
              <w:sz w:val="22"/>
              <w:szCs w:val="22"/>
            </w:rPr>
            <w:tab/>
          </w:r>
          <w:r w:rsidR="00B445C3">
            <w:rPr>
              <w:b w:val="0"/>
              <w:i w:val="0"/>
              <w:noProof/>
              <w:sz w:val="22"/>
              <w:szCs w:val="22"/>
            </w:rPr>
            <w:t>7</w:t>
          </w:r>
        </w:p>
        <w:p w14:paraId="3D65474D" w14:textId="44F50A0B" w:rsidR="008D27D5" w:rsidRPr="00116316" w:rsidRDefault="008D27D5">
          <w:pPr>
            <w:pStyle w:val="TOC2"/>
            <w:rPr>
              <w:rFonts w:eastAsiaTheme="minorEastAsia"/>
              <w:b w:val="0"/>
              <w:bCs w:val="0"/>
              <w:noProof/>
              <w:lang w:eastAsia="en-AU"/>
            </w:rPr>
          </w:pPr>
          <w:r w:rsidRPr="00116316">
            <w:rPr>
              <w:b w:val="0"/>
              <w:noProof/>
            </w:rPr>
            <w:t>Suspensions</w:t>
          </w:r>
          <w:r w:rsidRPr="00116316">
            <w:rPr>
              <w:b w:val="0"/>
              <w:noProof/>
            </w:rPr>
            <w:tab/>
          </w:r>
          <w:r w:rsidR="00B445C3">
            <w:rPr>
              <w:b w:val="0"/>
              <w:noProof/>
            </w:rPr>
            <w:t>7</w:t>
          </w:r>
        </w:p>
        <w:p w14:paraId="716D1EC6" w14:textId="60E3A3D0" w:rsidR="008D27D5" w:rsidRPr="00116316" w:rsidRDefault="008D27D5">
          <w:pPr>
            <w:pStyle w:val="TOC2"/>
            <w:rPr>
              <w:rFonts w:eastAsiaTheme="minorEastAsia"/>
              <w:b w:val="0"/>
              <w:bCs w:val="0"/>
              <w:noProof/>
              <w:lang w:eastAsia="en-AU"/>
            </w:rPr>
          </w:pPr>
          <w:r w:rsidRPr="00116316">
            <w:rPr>
              <w:b w:val="0"/>
              <w:noProof/>
            </w:rPr>
            <w:t>Exits</w:t>
          </w:r>
          <w:r w:rsidRPr="00116316">
            <w:rPr>
              <w:b w:val="0"/>
              <w:noProof/>
            </w:rPr>
            <w:tab/>
          </w:r>
          <w:r w:rsidR="00B445C3">
            <w:rPr>
              <w:b w:val="0"/>
              <w:noProof/>
            </w:rPr>
            <w:t>8</w:t>
          </w:r>
        </w:p>
        <w:p w14:paraId="02428EEA" w14:textId="1D507E31" w:rsidR="008D27D5" w:rsidRPr="00116316" w:rsidRDefault="008D27D5">
          <w:pPr>
            <w:pStyle w:val="TOC1"/>
            <w:tabs>
              <w:tab w:val="left" w:pos="720"/>
              <w:tab w:val="right" w:pos="9016"/>
            </w:tabs>
            <w:rPr>
              <w:rFonts w:eastAsiaTheme="minorEastAsia"/>
              <w:b w:val="0"/>
              <w:bCs w:val="0"/>
              <w:i w:val="0"/>
              <w:iCs w:val="0"/>
              <w:noProof/>
              <w:sz w:val="22"/>
              <w:szCs w:val="22"/>
              <w:lang w:eastAsia="en-AU"/>
            </w:rPr>
          </w:pPr>
          <w:r w:rsidRPr="00116316">
            <w:rPr>
              <w:b w:val="0"/>
              <w:i w:val="0"/>
              <w:noProof/>
              <w:sz w:val="22"/>
              <w:szCs w:val="22"/>
            </w:rPr>
            <w:t>6.</w:t>
          </w:r>
          <w:r w:rsidRPr="00116316">
            <w:rPr>
              <w:rFonts w:eastAsiaTheme="minorEastAsia"/>
              <w:b w:val="0"/>
              <w:bCs w:val="0"/>
              <w:i w:val="0"/>
              <w:iCs w:val="0"/>
              <w:noProof/>
              <w:sz w:val="22"/>
              <w:szCs w:val="22"/>
              <w:lang w:eastAsia="en-AU"/>
            </w:rPr>
            <w:tab/>
          </w:r>
          <w:r w:rsidRPr="00116316">
            <w:rPr>
              <w:b w:val="0"/>
              <w:i w:val="0"/>
              <w:noProof/>
              <w:sz w:val="22"/>
              <w:szCs w:val="22"/>
            </w:rPr>
            <w:t>DSP recipients with compulsory requirements will attract Payments</w:t>
          </w:r>
          <w:r w:rsidRPr="00116316">
            <w:rPr>
              <w:b w:val="0"/>
              <w:i w:val="0"/>
              <w:noProof/>
              <w:sz w:val="22"/>
              <w:szCs w:val="22"/>
            </w:rPr>
            <w:tab/>
          </w:r>
          <w:r w:rsidR="00B445C3">
            <w:rPr>
              <w:b w:val="0"/>
              <w:i w:val="0"/>
              <w:noProof/>
              <w:sz w:val="22"/>
              <w:szCs w:val="22"/>
            </w:rPr>
            <w:t>8</w:t>
          </w:r>
        </w:p>
        <w:p w14:paraId="4E715995" w14:textId="169B6BDD" w:rsidR="008D27D5" w:rsidRPr="00116316" w:rsidRDefault="008D27D5">
          <w:pPr>
            <w:pStyle w:val="TOC1"/>
            <w:tabs>
              <w:tab w:val="right" w:pos="9016"/>
            </w:tabs>
            <w:rPr>
              <w:rFonts w:eastAsiaTheme="minorEastAsia"/>
              <w:b w:val="0"/>
              <w:bCs w:val="0"/>
              <w:i w:val="0"/>
              <w:iCs w:val="0"/>
              <w:noProof/>
              <w:sz w:val="22"/>
              <w:szCs w:val="22"/>
              <w:lang w:eastAsia="en-AU"/>
            </w:rPr>
          </w:pPr>
          <w:r w:rsidRPr="00116316">
            <w:rPr>
              <w:b w:val="0"/>
              <w:i w:val="0"/>
              <w:noProof/>
              <w:sz w:val="22"/>
              <w:szCs w:val="22"/>
            </w:rPr>
            <w:t>Summary of required Documentary Evidence</w:t>
          </w:r>
          <w:r w:rsidRPr="00116316">
            <w:rPr>
              <w:b w:val="0"/>
              <w:i w:val="0"/>
              <w:noProof/>
              <w:sz w:val="22"/>
              <w:szCs w:val="22"/>
            </w:rPr>
            <w:tab/>
          </w:r>
          <w:r w:rsidR="00B445C3">
            <w:rPr>
              <w:b w:val="0"/>
              <w:i w:val="0"/>
              <w:noProof/>
              <w:sz w:val="22"/>
              <w:szCs w:val="22"/>
            </w:rPr>
            <w:t>8</w:t>
          </w:r>
        </w:p>
        <w:p w14:paraId="6D869A45" w14:textId="7B6E6EE8" w:rsidR="008D27D5" w:rsidRPr="00116316" w:rsidRDefault="008D27D5">
          <w:pPr>
            <w:pStyle w:val="TOC2"/>
            <w:rPr>
              <w:rFonts w:eastAsiaTheme="minorEastAsia"/>
              <w:b w:val="0"/>
              <w:bCs w:val="0"/>
              <w:noProof/>
              <w:lang w:eastAsia="en-AU"/>
            </w:rPr>
          </w:pPr>
          <w:r w:rsidRPr="00116316">
            <w:rPr>
              <w:b w:val="0"/>
              <w:noProof/>
            </w:rPr>
            <w:t>Job Plan</w:t>
          </w:r>
          <w:r w:rsidRPr="00116316">
            <w:rPr>
              <w:b w:val="0"/>
              <w:noProof/>
            </w:rPr>
            <w:tab/>
          </w:r>
          <w:r w:rsidR="00B445C3">
            <w:rPr>
              <w:b w:val="0"/>
              <w:noProof/>
            </w:rPr>
            <w:t>8</w:t>
          </w:r>
        </w:p>
        <w:p w14:paraId="5FD9448C" w14:textId="61300B07" w:rsidR="008D27D5" w:rsidRPr="00116316" w:rsidRDefault="008D27D5">
          <w:pPr>
            <w:pStyle w:val="TOC2"/>
            <w:rPr>
              <w:rFonts w:eastAsiaTheme="minorEastAsia"/>
              <w:b w:val="0"/>
              <w:bCs w:val="0"/>
              <w:noProof/>
              <w:lang w:eastAsia="en-AU"/>
            </w:rPr>
          </w:pPr>
          <w:r w:rsidRPr="00116316">
            <w:rPr>
              <w:b w:val="0"/>
              <w:noProof/>
            </w:rPr>
            <w:t>Outcome Payments</w:t>
          </w:r>
          <w:r w:rsidRPr="00116316">
            <w:rPr>
              <w:b w:val="0"/>
              <w:noProof/>
            </w:rPr>
            <w:tab/>
          </w:r>
          <w:r w:rsidR="00B445C3">
            <w:rPr>
              <w:b w:val="0"/>
              <w:noProof/>
            </w:rPr>
            <w:t>8</w:t>
          </w:r>
        </w:p>
        <w:p w14:paraId="2EE892B8" w14:textId="38FFBE75" w:rsidR="00733501" w:rsidRPr="00116316" w:rsidRDefault="00623EC9" w:rsidP="00F723A6">
          <w:pPr>
            <w:pStyle w:val="TOC1"/>
            <w:tabs>
              <w:tab w:val="left" w:pos="440"/>
              <w:tab w:val="right" w:pos="9016"/>
            </w:tabs>
            <w:rPr>
              <w:rFonts w:cstheme="minorHAnsi"/>
              <w:b w:val="0"/>
              <w:i w:val="0"/>
              <w:noProof/>
              <w:sz w:val="22"/>
              <w:szCs w:val="22"/>
            </w:rPr>
          </w:pPr>
        </w:p>
      </w:sdtContent>
    </w:sdt>
    <w:p w14:paraId="2B516CA5" w14:textId="77777777" w:rsidR="005F60E0" w:rsidRDefault="005F60E0" w:rsidP="0022352A">
      <w:pPr>
        <w:pStyle w:val="Heading1"/>
        <w:ind w:left="360" w:hanging="360"/>
        <w:sectPr w:rsidR="005F60E0" w:rsidSect="00984892">
          <w:headerReference w:type="even" r:id="rId20"/>
          <w:headerReference w:type="default" r:id="rId21"/>
          <w:headerReference w:type="first" r:id="rId22"/>
          <w:type w:val="continuous"/>
          <w:pgSz w:w="11906" w:h="16838"/>
          <w:pgMar w:top="120" w:right="1440" w:bottom="1440" w:left="1440" w:header="142" w:footer="708" w:gutter="0"/>
          <w:cols w:space="708"/>
          <w:titlePg/>
          <w:docGrid w:linePitch="360"/>
        </w:sectPr>
      </w:pPr>
    </w:p>
    <w:p w14:paraId="6DC1BA93" w14:textId="7C137819" w:rsidR="00B24DA3" w:rsidRPr="00F53E45" w:rsidRDefault="00C27956" w:rsidP="00F723A6">
      <w:pPr>
        <w:pStyle w:val="Heading1"/>
        <w:numPr>
          <w:ilvl w:val="0"/>
          <w:numId w:val="6"/>
        </w:numPr>
        <w:ind w:left="426" w:hanging="426"/>
      </w:pPr>
      <w:bookmarkStart w:id="6" w:name="_Toc21703617"/>
      <w:r>
        <w:lastRenderedPageBreak/>
        <w:t>Service</w:t>
      </w:r>
      <w:r w:rsidR="00C11141">
        <w:t>s</w:t>
      </w:r>
      <w:r>
        <w:t xml:space="preserve"> Australia </w:t>
      </w:r>
      <w:r w:rsidR="00B24DA3" w:rsidRPr="00F53E45">
        <w:t>Register</w:t>
      </w:r>
      <w:r w:rsidR="00275162" w:rsidRPr="00F53E45">
        <w:t>s</w:t>
      </w:r>
      <w:r w:rsidR="00B24DA3" w:rsidRPr="00F53E45">
        <w:t xml:space="preserve"> and Refer</w:t>
      </w:r>
      <w:r w:rsidR="00275162" w:rsidRPr="00F53E45">
        <w:t>s</w:t>
      </w:r>
      <w:r w:rsidR="00B24DA3" w:rsidRPr="00F53E45">
        <w:t xml:space="preserve"> DSP Recipients to </w:t>
      </w:r>
      <w:r w:rsidR="00C863F9">
        <w:t xml:space="preserve">NEST </w:t>
      </w:r>
      <w:r w:rsidR="00116316">
        <w:t>NEST</w:t>
      </w:r>
      <w:r w:rsidR="00BC3ECC">
        <w:t xml:space="preserve"> </w:t>
      </w:r>
      <w:r w:rsidR="00BB6C05">
        <w:t>Provider</w:t>
      </w:r>
      <w:r w:rsidR="004F4428">
        <w:t xml:space="preserve"> </w:t>
      </w:r>
      <w:r w:rsidR="00BC3ECC">
        <w:t>Services</w:t>
      </w:r>
      <w:bookmarkEnd w:id="6"/>
      <w:r w:rsidR="00D21549">
        <w:t xml:space="preserve"> </w:t>
      </w:r>
    </w:p>
    <w:p w14:paraId="3C1F81EE" w14:textId="77777777" w:rsidR="00275162" w:rsidRPr="00C925FE" w:rsidRDefault="00275162" w:rsidP="00275162">
      <w:pPr>
        <w:pStyle w:val="guidelinetext"/>
      </w:pPr>
      <w:r>
        <w:t xml:space="preserve">In most cases, DSP recipients who are under the age of 35 years with a work capacity of eight or more hours per week (without a youngest child under six years) will have compulsory requirements. </w:t>
      </w:r>
    </w:p>
    <w:p w14:paraId="7D3C80D7" w14:textId="23212AE5" w:rsidR="00B93C8C" w:rsidRDefault="00C11141" w:rsidP="00B93C8C">
      <w:pPr>
        <w:pStyle w:val="guidelinetext"/>
      </w:pPr>
      <w:r>
        <w:t>Services Australia</w:t>
      </w:r>
      <w:r w:rsidR="00B24DA3" w:rsidRPr="00B24DA3">
        <w:t xml:space="preserve"> and the DSP recipient with compulsory requirements will negotiate an appropriate activity for the DSP recipient to undertake. </w:t>
      </w:r>
    </w:p>
    <w:p w14:paraId="61C8C0FE" w14:textId="5EB36AB6" w:rsidR="00B24DA3" w:rsidRPr="00F53E45" w:rsidRDefault="00C11141" w:rsidP="00F53E45">
      <w:pPr>
        <w:pStyle w:val="Heading2"/>
      </w:pPr>
      <w:bookmarkStart w:id="7" w:name="_Toc21703618"/>
      <w:r>
        <w:t>Services Australia</w:t>
      </w:r>
      <w:r w:rsidR="00B24DA3" w:rsidRPr="00F53E45">
        <w:t xml:space="preserve"> refer</w:t>
      </w:r>
      <w:r w:rsidR="00275162" w:rsidRPr="00F53E45">
        <w:t>s</w:t>
      </w:r>
      <w:r w:rsidR="00B24DA3" w:rsidRPr="00F53E45">
        <w:t xml:space="preserve"> DSP recipients with compulsory requirements</w:t>
      </w:r>
      <w:bookmarkEnd w:id="7"/>
    </w:p>
    <w:p w14:paraId="6DA0BD71" w14:textId="47DD43F9" w:rsidR="00B24DA3" w:rsidRDefault="00C11141" w:rsidP="00B24DA3">
      <w:pPr>
        <w:pStyle w:val="guidelinetext"/>
      </w:pPr>
      <w:r>
        <w:t>Services Australia</w:t>
      </w:r>
      <w:r w:rsidR="005C4A53">
        <w:t xml:space="preserve"> </w:t>
      </w:r>
      <w:r w:rsidR="00B24DA3">
        <w:t>will undertake an assessment of the DSP recipient’s circumstances through:</w:t>
      </w:r>
    </w:p>
    <w:p w14:paraId="4A908AD7" w14:textId="77777777" w:rsidR="00B24DA3" w:rsidRDefault="00B24DA3" w:rsidP="00B24DA3">
      <w:pPr>
        <w:pStyle w:val="guidelinebullet"/>
        <w:ind w:left="1797" w:hanging="357"/>
      </w:pPr>
      <w:r>
        <w:t xml:space="preserve">the application of the Job Seeker Classification Instrument (JSCI), and/or </w:t>
      </w:r>
    </w:p>
    <w:p w14:paraId="262B3E70" w14:textId="3D89E43C" w:rsidR="00B24DA3" w:rsidRDefault="00B24DA3" w:rsidP="00B24DA3">
      <w:pPr>
        <w:pStyle w:val="guidelinebullet"/>
        <w:ind w:left="1797" w:hanging="357"/>
      </w:pPr>
      <w:r>
        <w:t>an Employment Services Assessment (ESAt) or Job Capacity Assessment (JCA).</w:t>
      </w:r>
    </w:p>
    <w:p w14:paraId="72B5DCED" w14:textId="172707F4" w:rsidR="00B24DA3" w:rsidRDefault="00B24DA3" w:rsidP="00C835CE">
      <w:pPr>
        <w:pStyle w:val="guidelinetext"/>
      </w:pPr>
      <w:r>
        <w:t xml:space="preserve">Based on the outcome of the assessment they </w:t>
      </w:r>
      <w:r w:rsidR="008646A8">
        <w:t xml:space="preserve">may </w:t>
      </w:r>
      <w:r>
        <w:t>be referred to</w:t>
      </w:r>
      <w:r w:rsidR="004F4428">
        <w:t xml:space="preserve"> </w:t>
      </w:r>
      <w:r w:rsidR="00BC3ECC">
        <w:t>Enhanced Services</w:t>
      </w:r>
      <w:r>
        <w:t>.</w:t>
      </w:r>
    </w:p>
    <w:p w14:paraId="45E95AF2" w14:textId="69A1E3C0" w:rsidR="00B24DA3" w:rsidRDefault="00C11141" w:rsidP="00B24DA3">
      <w:pPr>
        <w:pStyle w:val="guidelinetext"/>
      </w:pPr>
      <w:r>
        <w:t>Services Australia</w:t>
      </w:r>
      <w:r w:rsidR="005C4A53">
        <w:t xml:space="preserve"> </w:t>
      </w:r>
      <w:r w:rsidR="00B24DA3">
        <w:t>will book an appointm</w:t>
      </w:r>
      <w:r w:rsidR="0022352A">
        <w:t>ent for the DSP recipient with a</w:t>
      </w:r>
      <w:r w:rsidR="00F92F27">
        <w:t xml:space="preserve"> </w:t>
      </w:r>
      <w:r w:rsidR="004F4428">
        <w:t xml:space="preserve">NEST </w:t>
      </w:r>
      <w:r w:rsidR="00BB6C05">
        <w:t>Provider</w:t>
      </w:r>
      <w:r w:rsidR="00B24DA3">
        <w:t xml:space="preserve"> and notify the DSP recipient of the appointment details. </w:t>
      </w:r>
    </w:p>
    <w:p w14:paraId="2452D0A7" w14:textId="63050EB1" w:rsidR="00B24DA3" w:rsidRDefault="00C11141" w:rsidP="00B24DA3">
      <w:pPr>
        <w:pStyle w:val="guidelinetext"/>
      </w:pPr>
      <w:r>
        <w:t>Services Australia</w:t>
      </w:r>
      <w:r w:rsidR="00FA3C98">
        <w:t xml:space="preserve"> </w:t>
      </w:r>
      <w:r w:rsidR="0022352A">
        <w:t>will</w:t>
      </w:r>
      <w:r w:rsidR="00B24DA3">
        <w:t xml:space="preserve"> continue to hold Participation Interviews with the DSP recipient with compulsory requirements on a quarterly or six monthly basis depending on their individual circumstances.</w:t>
      </w:r>
    </w:p>
    <w:p w14:paraId="04131D3A" w14:textId="642DA08E" w:rsidR="00F621E6" w:rsidRDefault="00BC3ECC">
      <w:pPr>
        <w:pStyle w:val="guidelinetext"/>
      </w:pPr>
      <w:r w:rsidRPr="00230F4C">
        <w:t xml:space="preserve">As part of the transition to the NEST, current DSP recipients with compulsory requirements who are </w:t>
      </w:r>
      <w:r w:rsidR="00F532E8" w:rsidRPr="00230F4C">
        <w:t xml:space="preserve">with a jobactive </w:t>
      </w:r>
      <w:r w:rsidR="00BB6C05">
        <w:t>Provider</w:t>
      </w:r>
      <w:r w:rsidR="00F532E8" w:rsidRPr="00230F4C">
        <w:t xml:space="preserve"> </w:t>
      </w:r>
      <w:r w:rsidRPr="00230F4C">
        <w:t xml:space="preserve">in a </w:t>
      </w:r>
      <w:r w:rsidR="00C863F9" w:rsidRPr="00230F4C">
        <w:t>NEST T</w:t>
      </w:r>
      <w:r w:rsidRPr="00230F4C">
        <w:t xml:space="preserve">rial region will be </w:t>
      </w:r>
      <w:r w:rsidR="00F532E8" w:rsidRPr="00230F4C">
        <w:t>transitioned</w:t>
      </w:r>
      <w:r w:rsidRPr="00230F4C">
        <w:t xml:space="preserve"> to Enhanced Services.</w:t>
      </w:r>
    </w:p>
    <w:p w14:paraId="6F871F18" w14:textId="3CAA2DB3" w:rsidR="009257F4" w:rsidRDefault="009257F4" w:rsidP="009257F4">
      <w:pPr>
        <w:pStyle w:val="Heading2"/>
      </w:pPr>
      <w:bookmarkStart w:id="8" w:name="_Toc21703619"/>
      <w:r w:rsidRPr="009257F4">
        <w:t xml:space="preserve">Can DSP Recipients without compulsory requirements receive </w:t>
      </w:r>
      <w:r w:rsidR="00F532E8">
        <w:t>NEST</w:t>
      </w:r>
      <w:r w:rsidR="00116316">
        <w:t xml:space="preserve"> Trial</w:t>
      </w:r>
      <w:r w:rsidR="004F4428">
        <w:t xml:space="preserve"> </w:t>
      </w:r>
      <w:r w:rsidR="00BB6C05">
        <w:t>Provider</w:t>
      </w:r>
      <w:r w:rsidR="00F532E8">
        <w:t xml:space="preserve"> </w:t>
      </w:r>
      <w:r w:rsidR="0086246D">
        <w:t>s</w:t>
      </w:r>
      <w:r w:rsidRPr="009257F4">
        <w:t>ervices</w:t>
      </w:r>
      <w:r>
        <w:t>?</w:t>
      </w:r>
      <w:bookmarkEnd w:id="8"/>
    </w:p>
    <w:p w14:paraId="2DC0D4CE" w14:textId="544AF8A8" w:rsidR="009257F4" w:rsidRDefault="009257F4" w:rsidP="009257F4">
      <w:pPr>
        <w:pStyle w:val="guidelinetext"/>
      </w:pPr>
      <w:r>
        <w:t xml:space="preserve">DSP recipients without compulsory requirements are eligible to receive </w:t>
      </w:r>
      <w:r w:rsidR="00F532E8">
        <w:t>NEST Trial</w:t>
      </w:r>
      <w:r w:rsidR="004F4428">
        <w:t xml:space="preserve"> </w:t>
      </w:r>
      <w:r w:rsidR="00BB6C05">
        <w:t>Provider</w:t>
      </w:r>
      <w:r w:rsidR="00F532E8">
        <w:t xml:space="preserve"> </w:t>
      </w:r>
      <w:r>
        <w:t>services as a Volunteer. These DSP recipients include those aged:</w:t>
      </w:r>
    </w:p>
    <w:p w14:paraId="59B0AAB1" w14:textId="77777777" w:rsidR="009257F4" w:rsidRDefault="00F70AC0" w:rsidP="009257F4">
      <w:pPr>
        <w:pStyle w:val="guidelinebullet"/>
      </w:pPr>
      <w:r>
        <w:t>35 years and over, and</w:t>
      </w:r>
    </w:p>
    <w:p w14:paraId="6991298E" w14:textId="77777777" w:rsidR="00145D76" w:rsidRDefault="009257F4" w:rsidP="0070145C">
      <w:pPr>
        <w:pStyle w:val="guidelinebullet"/>
      </w:pPr>
      <w:r>
        <w:t>under 35 years who have a work capacity of fewer than eight hours per week or who are the Principal Carer Parent with a youngest child under six years of age.</w:t>
      </w:r>
    </w:p>
    <w:p w14:paraId="3113E251" w14:textId="3F71F7C8" w:rsidR="009257F4" w:rsidRPr="009257F4" w:rsidRDefault="00145D76" w:rsidP="00C835CE">
      <w:pPr>
        <w:pStyle w:val="guidelinebullet"/>
        <w:numPr>
          <w:ilvl w:val="0"/>
          <w:numId w:val="0"/>
        </w:numPr>
        <w:ind w:left="1418"/>
      </w:pPr>
      <w:r>
        <w:t xml:space="preserve">If </w:t>
      </w:r>
      <w:r w:rsidR="00BB6C05">
        <w:t>Provider</w:t>
      </w:r>
      <w:r>
        <w:t xml:space="preserve">s identify a </w:t>
      </w:r>
      <w:r w:rsidR="00C3493A">
        <w:t>D</w:t>
      </w:r>
      <w:r>
        <w:t>SP recipient</w:t>
      </w:r>
      <w:r w:rsidR="00C3493A">
        <w:t xml:space="preserve"> without compulsory requirements</w:t>
      </w:r>
      <w:r>
        <w:t xml:space="preserve">, they should refer them to </w:t>
      </w:r>
      <w:r w:rsidR="00C11141">
        <w:t>Services Australia</w:t>
      </w:r>
      <w:r w:rsidR="00CB2E9D">
        <w:t xml:space="preserve"> </w:t>
      </w:r>
      <w:r>
        <w:t>for an Assessment, as they</w:t>
      </w:r>
      <w:r w:rsidR="00C3493A">
        <w:t xml:space="preserve"> may be eligible for Disability Employment Services</w:t>
      </w:r>
      <w:r w:rsidR="00CB2E9D">
        <w:t xml:space="preserve"> (DES)</w:t>
      </w:r>
      <w:r w:rsidR="00C3493A">
        <w:t>.</w:t>
      </w:r>
      <w:r>
        <w:t xml:space="preserve"> </w:t>
      </w:r>
    </w:p>
    <w:p w14:paraId="62DE0A60" w14:textId="7A328A6D" w:rsidR="009257F4" w:rsidRPr="00F53E45" w:rsidRDefault="009257F4" w:rsidP="00F723A6">
      <w:pPr>
        <w:pStyle w:val="Heading1"/>
        <w:numPr>
          <w:ilvl w:val="0"/>
          <w:numId w:val="6"/>
        </w:numPr>
        <w:ind w:left="426" w:hanging="426"/>
      </w:pPr>
      <w:bookmarkStart w:id="9" w:name="_Toc21703620"/>
      <w:r w:rsidRPr="00F53E45">
        <w:t xml:space="preserve">Role of the </w:t>
      </w:r>
      <w:r w:rsidR="00C163C6">
        <w:t xml:space="preserve">NEST </w:t>
      </w:r>
      <w:r w:rsidR="00BB6C05">
        <w:t>Provider</w:t>
      </w:r>
      <w:bookmarkEnd w:id="9"/>
    </w:p>
    <w:p w14:paraId="7B40FF1E" w14:textId="23E04BC1" w:rsidR="009257F4" w:rsidRDefault="0022352A" w:rsidP="0022352A">
      <w:pPr>
        <w:pStyle w:val="guidelinetext"/>
      </w:pPr>
      <w:r>
        <w:t xml:space="preserve">All eligible </w:t>
      </w:r>
      <w:r w:rsidR="00BB6C05">
        <w:t>Participant</w:t>
      </w:r>
      <w:r>
        <w:t xml:space="preserve">s must receive an Initial Interview. </w:t>
      </w:r>
      <w:r w:rsidR="009257F4">
        <w:t xml:space="preserve">When preparing for all Appointments, including the Initial Interview, </w:t>
      </w:r>
      <w:r w:rsidR="00BB6C05">
        <w:t>Provider</w:t>
      </w:r>
      <w:r w:rsidR="009257F4">
        <w:t>s must consider any Site accessibility or other particular requirements of the DSP recipient with compulsory requirements and ensure that these requirements are appropriately addressed. This consideration is based on details in the DSP recipient’s record in th</w:t>
      </w:r>
      <w:r w:rsidR="00275162">
        <w:t>e Department’s IT System.</w:t>
      </w:r>
    </w:p>
    <w:p w14:paraId="07881C2F" w14:textId="75F3D15F" w:rsidR="009257F4" w:rsidRDefault="009257F4" w:rsidP="009257F4">
      <w:pPr>
        <w:pStyle w:val="guidelinedeedref"/>
      </w:pPr>
      <w:r>
        <w:lastRenderedPageBreak/>
        <w:t>(D</w:t>
      </w:r>
      <w:r w:rsidR="00034634">
        <w:t xml:space="preserve">eed references: </w:t>
      </w:r>
      <w:r w:rsidR="00034634" w:rsidRPr="00452FF5">
        <w:t>Clause</w:t>
      </w:r>
      <w:r w:rsidR="00592132" w:rsidRPr="00452FF5">
        <w:t xml:space="preserve"> 9</w:t>
      </w:r>
      <w:r w:rsidR="007F5AD6">
        <w:t>6</w:t>
      </w:r>
      <w:r w:rsidR="00034634" w:rsidRPr="00452FF5">
        <w:t>)</w:t>
      </w:r>
    </w:p>
    <w:p w14:paraId="0BADFB56" w14:textId="46BDD74A" w:rsidR="00034634" w:rsidRPr="007E1563" w:rsidRDefault="00034634" w:rsidP="00034634">
      <w:pPr>
        <w:pStyle w:val="Heading2"/>
      </w:pPr>
      <w:bookmarkStart w:id="10" w:name="_Toc468717505"/>
      <w:bookmarkStart w:id="11" w:name="_Toc21703621"/>
      <w:r>
        <w:t xml:space="preserve">Conducting </w:t>
      </w:r>
      <w:r w:rsidR="004F4428">
        <w:t xml:space="preserve">the </w:t>
      </w:r>
      <w:r>
        <w:t>Initial Interview</w:t>
      </w:r>
      <w:bookmarkEnd w:id="10"/>
      <w:bookmarkEnd w:id="11"/>
    </w:p>
    <w:p w14:paraId="2C8FD7ED" w14:textId="3B776A95" w:rsidR="00034634" w:rsidRPr="00034634" w:rsidRDefault="00837C9D" w:rsidP="00034634">
      <w:pPr>
        <w:pStyle w:val="guidelinetext"/>
      </w:pPr>
      <w:r>
        <w:t>T</w:t>
      </w:r>
      <w:r w:rsidR="00034634" w:rsidRPr="00034634">
        <w:t xml:space="preserve">he </w:t>
      </w:r>
      <w:r w:rsidR="00BB6C05">
        <w:t>Provider</w:t>
      </w:r>
      <w:r w:rsidR="00034634" w:rsidRPr="00034634">
        <w:t xml:space="preserve"> must explain </w:t>
      </w:r>
      <w:r w:rsidR="00275162">
        <w:t>the s</w:t>
      </w:r>
      <w:r w:rsidR="00275162" w:rsidRPr="00034634">
        <w:t xml:space="preserve">ervices they will </w:t>
      </w:r>
      <w:r w:rsidR="00A701B3">
        <w:t>provide</w:t>
      </w:r>
      <w:r w:rsidR="00275162" w:rsidRPr="00034634">
        <w:t xml:space="preserve"> </w:t>
      </w:r>
      <w:r w:rsidR="00034634" w:rsidRPr="00034634">
        <w:t xml:space="preserve">to the </w:t>
      </w:r>
      <w:r w:rsidR="00034634" w:rsidRPr="002335D4">
        <w:t>DSP recipient with compulsory requirements</w:t>
      </w:r>
      <w:r w:rsidRPr="00837C9D">
        <w:t xml:space="preserve"> </w:t>
      </w:r>
      <w:r>
        <w:t>a</w:t>
      </w:r>
      <w:r w:rsidRPr="00034634">
        <w:t>t the Initial Interview</w:t>
      </w:r>
      <w:r w:rsidR="00034634" w:rsidRPr="00034634">
        <w:t xml:space="preserve">. This includes: </w:t>
      </w:r>
    </w:p>
    <w:p w14:paraId="255B7617" w14:textId="1F6C519D" w:rsidR="00034634" w:rsidRPr="00034634" w:rsidRDefault="007519DB" w:rsidP="00034634">
      <w:pPr>
        <w:pStyle w:val="guidelinebullet"/>
      </w:pPr>
      <w:r>
        <w:t>explaining the specific s</w:t>
      </w:r>
      <w:r w:rsidR="00034634" w:rsidRPr="00034634">
        <w:t xml:space="preserve">ervices that the </w:t>
      </w:r>
      <w:r w:rsidR="00BB6C05">
        <w:t>Provider</w:t>
      </w:r>
      <w:r w:rsidR="00034634" w:rsidRPr="00034634">
        <w:t xml:space="preserve"> will offer</w:t>
      </w:r>
    </w:p>
    <w:p w14:paraId="40CE25C6" w14:textId="7F9E68BA" w:rsidR="00034634" w:rsidRPr="00034634" w:rsidRDefault="00034634" w:rsidP="00034634">
      <w:pPr>
        <w:pStyle w:val="guidelinebullet"/>
      </w:pPr>
      <w:r w:rsidRPr="00034634">
        <w:t>providing access to the Service Guarantee</w:t>
      </w:r>
    </w:p>
    <w:p w14:paraId="3F8BF977" w14:textId="77777777" w:rsidR="00034634" w:rsidRPr="00034634" w:rsidRDefault="00034634" w:rsidP="00034634">
      <w:pPr>
        <w:pStyle w:val="guidelinebullet"/>
      </w:pPr>
      <w:r w:rsidRPr="00034634">
        <w:t>explain</w:t>
      </w:r>
      <w:r w:rsidR="0056589E">
        <w:t>ing</w:t>
      </w:r>
      <w:r w:rsidRPr="00034634">
        <w:t xml:space="preserve"> </w:t>
      </w:r>
      <w:r w:rsidR="00837C9D">
        <w:t>the DSP recipient’s</w:t>
      </w:r>
      <w:r w:rsidR="00837C9D" w:rsidRPr="00034634">
        <w:t xml:space="preserve"> </w:t>
      </w:r>
      <w:r w:rsidRPr="00034634">
        <w:t>rights and obligations under the Social Security Law and the consequences of not participating in accordance with their Job Plan</w:t>
      </w:r>
    </w:p>
    <w:p w14:paraId="77EE3094" w14:textId="77777777" w:rsidR="00034634" w:rsidRPr="00034634" w:rsidRDefault="00034634" w:rsidP="00034634">
      <w:pPr>
        <w:pStyle w:val="guidelinebullet"/>
      </w:pPr>
      <w:r w:rsidRPr="00034634">
        <w:t>identify</w:t>
      </w:r>
      <w:r w:rsidR="0056589E">
        <w:t>ing</w:t>
      </w:r>
      <w:r w:rsidRPr="00034634">
        <w:t xml:space="preserve"> </w:t>
      </w:r>
      <w:r w:rsidR="00D50B38">
        <w:t xml:space="preserve">the </w:t>
      </w:r>
      <w:r w:rsidR="00837C9D">
        <w:t>DSP recipient’s</w:t>
      </w:r>
      <w:r w:rsidR="00837C9D" w:rsidRPr="00034634">
        <w:t xml:space="preserve"> </w:t>
      </w:r>
      <w:r w:rsidRPr="00034634">
        <w:t>strengths and any issues they may have finding and keeping a job</w:t>
      </w:r>
    </w:p>
    <w:p w14:paraId="07CAA29E" w14:textId="77777777" w:rsidR="00034634" w:rsidRPr="00034634" w:rsidRDefault="00034634" w:rsidP="00034634">
      <w:pPr>
        <w:pStyle w:val="guidelinebullet"/>
      </w:pPr>
      <w:r w:rsidRPr="00034634">
        <w:t xml:space="preserve">preparing a Job Plan with the </w:t>
      </w:r>
      <w:r w:rsidRPr="002335D4">
        <w:t>DSP recipient</w:t>
      </w:r>
      <w:r w:rsidRPr="00034634">
        <w:t xml:space="preserve"> that outlines their compulsory Appointments and any other compulsory items. </w:t>
      </w:r>
    </w:p>
    <w:p w14:paraId="03CD3CD4" w14:textId="373F3DBC" w:rsidR="00034634" w:rsidRDefault="00034634" w:rsidP="00034634">
      <w:pPr>
        <w:pStyle w:val="guidelinetext"/>
      </w:pPr>
      <w:r>
        <w:t xml:space="preserve">Additionally, </w:t>
      </w:r>
      <w:r w:rsidR="00837C9D">
        <w:t xml:space="preserve">and </w:t>
      </w:r>
      <w:r>
        <w:t xml:space="preserve">at a time that the </w:t>
      </w:r>
      <w:r w:rsidR="00BB6C05">
        <w:t>Provider</w:t>
      </w:r>
      <w:r>
        <w:t xml:space="preserve"> deems appropriate based on the individual circumstances of the</w:t>
      </w:r>
      <w:r w:rsidR="00E85C0D">
        <w:t xml:space="preserve"> DSP recipient, the </w:t>
      </w:r>
      <w:r w:rsidR="00BB6C05">
        <w:t>Provider</w:t>
      </w:r>
      <w:r>
        <w:t xml:space="preserve"> </w:t>
      </w:r>
      <w:r w:rsidRPr="00034634">
        <w:t>must</w:t>
      </w:r>
      <w:r w:rsidR="000E495D">
        <w:t xml:space="preserve"> provide</w:t>
      </w:r>
      <w:r>
        <w:t>:</w:t>
      </w:r>
    </w:p>
    <w:p w14:paraId="73A331AE" w14:textId="77777777" w:rsidR="00034634" w:rsidRPr="00034634" w:rsidRDefault="00034634" w:rsidP="00034634">
      <w:pPr>
        <w:pStyle w:val="guidelinebullet"/>
      </w:pPr>
      <w:r w:rsidRPr="00034634">
        <w:t>access to Self-help Facilities to enable the DSP recipient to undertake Job</w:t>
      </w:r>
      <w:r w:rsidR="00DC65FA">
        <w:t xml:space="preserve"> </w:t>
      </w:r>
      <w:r w:rsidRPr="00034634">
        <w:t xml:space="preserve">Search and prepare a résumé </w:t>
      </w:r>
    </w:p>
    <w:p w14:paraId="56B5E7E8" w14:textId="77777777" w:rsidR="00034634" w:rsidRPr="00034634" w:rsidRDefault="00034634" w:rsidP="00034634">
      <w:pPr>
        <w:pStyle w:val="guidelinebullet"/>
      </w:pPr>
      <w:r w:rsidRPr="00034634">
        <w:t>advice about the best ways to look for and find work</w:t>
      </w:r>
    </w:p>
    <w:p w14:paraId="1B8E8753" w14:textId="77777777" w:rsidR="00034634" w:rsidRPr="00034634" w:rsidRDefault="00034634" w:rsidP="00034634">
      <w:pPr>
        <w:pStyle w:val="guidelinebullet"/>
      </w:pPr>
      <w:r w:rsidRPr="00034634">
        <w:t>advice on the labour market, including employer needs and skill shortage areas, and</w:t>
      </w:r>
    </w:p>
    <w:p w14:paraId="45EA3F0A" w14:textId="77777777" w:rsidR="00034634" w:rsidRPr="00034634" w:rsidRDefault="00034634" w:rsidP="00034634">
      <w:pPr>
        <w:pStyle w:val="guidelinebullet"/>
      </w:pPr>
      <w:r w:rsidRPr="00034634">
        <w:t>access to suitable Vacancies and assistance to apply for jobs where required.</w:t>
      </w:r>
    </w:p>
    <w:p w14:paraId="46812BD6" w14:textId="6882FD05" w:rsidR="00034634" w:rsidRPr="00034634" w:rsidRDefault="00034634" w:rsidP="000E495D">
      <w:pPr>
        <w:pStyle w:val="guidelinedeedref"/>
      </w:pPr>
      <w:r w:rsidRPr="00887257">
        <w:t>(</w:t>
      </w:r>
      <w:r>
        <w:t xml:space="preserve">Deed References: </w:t>
      </w:r>
      <w:r w:rsidRPr="00491D0E">
        <w:t xml:space="preserve">Clause </w:t>
      </w:r>
      <w:r w:rsidR="00592132" w:rsidRPr="00491D0E">
        <w:t xml:space="preserve">91, </w:t>
      </w:r>
      <w:r w:rsidR="00B04938" w:rsidRPr="00491D0E">
        <w:t>98</w:t>
      </w:r>
      <w:r w:rsidR="00C25137">
        <w:t xml:space="preserve">, </w:t>
      </w:r>
      <w:r w:rsidR="00B426DE">
        <w:t>99</w:t>
      </w:r>
      <w:r>
        <w:t>)</w:t>
      </w:r>
    </w:p>
    <w:p w14:paraId="647B9C56" w14:textId="77777777" w:rsidR="00034634" w:rsidRDefault="00034634" w:rsidP="00817B3F">
      <w:pPr>
        <w:pStyle w:val="Heading2"/>
      </w:pPr>
      <w:bookmarkStart w:id="12" w:name="_Toc21703622"/>
      <w:r>
        <w:t>Commencement</w:t>
      </w:r>
      <w:bookmarkEnd w:id="12"/>
      <w:r>
        <w:t xml:space="preserve"> </w:t>
      </w:r>
    </w:p>
    <w:p w14:paraId="75298926" w14:textId="1F79B256" w:rsidR="00034634" w:rsidRDefault="00034634" w:rsidP="00817B3F">
      <w:pPr>
        <w:pStyle w:val="guidelinetext"/>
      </w:pPr>
      <w:r>
        <w:t>DSP recipients with compulsory requirements are automatically</w:t>
      </w:r>
      <w:r w:rsidR="00E85C0D">
        <w:t xml:space="preserve"> Commenced once the </w:t>
      </w:r>
      <w:r w:rsidR="00BB6C05">
        <w:t>Provider</w:t>
      </w:r>
      <w:r>
        <w:t xml:space="preserve"> records attendance at the Initial Interview and</w:t>
      </w:r>
      <w:r w:rsidR="00B4206D">
        <w:t xml:space="preserve"> the</w:t>
      </w:r>
      <w:r>
        <w:t xml:space="preserve"> </w:t>
      </w:r>
      <w:r w:rsidR="00B4206D">
        <w:t xml:space="preserve">DSP recipients </w:t>
      </w:r>
      <w:r>
        <w:t>have an approved Job Plan.</w:t>
      </w:r>
    </w:p>
    <w:p w14:paraId="557F64F3" w14:textId="1C94C5AF" w:rsidR="00034634" w:rsidRDefault="00EB6E1F" w:rsidP="005910D0">
      <w:pPr>
        <w:pStyle w:val="Systemstep"/>
        <w:ind w:left="1418" w:hanging="1418"/>
      </w:pPr>
      <w:r w:rsidRPr="007A1B89">
        <w:rPr>
          <w:b/>
        </w:rPr>
        <w:t>System step</w:t>
      </w:r>
      <w:r>
        <w:rPr>
          <w:b/>
        </w:rPr>
        <w:t xml:space="preserve">: </w:t>
      </w:r>
      <w:r w:rsidR="00B4206D">
        <w:t xml:space="preserve">The </w:t>
      </w:r>
      <w:r w:rsidR="00BB6C05">
        <w:t>Provider</w:t>
      </w:r>
      <w:r w:rsidR="00B4206D">
        <w:t xml:space="preserve"> must deliver </w:t>
      </w:r>
      <w:r w:rsidR="00C163C6">
        <w:t xml:space="preserve">NEST Trial </w:t>
      </w:r>
      <w:r w:rsidR="00B4206D">
        <w:t>services</w:t>
      </w:r>
      <w:r w:rsidR="00517472">
        <w:t xml:space="preserve"> </w:t>
      </w:r>
      <w:r w:rsidR="00B4206D">
        <w:t>in accordance with the</w:t>
      </w:r>
      <w:r w:rsidR="00517472">
        <w:t xml:space="preserve"> </w:t>
      </w:r>
      <w:r w:rsidR="00B4206D">
        <w:t>Deed o</w:t>
      </w:r>
      <w:r w:rsidR="00034634">
        <w:t>nce the DSP recipient with compulsory requirement</w:t>
      </w:r>
      <w:r w:rsidR="00E85C0D">
        <w:t>s is Commenced</w:t>
      </w:r>
      <w:r w:rsidR="00034634">
        <w:t>.</w:t>
      </w:r>
    </w:p>
    <w:p w14:paraId="135098B8" w14:textId="352DE8D8" w:rsidR="00034634" w:rsidRDefault="00034634" w:rsidP="00817B3F">
      <w:pPr>
        <w:pStyle w:val="guidelinetext"/>
      </w:pPr>
      <w:r>
        <w:t xml:space="preserve">DSP recipients with compulsory requirements cannot be </w:t>
      </w:r>
      <w:r w:rsidR="00B4206D">
        <w:t>C</w:t>
      </w:r>
      <w:r>
        <w:t xml:space="preserve">ommenced and serviced concurrently in </w:t>
      </w:r>
      <w:r w:rsidR="00C163C6">
        <w:t>NEST Trial</w:t>
      </w:r>
      <w:r w:rsidR="001430FD">
        <w:t xml:space="preserve"> </w:t>
      </w:r>
      <w:r w:rsidR="00BB6C05">
        <w:t>Provider</w:t>
      </w:r>
      <w:r w:rsidR="004F4428">
        <w:t xml:space="preserve"> </w:t>
      </w:r>
      <w:r w:rsidR="001430FD">
        <w:t>Services</w:t>
      </w:r>
      <w:r>
        <w:t xml:space="preserve"> and DES</w:t>
      </w:r>
      <w:r w:rsidR="000E495D">
        <w:t>,</w:t>
      </w:r>
      <w:r w:rsidR="00FE1EDD">
        <w:t xml:space="preserve"> Transition to Work,</w:t>
      </w:r>
      <w:r w:rsidR="000E495D">
        <w:t xml:space="preserve"> or </w:t>
      </w:r>
      <w:r>
        <w:t>C</w:t>
      </w:r>
      <w:r w:rsidR="000E495D">
        <w:t>D</w:t>
      </w:r>
      <w:r>
        <w:t>P.</w:t>
      </w:r>
    </w:p>
    <w:p w14:paraId="15FF878A" w14:textId="30836E41" w:rsidR="00034634" w:rsidRDefault="00034634" w:rsidP="00034634">
      <w:pPr>
        <w:pStyle w:val="guidelinedeedref"/>
      </w:pPr>
      <w:r>
        <w:t xml:space="preserve">(Deed References: Clause </w:t>
      </w:r>
      <w:r w:rsidR="00295881">
        <w:t>9</w:t>
      </w:r>
      <w:r w:rsidR="007F5AD6">
        <w:t>5</w:t>
      </w:r>
      <w:r w:rsidR="00295881">
        <w:t>, 9</w:t>
      </w:r>
      <w:r w:rsidR="007F5AD6">
        <w:t>6</w:t>
      </w:r>
      <w:r w:rsidR="00295881">
        <w:t>, 9</w:t>
      </w:r>
      <w:r w:rsidR="007F5AD6">
        <w:t>7</w:t>
      </w:r>
      <w:r>
        <w:t>)</w:t>
      </w:r>
    </w:p>
    <w:p w14:paraId="06FF718F" w14:textId="77777777" w:rsidR="0031374A" w:rsidRPr="00F451F7" w:rsidRDefault="0031374A" w:rsidP="00F723A6">
      <w:pPr>
        <w:pStyle w:val="Heading1"/>
        <w:numPr>
          <w:ilvl w:val="0"/>
          <w:numId w:val="6"/>
        </w:numPr>
        <w:ind w:left="567" w:hanging="567"/>
      </w:pPr>
      <w:bookmarkStart w:id="13" w:name="_Toc468717513"/>
      <w:bookmarkStart w:id="14" w:name="_Toc21703623"/>
      <w:r w:rsidRPr="00F451F7">
        <w:t>Ongoing Servicing</w:t>
      </w:r>
      <w:bookmarkEnd w:id="13"/>
      <w:bookmarkEnd w:id="14"/>
    </w:p>
    <w:p w14:paraId="10B425D0" w14:textId="77777777" w:rsidR="00145D76" w:rsidRPr="00145D76" w:rsidRDefault="00FF2230" w:rsidP="00145D76">
      <w:pPr>
        <w:pStyle w:val="Heading2"/>
      </w:pPr>
      <w:bookmarkStart w:id="15" w:name="_Toc21703624"/>
      <w:r>
        <w:t xml:space="preserve">DSP recipients with </w:t>
      </w:r>
      <w:r w:rsidR="00145D76">
        <w:t>Compulsory Requirements</w:t>
      </w:r>
      <w:bookmarkEnd w:id="15"/>
    </w:p>
    <w:p w14:paraId="6A1B4C24" w14:textId="1828DC11" w:rsidR="0031374A" w:rsidRPr="0031374A" w:rsidRDefault="0031374A" w:rsidP="0031374A">
      <w:pPr>
        <w:pStyle w:val="guidelinetext"/>
      </w:pPr>
      <w:r w:rsidRPr="0031374A">
        <w:t>DSP recipients with compulsory requirements must be serviced in line with their Job Plan</w:t>
      </w:r>
      <w:r w:rsidR="004F4428">
        <w:t>, the</w:t>
      </w:r>
      <w:r w:rsidR="000F4941">
        <w:t xml:space="preserve"> Deed</w:t>
      </w:r>
      <w:r w:rsidR="004F4428">
        <w:t xml:space="preserve"> and any relevant Guidelines</w:t>
      </w:r>
      <w:r w:rsidRPr="0031374A">
        <w:t xml:space="preserve">. </w:t>
      </w:r>
    </w:p>
    <w:p w14:paraId="3444E808" w14:textId="77777777" w:rsidR="006D19B0" w:rsidRDefault="006D19B0" w:rsidP="006D19B0">
      <w:pPr>
        <w:pStyle w:val="guidelinetext"/>
      </w:pPr>
      <w:r>
        <w:t>For DSP recipients</w:t>
      </w:r>
      <w:r w:rsidR="00A701B3">
        <w:t xml:space="preserve"> with compulsory requirements, the</w:t>
      </w:r>
      <w:r>
        <w:t xml:space="preserve"> Job Plan must contain </w:t>
      </w:r>
      <w:r w:rsidR="00A701B3">
        <w:t>suitable and reasonable</w:t>
      </w:r>
      <w:r>
        <w:t xml:space="preserve"> terms </w:t>
      </w:r>
      <w:r w:rsidR="00A701B3">
        <w:t xml:space="preserve">with which </w:t>
      </w:r>
      <w:r>
        <w:t xml:space="preserve">they </w:t>
      </w:r>
      <w:r w:rsidR="00A701B3">
        <w:t>must</w:t>
      </w:r>
      <w:r>
        <w:t xml:space="preserve"> comply. </w:t>
      </w:r>
    </w:p>
    <w:p w14:paraId="52864469" w14:textId="49B5A531" w:rsidR="006D19B0" w:rsidRDefault="006D19B0" w:rsidP="006D19B0">
      <w:pPr>
        <w:pStyle w:val="guidelinetext"/>
      </w:pPr>
      <w:r>
        <w:t xml:space="preserve">When negotiating and approving the terms of a Job Plan, the </w:t>
      </w:r>
      <w:r w:rsidR="00BB6C05">
        <w:t>Provider</w:t>
      </w:r>
      <w:r>
        <w:t xml:space="preserve"> </w:t>
      </w:r>
      <w:r w:rsidRPr="00A701B3">
        <w:rPr>
          <w:b/>
        </w:rPr>
        <w:t>must</w:t>
      </w:r>
      <w:r>
        <w:t xml:space="preserve"> take into account the following:</w:t>
      </w:r>
    </w:p>
    <w:p w14:paraId="03FB5141" w14:textId="77777777" w:rsidR="006D19B0" w:rsidRPr="00CA5C59" w:rsidRDefault="006D19B0" w:rsidP="00CA5C59">
      <w:pPr>
        <w:pStyle w:val="guidelinebullet"/>
        <w:ind w:left="1797" w:right="-227" w:hanging="357"/>
      </w:pPr>
      <w:r>
        <w:t xml:space="preserve">the DSP </w:t>
      </w:r>
      <w:r w:rsidRPr="00CA5C59">
        <w:t xml:space="preserve">recipient’s individual circumstances, in particular their assessed work capacity, their capacity to comply with their requirements and their personal needs </w:t>
      </w:r>
    </w:p>
    <w:p w14:paraId="5B68EDAC" w14:textId="77777777" w:rsidR="006D19B0" w:rsidRPr="00CA5C59" w:rsidRDefault="006D19B0" w:rsidP="00CA5C59">
      <w:pPr>
        <w:pStyle w:val="guidelinebullet"/>
      </w:pPr>
      <w:r w:rsidRPr="00CA5C59">
        <w:t xml:space="preserve">the impact of any disability, illness, mental condition or physical condition of the person on their ability to work, to look for work or to participate in activities </w:t>
      </w:r>
    </w:p>
    <w:p w14:paraId="6372CF20" w14:textId="77777777" w:rsidR="006D19B0" w:rsidRPr="00CA5C59" w:rsidRDefault="006D19B0" w:rsidP="00CA5C59">
      <w:pPr>
        <w:pStyle w:val="guidelinebullet"/>
      </w:pPr>
      <w:r w:rsidRPr="00CA5C59">
        <w:t xml:space="preserve">the DSP recipient’s education, experience and skills </w:t>
      </w:r>
    </w:p>
    <w:p w14:paraId="4680F131" w14:textId="77777777" w:rsidR="006D19B0" w:rsidRPr="00CA5C59" w:rsidRDefault="006D19B0" w:rsidP="00CA5C59">
      <w:pPr>
        <w:pStyle w:val="guidelinebullet"/>
      </w:pPr>
      <w:r w:rsidRPr="00CA5C59">
        <w:t xml:space="preserve">the state of the local labour market and the transport options available to the person in accessing that market </w:t>
      </w:r>
    </w:p>
    <w:p w14:paraId="5BB1B439" w14:textId="77777777" w:rsidR="006D19B0" w:rsidRPr="00CA5C59" w:rsidRDefault="006D19B0" w:rsidP="00CA5C59">
      <w:pPr>
        <w:pStyle w:val="guidelinebullet"/>
      </w:pPr>
      <w:r w:rsidRPr="00CA5C59">
        <w:t xml:space="preserve">the participation opportunities available to the person </w:t>
      </w:r>
    </w:p>
    <w:p w14:paraId="4B5BDD3A" w14:textId="77777777" w:rsidR="006D19B0" w:rsidRPr="00CA5C59" w:rsidRDefault="006D19B0" w:rsidP="00CA5C59">
      <w:pPr>
        <w:pStyle w:val="guidelinebullet"/>
      </w:pPr>
      <w:r w:rsidRPr="00CA5C59">
        <w:t>the family and caring responsibilities of the person (including availability of child care where relevant)</w:t>
      </w:r>
    </w:p>
    <w:p w14:paraId="1E42D0D7" w14:textId="77777777" w:rsidR="006D19B0" w:rsidRPr="00CA5C59" w:rsidRDefault="006D19B0" w:rsidP="00CA5C59">
      <w:pPr>
        <w:pStyle w:val="guidelinebullet"/>
      </w:pPr>
      <w:r w:rsidRPr="00CA5C59">
        <w:t xml:space="preserve">the length of travel time required to comply with their requirements  </w:t>
      </w:r>
    </w:p>
    <w:p w14:paraId="0452889F" w14:textId="77777777" w:rsidR="006D19B0" w:rsidRPr="00CA5C59" w:rsidRDefault="006D19B0" w:rsidP="00CA5C59">
      <w:pPr>
        <w:pStyle w:val="guidelinebullet"/>
      </w:pPr>
      <w:r w:rsidRPr="00CA5C59">
        <w:t>the financial costs (such as travel costs) of complying with their requirements and the person’s capacity to pay for such costs</w:t>
      </w:r>
    </w:p>
    <w:p w14:paraId="6D4FFE4C" w14:textId="06E0175D" w:rsidR="006D19B0" w:rsidRPr="00CA5C59" w:rsidRDefault="006D19B0" w:rsidP="00CA5C59">
      <w:pPr>
        <w:pStyle w:val="guidelinebullet"/>
      </w:pPr>
      <w:r w:rsidRPr="00CA5C59">
        <w:t xml:space="preserve">any other matters the </w:t>
      </w:r>
      <w:r w:rsidR="00BB6C05">
        <w:t>Provider</w:t>
      </w:r>
      <w:r w:rsidRPr="00CA5C59">
        <w:t xml:space="preserve"> considers relevant in the circumstances (including if they disclose that they are a victim of family violence)</w:t>
      </w:r>
    </w:p>
    <w:p w14:paraId="30DB8ED7" w14:textId="1142D7BA" w:rsidR="006D19B0" w:rsidRPr="00CA5C59" w:rsidRDefault="006D19B0" w:rsidP="00CA5C59">
      <w:pPr>
        <w:pStyle w:val="guidelinebullet"/>
      </w:pPr>
      <w:r w:rsidRPr="00CA5C59">
        <w:t xml:space="preserve">if the DSP recipient has any vulnerabilities (as identified by </w:t>
      </w:r>
      <w:r w:rsidR="00C11141">
        <w:t>Services Australia</w:t>
      </w:r>
      <w:r w:rsidRPr="00CA5C59">
        <w:t xml:space="preserve"> such as homelessness, psychiatric or mental illness, severe drug or alcohol dependency or traumatic relationship breakdown</w:t>
      </w:r>
    </w:p>
    <w:p w14:paraId="720390DD" w14:textId="77777777" w:rsidR="006D19B0" w:rsidRPr="00CA5C59" w:rsidRDefault="006D19B0" w:rsidP="00CA5C59">
      <w:pPr>
        <w:pStyle w:val="guidelinebullet"/>
      </w:pPr>
      <w:r w:rsidRPr="00CA5C59">
        <w:t>any history of the DSP recipient not complying with their requirements</w:t>
      </w:r>
    </w:p>
    <w:p w14:paraId="0DD9686C" w14:textId="77777777" w:rsidR="006D19B0" w:rsidRDefault="006D19B0" w:rsidP="00CA5C59">
      <w:pPr>
        <w:pStyle w:val="guidelinebullet"/>
      </w:pPr>
      <w:r w:rsidRPr="00CA5C59">
        <w:t>cultural</w:t>
      </w:r>
      <w:r>
        <w:t xml:space="preserve"> factors.</w:t>
      </w:r>
    </w:p>
    <w:p w14:paraId="6887ADB5" w14:textId="77777777" w:rsidR="007D1F45" w:rsidRDefault="007D1F45" w:rsidP="007D1F45">
      <w:pPr>
        <w:pStyle w:val="guidelinetext"/>
      </w:pPr>
      <w:r>
        <w:t xml:space="preserve">The following items </w:t>
      </w:r>
      <w:r w:rsidRPr="00A701B3">
        <w:rPr>
          <w:b/>
        </w:rPr>
        <w:t>must not</w:t>
      </w:r>
      <w:r>
        <w:t xml:space="preserve"> be included in a Job Plan: </w:t>
      </w:r>
    </w:p>
    <w:p w14:paraId="381FD49E" w14:textId="77777777" w:rsidR="007D1F45" w:rsidRPr="00CA5C59" w:rsidRDefault="007D1F45" w:rsidP="00CA5C59">
      <w:pPr>
        <w:pStyle w:val="guidelinebullet"/>
      </w:pPr>
      <w:r w:rsidRPr="007D1F45">
        <w:t xml:space="preserve">an </w:t>
      </w:r>
      <w:r w:rsidR="004D1D54">
        <w:t>a</w:t>
      </w:r>
      <w:r w:rsidRPr="00CA5C59">
        <w:t>ctivity that would aggravate an illness, disability or injury</w:t>
      </w:r>
    </w:p>
    <w:p w14:paraId="382C7F66" w14:textId="77777777" w:rsidR="007D1F45" w:rsidRPr="00CA5C59" w:rsidRDefault="007D1F45" w:rsidP="00CA5C59">
      <w:pPr>
        <w:pStyle w:val="guidelinebullet"/>
      </w:pPr>
      <w:r w:rsidRPr="00CA5C59">
        <w:t xml:space="preserve">a requirement that the DSP recipient undertake an </w:t>
      </w:r>
      <w:r w:rsidR="004D1D54">
        <w:t>a</w:t>
      </w:r>
      <w:r w:rsidRPr="00CA5C59">
        <w:t>ctivity where the appropriate support or facilities (that take account of their illness, disability or injury) are unavailable</w:t>
      </w:r>
    </w:p>
    <w:p w14:paraId="1E204945" w14:textId="77777777" w:rsidR="007D1F45" w:rsidRPr="00CA5C59" w:rsidRDefault="007D1F45" w:rsidP="00CA5C59">
      <w:pPr>
        <w:pStyle w:val="guidelinebullet"/>
      </w:pPr>
      <w:r w:rsidRPr="00CA5C59">
        <w:t>a requirement that the DSP recipient involuntarily undergo medical, psychiatric or psychological treatment (Note: The initial assessment can be included as compulsory but ongoing treatment may only be included as voluntary)</w:t>
      </w:r>
    </w:p>
    <w:p w14:paraId="57A78E0B" w14:textId="77777777" w:rsidR="007D1F45" w:rsidRPr="00CA5C59" w:rsidRDefault="007D1F45" w:rsidP="00CA5C59">
      <w:pPr>
        <w:pStyle w:val="guidelinebullet"/>
      </w:pPr>
      <w:r w:rsidRPr="00CA5C59">
        <w:t>an activity involved in the sex or adult entertainment industry</w:t>
      </w:r>
    </w:p>
    <w:p w14:paraId="52011BC1" w14:textId="77777777" w:rsidR="007D1F45" w:rsidRPr="00CA5C59" w:rsidRDefault="007D1F45" w:rsidP="00CA5C59">
      <w:pPr>
        <w:pStyle w:val="guidelinebullet"/>
      </w:pPr>
      <w:r w:rsidRPr="00CA5C59">
        <w:t>an unlawful activity including an activity that would contravene Commonwealth, state or territory laws relating to discrimination or workplace health and safety</w:t>
      </w:r>
    </w:p>
    <w:p w14:paraId="0F929A33" w14:textId="77777777" w:rsidR="007D1F45" w:rsidRPr="00CA5C59" w:rsidRDefault="007D1F45" w:rsidP="00CA5C59">
      <w:pPr>
        <w:pStyle w:val="guidelinebullet"/>
      </w:pPr>
      <w:r w:rsidRPr="00CA5C59">
        <w:t xml:space="preserve">an activity outside of Australia </w:t>
      </w:r>
    </w:p>
    <w:p w14:paraId="06325D43" w14:textId="77777777" w:rsidR="007D1F45" w:rsidRPr="00CA5C59" w:rsidRDefault="007D1F45" w:rsidP="00CA5C59">
      <w:pPr>
        <w:pStyle w:val="guidelinebullet"/>
      </w:pPr>
      <w:r w:rsidRPr="00CA5C59">
        <w:t>a requirement that the DSP recipient participate or otherwise be involved in a criminal activity</w:t>
      </w:r>
    </w:p>
    <w:p w14:paraId="553098CC" w14:textId="77777777" w:rsidR="007D1F45" w:rsidRPr="00CA5C59" w:rsidRDefault="007D1F45" w:rsidP="00CA5C59">
      <w:pPr>
        <w:pStyle w:val="guidelinebullet"/>
      </w:pPr>
      <w:r w:rsidRPr="00CA5C59">
        <w:t>any other terms contrary to the Social Security Law</w:t>
      </w:r>
    </w:p>
    <w:p w14:paraId="4462B28F" w14:textId="77777777" w:rsidR="007D1F45" w:rsidRPr="00CA5C59" w:rsidRDefault="00CA5C59" w:rsidP="00CA5C59">
      <w:pPr>
        <w:pStyle w:val="guidelinebullet"/>
      </w:pPr>
      <w:r w:rsidRPr="00CA5C59">
        <w:t>irrelevant information such as detailed personal medical information, specific details of medical conditions and medications.</w:t>
      </w:r>
    </w:p>
    <w:p w14:paraId="1968F9BC" w14:textId="04C15542" w:rsidR="0031374A" w:rsidRPr="002335D4" w:rsidRDefault="004C0D84" w:rsidP="006D19B0">
      <w:pPr>
        <w:pStyle w:val="guidelinetext"/>
      </w:pPr>
      <w:r>
        <w:t>Further information can be found in the</w:t>
      </w:r>
      <w:r w:rsidR="00202FB1" w:rsidRPr="00202FB1">
        <w:t xml:space="preserve"> </w:t>
      </w:r>
      <w:r w:rsidR="00C53535">
        <w:t xml:space="preserve">New Employment Services Trial (NEST) </w:t>
      </w:r>
      <w:r w:rsidR="00202FB1" w:rsidRPr="00116316">
        <w:t>Job Plan and Mutual Obligation Requirements Guideline</w:t>
      </w:r>
      <w:r w:rsidR="003357FC">
        <w:t>, including how compliance can be used where a DSP recipient does not accept their Job Plan.</w:t>
      </w:r>
    </w:p>
    <w:p w14:paraId="6B415658" w14:textId="6A64252B" w:rsidR="002F504A" w:rsidRPr="002335D4" w:rsidRDefault="002F504A" w:rsidP="00F451F7">
      <w:pPr>
        <w:pStyle w:val="guidelinetext"/>
      </w:pPr>
      <w:r>
        <w:t>I</w:t>
      </w:r>
      <w:r w:rsidRPr="002335D4">
        <w:t>t is the responsibility of DSP recipients to meet their compulsory requirements</w:t>
      </w:r>
      <w:r>
        <w:t>. However</w:t>
      </w:r>
      <w:r w:rsidRPr="002335D4">
        <w:t>, i</w:t>
      </w:r>
      <w:r>
        <w:t xml:space="preserve">t is important that </w:t>
      </w:r>
      <w:r w:rsidR="00BB6C05">
        <w:t>Provider</w:t>
      </w:r>
      <w:r w:rsidRPr="002335D4">
        <w:t xml:space="preserve">s provide appropriate assistance, depending on </w:t>
      </w:r>
      <w:r>
        <w:t xml:space="preserve">the </w:t>
      </w:r>
      <w:r w:rsidRPr="002335D4">
        <w:t>DSP recipient</w:t>
      </w:r>
      <w:r>
        <w:t>’</w:t>
      </w:r>
      <w:r w:rsidRPr="002335D4">
        <w:t>s circumstances and issues, to ensure they are able to maintain their attendance and participation at scheduled Appointments and activities.</w:t>
      </w:r>
    </w:p>
    <w:p w14:paraId="449A5EE3" w14:textId="5460F45C" w:rsidR="002F504A" w:rsidRPr="002335D4" w:rsidRDefault="002F504A" w:rsidP="002F504A">
      <w:pPr>
        <w:pStyle w:val="guidelinetext"/>
      </w:pPr>
      <w:r>
        <w:t xml:space="preserve">The </w:t>
      </w:r>
      <w:r w:rsidR="00BB6C05">
        <w:t>Provider</w:t>
      </w:r>
      <w:r w:rsidRPr="002335D4">
        <w:t xml:space="preserve"> can undertake a Change</w:t>
      </w:r>
      <w:r>
        <w:t xml:space="preserve"> of Circumstances Reassessment</w:t>
      </w:r>
      <w:r w:rsidRPr="002335D4">
        <w:t xml:space="preserve"> </w:t>
      </w:r>
      <w:r>
        <w:t>i</w:t>
      </w:r>
      <w:r w:rsidRPr="002335D4">
        <w:t xml:space="preserve">f </w:t>
      </w:r>
      <w:r>
        <w:t>a DSP recipient is</w:t>
      </w:r>
      <w:r w:rsidRPr="002335D4">
        <w:t xml:space="preserve"> unable to meet their compulsory requirements due to a change of</w:t>
      </w:r>
      <w:r>
        <w:t xml:space="preserve"> circumstances</w:t>
      </w:r>
      <w:r w:rsidRPr="002335D4">
        <w:t xml:space="preserve">. </w:t>
      </w:r>
      <w:r>
        <w:t xml:space="preserve">The </w:t>
      </w:r>
      <w:r w:rsidR="00BB6C05">
        <w:t>Provider</w:t>
      </w:r>
      <w:r w:rsidRPr="002335D4">
        <w:t xml:space="preserve"> can suggest to the DSP recipient that they discuss their change of circumstances with </w:t>
      </w:r>
      <w:r w:rsidR="00FE1E10">
        <w:t>Services Australia</w:t>
      </w:r>
      <w:r w:rsidR="000F4941">
        <w:t xml:space="preserve"> </w:t>
      </w:r>
      <w:r w:rsidRPr="002335D4">
        <w:t xml:space="preserve">following the Change of Circumstances </w:t>
      </w:r>
      <w:r>
        <w:t>Reassessment if appropriate</w:t>
      </w:r>
      <w:r w:rsidRPr="002335D4">
        <w:t xml:space="preserve">. </w:t>
      </w:r>
    </w:p>
    <w:p w14:paraId="7136FA1C" w14:textId="08666190" w:rsidR="002F504A" w:rsidRDefault="002F504A" w:rsidP="002F504A">
      <w:pPr>
        <w:pStyle w:val="guidelinetext"/>
      </w:pPr>
      <w:r w:rsidRPr="002335D4">
        <w:t>If</w:t>
      </w:r>
      <w:r>
        <w:t>,</w:t>
      </w:r>
      <w:r w:rsidRPr="002335D4">
        <w:t xml:space="preserve"> as a result of a subsequent ESAt</w:t>
      </w:r>
      <w:r>
        <w:t>,</w:t>
      </w:r>
      <w:r w:rsidRPr="002335D4">
        <w:t xml:space="preserve"> the DSP recipient with compulsory requirements is r</w:t>
      </w:r>
      <w:r>
        <w:t xml:space="preserve">eferred to DES, the </w:t>
      </w:r>
      <w:r w:rsidR="00BB6C05">
        <w:t>Provider</w:t>
      </w:r>
      <w:r w:rsidRPr="002335D4">
        <w:t xml:space="preserve"> </w:t>
      </w:r>
      <w:r w:rsidRPr="0031374A">
        <w:t>must</w:t>
      </w:r>
      <w:r w:rsidRPr="002335D4">
        <w:t xml:space="preserve"> </w:t>
      </w:r>
      <w:r>
        <w:t xml:space="preserve">continue to deliver </w:t>
      </w:r>
      <w:r w:rsidR="000F4941">
        <w:t>Enhanced Services</w:t>
      </w:r>
      <w:r w:rsidRPr="002335D4">
        <w:t xml:space="preserve"> until the DSP recipient has commenced in DES. Once they have commenced in DES, the DSP recipient will be Exited from </w:t>
      </w:r>
      <w:r w:rsidR="00DB0B63">
        <w:t xml:space="preserve">NEST Trial </w:t>
      </w:r>
      <w:r w:rsidR="00BB6C05">
        <w:t>Provider</w:t>
      </w:r>
      <w:r w:rsidR="004F4428">
        <w:t xml:space="preserve"> </w:t>
      </w:r>
      <w:r w:rsidR="00DB0B63">
        <w:t>services</w:t>
      </w:r>
      <w:r w:rsidRPr="002335D4">
        <w:t xml:space="preserve">. </w:t>
      </w:r>
    </w:p>
    <w:p w14:paraId="65260798" w14:textId="7EA64F04" w:rsidR="00FF2230" w:rsidRPr="0031374A" w:rsidRDefault="00FF2230" w:rsidP="00F451F7">
      <w:pPr>
        <w:pStyle w:val="Heading2"/>
      </w:pPr>
      <w:bookmarkStart w:id="16" w:name="_Toc21703625"/>
      <w:r>
        <w:t xml:space="preserve">DSP recipients with compulsory requirements </w:t>
      </w:r>
      <w:r w:rsidR="0021281E">
        <w:t>are not required to undertake Work for the Dole</w:t>
      </w:r>
      <w:bookmarkEnd w:id="16"/>
    </w:p>
    <w:p w14:paraId="7EFE4322" w14:textId="0CF1CCE3" w:rsidR="00FF2230" w:rsidRPr="002335D4" w:rsidRDefault="00FF2230" w:rsidP="00FF2230">
      <w:pPr>
        <w:pStyle w:val="guidelinetext"/>
      </w:pPr>
      <w:r w:rsidRPr="002335D4">
        <w:t>DSP recipients with compulsory requirements are not required to undertake a Work for the Dole activity unless this is an agreed activity in their Job Plan. DSP recipient</w:t>
      </w:r>
      <w:r>
        <w:t>s</w:t>
      </w:r>
      <w:r w:rsidRPr="002335D4">
        <w:t xml:space="preserve"> with compulsory requirements may be referred to other activities such as </w:t>
      </w:r>
      <w:r w:rsidRPr="0031374A">
        <w:t>Voluntary Work</w:t>
      </w:r>
      <w:r>
        <w:t>, W</w:t>
      </w:r>
      <w:r w:rsidRPr="002335D4">
        <w:t>ork</w:t>
      </w:r>
      <w:r>
        <w:t>-like Experiences, E</w:t>
      </w:r>
      <w:r w:rsidRPr="002335D4">
        <w:t xml:space="preserve">ducation courses or other government programmes where it is agreed in their Job Plan. </w:t>
      </w:r>
    </w:p>
    <w:p w14:paraId="08D49E21" w14:textId="77777777" w:rsidR="002F504A" w:rsidRDefault="002F504A" w:rsidP="00F451F7">
      <w:pPr>
        <w:pStyle w:val="Heading2"/>
      </w:pPr>
      <w:bookmarkStart w:id="17" w:name="_Toc21703626"/>
      <w:r>
        <w:t>Eligibility for complementary programs</w:t>
      </w:r>
      <w:bookmarkEnd w:id="17"/>
    </w:p>
    <w:p w14:paraId="5FC30E29" w14:textId="77777777" w:rsidR="0031374A" w:rsidRPr="00202FB1" w:rsidRDefault="0031374A" w:rsidP="0031374A">
      <w:pPr>
        <w:pStyle w:val="guidelinetext"/>
      </w:pPr>
      <w:r w:rsidRPr="002335D4">
        <w:t>DSP recipients with compulsory re</w:t>
      </w:r>
      <w:r>
        <w:t xml:space="preserve">quirements may be eligible for </w:t>
      </w:r>
      <w:r w:rsidR="002F504A">
        <w:t xml:space="preserve">PaTH programs, </w:t>
      </w:r>
      <w:r>
        <w:t>Wage S</w:t>
      </w:r>
      <w:r w:rsidRPr="002335D4">
        <w:t xml:space="preserve">ubsidies and Relocation Assistance to Take Up a Job if eligibility requirements </w:t>
      </w:r>
      <w:r w:rsidRPr="00202FB1">
        <w:t>are met.</w:t>
      </w:r>
    </w:p>
    <w:p w14:paraId="5903213F" w14:textId="77777777" w:rsidR="0031374A" w:rsidRPr="00AB0649" w:rsidRDefault="0031374A" w:rsidP="009364B6">
      <w:pPr>
        <w:pStyle w:val="Heading1"/>
        <w:numPr>
          <w:ilvl w:val="0"/>
          <w:numId w:val="6"/>
        </w:numPr>
        <w:pBdr>
          <w:top w:val="single" w:sz="4" w:space="0" w:color="5B9BD5" w:themeColor="accent1"/>
        </w:pBdr>
        <w:ind w:left="426" w:hanging="426"/>
      </w:pPr>
      <w:bookmarkStart w:id="18" w:name="_Toc21703627"/>
      <w:r w:rsidRPr="00202FB1">
        <w:t>Non-attendance</w:t>
      </w:r>
      <w:bookmarkEnd w:id="18"/>
    </w:p>
    <w:p w14:paraId="681F4C5F" w14:textId="17DAC592" w:rsidR="0031374A" w:rsidRPr="00202FB1" w:rsidRDefault="00BB6C05" w:rsidP="0031374A">
      <w:pPr>
        <w:pStyle w:val="guidelinetext"/>
      </w:pPr>
      <w:r>
        <w:t>Provider</w:t>
      </w:r>
      <w:r w:rsidR="0031374A" w:rsidRPr="00AB0649">
        <w:t xml:space="preserve">s must monitor DSP recipient attendance at Appointments and </w:t>
      </w:r>
      <w:r w:rsidR="00144CE4" w:rsidRPr="00202FB1">
        <w:t>attendance and engagement in</w:t>
      </w:r>
      <w:r w:rsidR="0031374A" w:rsidRPr="00202FB1">
        <w:t xml:space="preserve"> compulsory activities.</w:t>
      </w:r>
    </w:p>
    <w:p w14:paraId="13C1B43A" w14:textId="77777777" w:rsidR="0031374A" w:rsidRPr="00202FB1" w:rsidRDefault="0031374A" w:rsidP="0031374A">
      <w:pPr>
        <w:pStyle w:val="Heading2"/>
      </w:pPr>
      <w:bookmarkStart w:id="19" w:name="_Toc21703628"/>
      <w:r w:rsidRPr="00202FB1">
        <w:t>Appointments</w:t>
      </w:r>
      <w:bookmarkEnd w:id="19"/>
    </w:p>
    <w:p w14:paraId="092BD523" w14:textId="2A08A832" w:rsidR="0031374A" w:rsidRPr="00202FB1" w:rsidRDefault="0031374A" w:rsidP="0031374A">
      <w:pPr>
        <w:pStyle w:val="guidelinetext"/>
      </w:pPr>
      <w:r w:rsidRPr="00202FB1">
        <w:t xml:space="preserve">Where a DSP recipient does not attend an Appointment with their </w:t>
      </w:r>
      <w:r w:rsidR="00BB6C05">
        <w:t>Provider</w:t>
      </w:r>
      <w:r w:rsidR="007B34D1" w:rsidRPr="00202FB1">
        <w:t xml:space="preserve">, the </w:t>
      </w:r>
      <w:r w:rsidR="00BB6C05">
        <w:t>Provider</w:t>
      </w:r>
      <w:r w:rsidRPr="00202FB1">
        <w:t xml:space="preserve"> must attempt to contact the DSP recipient on the day of non-attendance. </w:t>
      </w:r>
    </w:p>
    <w:p w14:paraId="719C5ECD" w14:textId="4B519889" w:rsidR="0031374A" w:rsidRPr="00202FB1" w:rsidRDefault="0031374A" w:rsidP="0031374A">
      <w:pPr>
        <w:pStyle w:val="guidelinetext"/>
      </w:pPr>
      <w:r w:rsidRPr="00202FB1">
        <w:t>Where contact can be made with the</w:t>
      </w:r>
      <w:r w:rsidR="007B34D1" w:rsidRPr="00202FB1">
        <w:t xml:space="preserve"> DSP recipient, the </w:t>
      </w:r>
      <w:r w:rsidR="00BB6C05">
        <w:t>Provider</w:t>
      </w:r>
      <w:r w:rsidRPr="00202FB1">
        <w:t xml:space="preserve"> must discuss the non-attendance with the DSP recipient and consider whether the DSP recipient has a reasonable excuse for the non-attendance. See the </w:t>
      </w:r>
      <w:r w:rsidR="00D05625" w:rsidRPr="0095743B">
        <w:t>Targeted Compliance Framework</w:t>
      </w:r>
      <w:r w:rsidR="00202FB1" w:rsidRPr="0095743B">
        <w:t xml:space="preserve"> Guideline</w:t>
      </w:r>
      <w:r w:rsidRPr="00202FB1">
        <w:t xml:space="preserve"> for information on assessing reasonable excuse. </w:t>
      </w:r>
    </w:p>
    <w:p w14:paraId="16EDDC6E" w14:textId="488183C7" w:rsidR="0031374A" w:rsidRPr="00202FB1" w:rsidRDefault="0031374A" w:rsidP="0031374A">
      <w:pPr>
        <w:pStyle w:val="guidelinetext"/>
      </w:pPr>
      <w:r w:rsidRPr="00202FB1">
        <w:t>Where contact cannot be made with</w:t>
      </w:r>
      <w:r w:rsidR="007B34D1" w:rsidRPr="00202FB1">
        <w:t xml:space="preserve"> the DSP recipient, </w:t>
      </w:r>
      <w:r w:rsidR="00BB6C05">
        <w:t>Provider</w:t>
      </w:r>
      <w:r w:rsidRPr="00202FB1">
        <w:t xml:space="preserve">s can decide whether it is appropriate to report the non-attendance to </w:t>
      </w:r>
      <w:r w:rsidR="00FE1E10">
        <w:t>Services Australia</w:t>
      </w:r>
      <w:r w:rsidRPr="00202FB1">
        <w:t xml:space="preserve">. </w:t>
      </w:r>
      <w:r w:rsidR="00BB6C05">
        <w:t>Provider</w:t>
      </w:r>
      <w:r w:rsidRPr="00202FB1">
        <w:t>s must consider certain factors to ascertain whether the DSP recipient had a reasonable excuse, including the DSP recipient’s:</w:t>
      </w:r>
    </w:p>
    <w:p w14:paraId="3E2E287A" w14:textId="77777777" w:rsidR="0031374A" w:rsidRPr="00202FB1" w:rsidRDefault="0031374A" w:rsidP="00CA5C59">
      <w:pPr>
        <w:pStyle w:val="guidelinebullet"/>
      </w:pPr>
      <w:r w:rsidRPr="00202FB1">
        <w:t>personal circumstances</w:t>
      </w:r>
    </w:p>
    <w:p w14:paraId="0BD392DC" w14:textId="77777777" w:rsidR="0031374A" w:rsidRPr="00202FB1" w:rsidRDefault="0031374A" w:rsidP="00CA5C59">
      <w:pPr>
        <w:pStyle w:val="guidelinebullet"/>
      </w:pPr>
      <w:r w:rsidRPr="00202FB1">
        <w:t>system-recorded vulnerability indicators (if any)</w:t>
      </w:r>
    </w:p>
    <w:p w14:paraId="4EB5C0C9" w14:textId="77777777" w:rsidR="0031374A" w:rsidRPr="00202FB1" w:rsidRDefault="0031374A" w:rsidP="00CA5C59">
      <w:pPr>
        <w:pStyle w:val="guidelinebullet"/>
      </w:pPr>
      <w:r w:rsidRPr="00202FB1">
        <w:t>recent compliance history, and</w:t>
      </w:r>
    </w:p>
    <w:p w14:paraId="2DB1C812" w14:textId="6C9E4EF0" w:rsidR="0031374A" w:rsidRPr="00202FB1" w:rsidRDefault="0031374A" w:rsidP="00CA5C59">
      <w:pPr>
        <w:pStyle w:val="guidelinebullet"/>
      </w:pPr>
      <w:r w:rsidRPr="00202FB1">
        <w:t xml:space="preserve">any other information </w:t>
      </w:r>
      <w:r w:rsidR="00C42B35" w:rsidRPr="00202FB1">
        <w:t xml:space="preserve">the </w:t>
      </w:r>
      <w:r w:rsidR="00BB6C05">
        <w:t>Provider</w:t>
      </w:r>
      <w:r w:rsidR="00C42B35" w:rsidRPr="00202FB1">
        <w:t xml:space="preserve"> </w:t>
      </w:r>
      <w:r w:rsidRPr="00202FB1">
        <w:t>believe</w:t>
      </w:r>
      <w:r w:rsidR="00C42B35" w:rsidRPr="00202FB1">
        <w:t>s</w:t>
      </w:r>
      <w:r w:rsidRPr="00202FB1">
        <w:t xml:space="preserve"> is relevant.</w:t>
      </w:r>
    </w:p>
    <w:p w14:paraId="18552758" w14:textId="5928AAB1" w:rsidR="00202806" w:rsidRPr="00AB0649" w:rsidRDefault="00EB6E1F" w:rsidP="00202806">
      <w:pPr>
        <w:pStyle w:val="Systemstep"/>
        <w:ind w:left="1418" w:hanging="1418"/>
      </w:pPr>
      <w:r w:rsidRPr="00202FB1">
        <w:rPr>
          <w:b/>
        </w:rPr>
        <w:t xml:space="preserve">System step: </w:t>
      </w:r>
      <w:r w:rsidR="0031374A" w:rsidRPr="00202FB1">
        <w:t xml:space="preserve">Where the </w:t>
      </w:r>
      <w:r w:rsidR="00BB6C05">
        <w:t>Provider</w:t>
      </w:r>
      <w:r w:rsidR="0031374A" w:rsidRPr="00202FB1">
        <w:t xml:space="preserve"> assesses that a reasonable excuse does not exist and decide</w:t>
      </w:r>
      <w:r w:rsidR="00184981" w:rsidRPr="00202FB1">
        <w:t>s</w:t>
      </w:r>
      <w:r w:rsidR="0031374A" w:rsidRPr="00202FB1">
        <w:t xml:space="preserve"> to report the</w:t>
      </w:r>
      <w:r w:rsidR="007B34D1" w:rsidRPr="00202FB1">
        <w:t xml:space="preserve"> non-attendance, the </w:t>
      </w:r>
      <w:r w:rsidR="00BB6C05">
        <w:t>Provider</w:t>
      </w:r>
      <w:r w:rsidR="0031374A" w:rsidRPr="00202FB1">
        <w:t xml:space="preserve"> must </w:t>
      </w:r>
      <w:r w:rsidR="00202806" w:rsidRPr="00202FB1">
        <w:t xml:space="preserve">record ‘Did not attend invalid’ in the </w:t>
      </w:r>
      <w:r w:rsidR="000B1440" w:rsidRPr="009364B6">
        <w:t>Calendar</w:t>
      </w:r>
      <w:r w:rsidR="000B1440" w:rsidRPr="00202FB1">
        <w:t xml:space="preserve"> </w:t>
      </w:r>
      <w:r w:rsidR="00202806" w:rsidRPr="00202FB1">
        <w:t xml:space="preserve">for the appointment. This will automatically create </w:t>
      </w:r>
      <w:r w:rsidR="0031374A" w:rsidRPr="00202FB1">
        <w:t>a Disability Support Pension Appointment Report – Diary</w:t>
      </w:r>
      <w:r w:rsidR="0031374A" w:rsidRPr="00AB0649">
        <w:t xml:space="preserve"> (DARD</w:t>
      </w:r>
      <w:r w:rsidR="002C388D" w:rsidRPr="00AB0649">
        <w:t xml:space="preserve">) </w:t>
      </w:r>
      <w:r w:rsidR="0070145C" w:rsidRPr="00AB0649">
        <w:t xml:space="preserve">for the </w:t>
      </w:r>
      <w:r w:rsidR="00BB6C05">
        <w:t>Provider</w:t>
      </w:r>
      <w:r w:rsidR="0070145C" w:rsidRPr="00AB0649">
        <w:t xml:space="preserve"> </w:t>
      </w:r>
      <w:r w:rsidR="002C388D" w:rsidRPr="00AB0649">
        <w:t>to</w:t>
      </w:r>
      <w:r w:rsidR="00202806" w:rsidRPr="00AB0649">
        <w:t xml:space="preserve"> complete and submit </w:t>
      </w:r>
      <w:r w:rsidR="0031374A" w:rsidRPr="00202FB1">
        <w:t xml:space="preserve">to </w:t>
      </w:r>
      <w:r w:rsidR="00FE1E10">
        <w:t>Services Australia</w:t>
      </w:r>
      <w:r w:rsidR="008D27D5">
        <w:t xml:space="preserve"> </w:t>
      </w:r>
      <w:r w:rsidR="0031374A" w:rsidRPr="00202FB1">
        <w:t xml:space="preserve">through the Department’s IT System. This must be submitted </w:t>
      </w:r>
      <w:r w:rsidR="00EE2B61" w:rsidRPr="009364B6">
        <w:t xml:space="preserve">by close of business on the day </w:t>
      </w:r>
      <w:r w:rsidR="0031374A" w:rsidRPr="00202FB1">
        <w:t>of the missed Appointment</w:t>
      </w:r>
      <w:r w:rsidR="00202806" w:rsidRPr="00AB0649">
        <w:t xml:space="preserve">. </w:t>
      </w:r>
    </w:p>
    <w:p w14:paraId="15D3156A" w14:textId="74208E81" w:rsidR="0031374A" w:rsidRPr="00AB0649" w:rsidRDefault="00FE1E10" w:rsidP="00F451F7">
      <w:pPr>
        <w:pStyle w:val="Systemstep"/>
        <w:numPr>
          <w:ilvl w:val="0"/>
          <w:numId w:val="0"/>
        </w:numPr>
        <w:ind w:left="1418"/>
      </w:pPr>
      <w:r>
        <w:t>Services Australia</w:t>
      </w:r>
      <w:r w:rsidR="00783F98">
        <w:t xml:space="preserve"> </w:t>
      </w:r>
      <w:r w:rsidR="0031374A" w:rsidRPr="00AB0649">
        <w:t>will then investigate and determine what impact, if any, this should have on the DSP recipient’s Income Support Payment.</w:t>
      </w:r>
    </w:p>
    <w:p w14:paraId="5DE9510F" w14:textId="6933CF8B" w:rsidR="0031374A" w:rsidRPr="00202FB1" w:rsidRDefault="00C42B35" w:rsidP="0031374A">
      <w:pPr>
        <w:pStyle w:val="guidelinetext"/>
      </w:pPr>
      <w:r w:rsidRPr="00202FB1">
        <w:t>T</w:t>
      </w:r>
      <w:r w:rsidR="00184981" w:rsidRPr="00202FB1">
        <w:t xml:space="preserve">he </w:t>
      </w:r>
      <w:r w:rsidR="00BB6C05">
        <w:t>Provider</w:t>
      </w:r>
      <w:r w:rsidR="00184981" w:rsidRPr="00202FB1">
        <w:t xml:space="preserve"> </w:t>
      </w:r>
      <w:r w:rsidR="0031374A" w:rsidRPr="00202FB1">
        <w:t>need</w:t>
      </w:r>
      <w:r w:rsidR="00184981" w:rsidRPr="00202FB1">
        <w:t>s</w:t>
      </w:r>
      <w:r w:rsidR="0031374A" w:rsidRPr="00202FB1">
        <w:t xml:space="preserve"> to continue to seek to engage the DSP recipient </w:t>
      </w:r>
      <w:r w:rsidR="00184981" w:rsidRPr="00202FB1">
        <w:t>by</w:t>
      </w:r>
      <w:r w:rsidR="0031374A" w:rsidRPr="00202FB1">
        <w:t xml:space="preserve"> booking another Appointment for them to attend</w:t>
      </w:r>
      <w:r w:rsidRPr="00202FB1">
        <w:t xml:space="preserve"> following the submission of the report to </w:t>
      </w:r>
      <w:r w:rsidR="00FE1E10">
        <w:t>Services Australia</w:t>
      </w:r>
      <w:r w:rsidR="0031374A" w:rsidRPr="00202FB1">
        <w:t xml:space="preserve">. </w:t>
      </w:r>
    </w:p>
    <w:p w14:paraId="1944B6B0" w14:textId="1871258C" w:rsidR="00733501" w:rsidRDefault="007B34D1" w:rsidP="009364B6">
      <w:pPr>
        <w:pStyle w:val="guidelinetext"/>
      </w:pPr>
      <w:r w:rsidRPr="00202FB1">
        <w:t xml:space="preserve">Where the </w:t>
      </w:r>
      <w:r w:rsidR="00BB6C05">
        <w:t>Provider</w:t>
      </w:r>
      <w:r w:rsidR="0031374A" w:rsidRPr="00202FB1">
        <w:t xml:space="preserve"> chooses not to report the non-compliance, they must use another engagement strategy to ensure the DSP recipient meets their compulsory requirements at the next available opportunity.  </w:t>
      </w:r>
    </w:p>
    <w:p w14:paraId="47BA38BC" w14:textId="1CD5326F" w:rsidR="00592132" w:rsidRPr="008E48E9" w:rsidRDefault="00592132" w:rsidP="00491D0E">
      <w:pPr>
        <w:pStyle w:val="guidelinedeedref"/>
        <w:rPr>
          <w:highlight w:val="yellow"/>
        </w:rPr>
      </w:pPr>
      <w:r w:rsidRPr="00491D0E">
        <w:t>(Deed References: Clause 12</w:t>
      </w:r>
      <w:r w:rsidR="007F5AD6">
        <w:t>5.2</w:t>
      </w:r>
      <w:r w:rsidR="00A54007" w:rsidRPr="00491D0E">
        <w:t>, 13</w:t>
      </w:r>
      <w:r w:rsidR="007F5AD6">
        <w:t>1</w:t>
      </w:r>
      <w:r w:rsidRPr="00491D0E">
        <w:t>)</w:t>
      </w:r>
    </w:p>
    <w:p w14:paraId="7C213515" w14:textId="77777777" w:rsidR="0031374A" w:rsidRPr="00AB0649" w:rsidRDefault="0031374A" w:rsidP="0031374A">
      <w:pPr>
        <w:pStyle w:val="Heading2"/>
      </w:pPr>
      <w:bookmarkStart w:id="20" w:name="_Toc468717516"/>
      <w:bookmarkStart w:id="21" w:name="_Toc21703629"/>
      <w:r w:rsidRPr="00AB0649">
        <w:t>Activities</w:t>
      </w:r>
      <w:bookmarkEnd w:id="20"/>
      <w:bookmarkEnd w:id="21"/>
    </w:p>
    <w:p w14:paraId="20FE5AD8" w14:textId="464506C5" w:rsidR="0031374A" w:rsidRPr="00AB0649" w:rsidRDefault="0031374A" w:rsidP="0031374A">
      <w:pPr>
        <w:pStyle w:val="guidelinetext"/>
      </w:pPr>
      <w:r w:rsidRPr="00AB0649">
        <w:t>DSP recipients must participate in the compulsory activities detailed in their Job Plan in return for Incom</w:t>
      </w:r>
      <w:r w:rsidR="007B34D1" w:rsidRPr="00AB0649">
        <w:t xml:space="preserve">e Support Payments. </w:t>
      </w:r>
      <w:r w:rsidR="00BB6C05">
        <w:t>Provider</w:t>
      </w:r>
      <w:r w:rsidRPr="00AB0649">
        <w:t xml:space="preserve">s are responsible for monitoring the attendance and engagement of DSP recipients in these activities. This includes ensuring that DSP recipients are issued with formal notification of their requirements. </w:t>
      </w:r>
    </w:p>
    <w:p w14:paraId="58EFDFD1" w14:textId="3521B3B7" w:rsidR="0031374A" w:rsidRPr="00AB0649" w:rsidRDefault="0031374A" w:rsidP="0031374A">
      <w:pPr>
        <w:pStyle w:val="guidelinetext"/>
      </w:pPr>
      <w:r w:rsidRPr="00AB0649">
        <w:t>Where a DSP recipient does not attend an activity on</w:t>
      </w:r>
      <w:r w:rsidR="007B34D1" w:rsidRPr="00AB0649">
        <w:t xml:space="preserve"> a particular day or days, the </w:t>
      </w:r>
      <w:r w:rsidR="00BB6C05">
        <w:t>Provider</w:t>
      </w:r>
      <w:r w:rsidRPr="00AB0649">
        <w:t xml:space="preserve"> must attempt to contact the DSP recipient on the same Business Day that they become aware of the non-attendance to ascertain if the DSP recipient had a reasonable excuse for </w:t>
      </w:r>
      <w:r w:rsidR="007B34D1" w:rsidRPr="00AB0649">
        <w:t>the missed requirement.</w:t>
      </w:r>
      <w:r w:rsidR="007F387D">
        <w:t xml:space="preserve"> See the</w:t>
      </w:r>
      <w:r w:rsidR="00B156E3" w:rsidRPr="009364B6">
        <w:t xml:space="preserve"> </w:t>
      </w:r>
      <w:r w:rsidR="00B156E3" w:rsidRPr="0095743B">
        <w:t>Targeted Compliance Framework Guideline</w:t>
      </w:r>
      <w:r w:rsidRPr="00AB0649">
        <w:t xml:space="preserve"> for information on </w:t>
      </w:r>
      <w:r w:rsidR="009A4DF9" w:rsidRPr="00AB0649">
        <w:t xml:space="preserve">formal notification and </w:t>
      </w:r>
      <w:r w:rsidRPr="00AB0649">
        <w:t>assessing reasonable excuse.</w:t>
      </w:r>
    </w:p>
    <w:p w14:paraId="056A3C7B" w14:textId="41D239A5" w:rsidR="0052359B" w:rsidRPr="00AB0649" w:rsidRDefault="00EB6E1F" w:rsidP="0052359B">
      <w:pPr>
        <w:pStyle w:val="Systemstep"/>
        <w:ind w:left="1418" w:hanging="1418"/>
      </w:pPr>
      <w:r w:rsidRPr="00AB0649">
        <w:rPr>
          <w:b/>
        </w:rPr>
        <w:t xml:space="preserve">System step: </w:t>
      </w:r>
      <w:r w:rsidR="00C42B35" w:rsidRPr="00AB0649">
        <w:t>T</w:t>
      </w:r>
      <w:r w:rsidR="007B34D1" w:rsidRPr="00AB0649">
        <w:t xml:space="preserve">he </w:t>
      </w:r>
      <w:r w:rsidR="00BB6C05">
        <w:t>Provider</w:t>
      </w:r>
      <w:r w:rsidR="0031374A" w:rsidRPr="00AB0649">
        <w:t xml:space="preserve"> must complete and submit a Disability Support Pension Activity Report (DACR) to </w:t>
      </w:r>
      <w:r w:rsidR="00FE1E10">
        <w:t>Services Australia</w:t>
      </w:r>
      <w:r w:rsidR="00783F98" w:rsidRPr="00AB0649">
        <w:t xml:space="preserve"> </w:t>
      </w:r>
      <w:r w:rsidR="0031374A" w:rsidRPr="00AB0649">
        <w:t xml:space="preserve">through </w:t>
      </w:r>
      <w:r w:rsidR="002078FA" w:rsidRPr="00AB0649">
        <w:t>the Department’s IT System</w:t>
      </w:r>
      <w:r w:rsidR="00C42B35" w:rsidRPr="00AB0649">
        <w:t xml:space="preserve"> where the </w:t>
      </w:r>
      <w:r w:rsidR="00BB6C05">
        <w:t>Provider</w:t>
      </w:r>
      <w:r w:rsidR="00C42B35" w:rsidRPr="00AB0649">
        <w:t xml:space="preserve"> assesses that no reasonable excuse exists and they choose to report it</w:t>
      </w:r>
      <w:r w:rsidR="002078FA" w:rsidRPr="00AB0649">
        <w:t>.</w:t>
      </w:r>
      <w:r w:rsidR="0052359B" w:rsidRPr="00AB0649">
        <w:t xml:space="preserve"> To do this, navigate to the ‘create compliance’ page in the Department’s IT system, select the report and</w:t>
      </w:r>
      <w:r w:rsidR="002078FA" w:rsidRPr="00AB0649">
        <w:t xml:space="preserve"> </w:t>
      </w:r>
      <w:r w:rsidR="0052359B" w:rsidRPr="00AB0649">
        <w:t xml:space="preserve">complete and submit. </w:t>
      </w:r>
      <w:r w:rsidR="002078FA" w:rsidRPr="00AB0649">
        <w:t xml:space="preserve">This </w:t>
      </w:r>
      <w:r w:rsidR="0031374A" w:rsidRPr="00AB0649">
        <w:t>must be submitted within 10 Busi</w:t>
      </w:r>
      <w:r w:rsidR="00A910F7" w:rsidRPr="00AB0649">
        <w:t>ness Days of the incident date.</w:t>
      </w:r>
    </w:p>
    <w:p w14:paraId="579EEF35" w14:textId="7425F991" w:rsidR="0031374A" w:rsidRPr="00AB0649" w:rsidRDefault="00FE1E10" w:rsidP="00F451F7">
      <w:pPr>
        <w:pStyle w:val="Systemstep"/>
        <w:numPr>
          <w:ilvl w:val="0"/>
          <w:numId w:val="0"/>
        </w:numPr>
        <w:ind w:left="1418"/>
      </w:pPr>
      <w:r>
        <w:t>Services Australia</w:t>
      </w:r>
      <w:r w:rsidR="00783F98" w:rsidRPr="00AB0649">
        <w:t xml:space="preserve"> </w:t>
      </w:r>
      <w:r w:rsidR="0031374A" w:rsidRPr="00AB0649">
        <w:t>will then investigate and determine what impact, if any, this should have on the DSP recipient’s Income Support Payment.</w:t>
      </w:r>
    </w:p>
    <w:p w14:paraId="074BAAC2" w14:textId="749758C7" w:rsidR="0031374A" w:rsidRDefault="0031374A" w:rsidP="00CA5C59">
      <w:pPr>
        <w:pStyle w:val="guidelinetext"/>
      </w:pPr>
      <w:r w:rsidRPr="00AB0649">
        <w:t xml:space="preserve">Where the </w:t>
      </w:r>
      <w:r w:rsidR="00BB6C05">
        <w:t>Provider</w:t>
      </w:r>
      <w:r w:rsidRPr="00AB0649">
        <w:t xml:space="preserve"> chooses not to report the non-compliance, </w:t>
      </w:r>
      <w:r w:rsidR="00B0335B" w:rsidRPr="00AB0649">
        <w:t>t</w:t>
      </w:r>
      <w:r w:rsidRPr="00AB0649">
        <w:t>hey must use another engagement strategy to ensure the DSP recipient meets their compulsory requirements at the next available opportunity</w:t>
      </w:r>
      <w:r w:rsidR="00C9574C" w:rsidRPr="00AB0649">
        <w:t>.</w:t>
      </w:r>
    </w:p>
    <w:p w14:paraId="6D35CC5E" w14:textId="059F0BB1" w:rsidR="00592132" w:rsidRPr="00AB0649" w:rsidRDefault="00592132" w:rsidP="00491D0E">
      <w:pPr>
        <w:pStyle w:val="guidelinedeedref"/>
      </w:pPr>
      <w:r w:rsidRPr="00491D0E">
        <w:t>(Deed References: Clause 12</w:t>
      </w:r>
      <w:r w:rsidR="007F5AD6">
        <w:t>5</w:t>
      </w:r>
      <w:r w:rsidRPr="00491D0E">
        <w:t>.2</w:t>
      </w:r>
      <w:r w:rsidR="00A54007" w:rsidRPr="00491D0E">
        <w:t>, 13</w:t>
      </w:r>
      <w:r w:rsidR="007F5AD6">
        <w:t>1</w:t>
      </w:r>
      <w:r w:rsidRPr="00491D0E">
        <w:t>)</w:t>
      </w:r>
    </w:p>
    <w:p w14:paraId="1C4F4D3E" w14:textId="77777777" w:rsidR="0031374A" w:rsidRPr="00F53E45" w:rsidRDefault="0031374A" w:rsidP="00F723A6">
      <w:pPr>
        <w:pStyle w:val="Heading1"/>
        <w:numPr>
          <w:ilvl w:val="0"/>
          <w:numId w:val="6"/>
        </w:numPr>
        <w:ind w:left="567" w:hanging="567"/>
      </w:pPr>
      <w:bookmarkStart w:id="22" w:name="_Toc468717517"/>
      <w:bookmarkStart w:id="23" w:name="_Toc21703630"/>
      <w:r w:rsidRPr="00F53E45">
        <w:t>Suspensions and Exits</w:t>
      </w:r>
      <w:bookmarkEnd w:id="22"/>
      <w:bookmarkEnd w:id="23"/>
    </w:p>
    <w:p w14:paraId="2953047D" w14:textId="77777777" w:rsidR="0031374A" w:rsidRDefault="0031374A" w:rsidP="0031374A">
      <w:pPr>
        <w:pStyle w:val="Heading2"/>
      </w:pPr>
      <w:bookmarkStart w:id="24" w:name="_Toc468717519"/>
      <w:bookmarkStart w:id="25" w:name="_Toc21703631"/>
      <w:r>
        <w:t>Suspensions</w:t>
      </w:r>
      <w:bookmarkEnd w:id="24"/>
      <w:bookmarkEnd w:id="25"/>
    </w:p>
    <w:p w14:paraId="70DFF564" w14:textId="77777777" w:rsidR="0031374A" w:rsidRDefault="0031374A" w:rsidP="0031374A">
      <w:pPr>
        <w:pStyle w:val="guidelinetext"/>
      </w:pPr>
      <w:r>
        <w:t>DSP recipients with compulsory requ</w:t>
      </w:r>
      <w:r w:rsidR="00184981">
        <w:t>irements can be Suspended from S</w:t>
      </w:r>
      <w:r>
        <w:t>ervice where:</w:t>
      </w:r>
    </w:p>
    <w:p w14:paraId="5AD5F031" w14:textId="21C5F543" w:rsidR="0031374A" w:rsidRPr="0031374A" w:rsidRDefault="00FE1E10" w:rsidP="00F723A6">
      <w:pPr>
        <w:pStyle w:val="ListParagraph"/>
        <w:numPr>
          <w:ilvl w:val="0"/>
          <w:numId w:val="5"/>
        </w:numPr>
        <w:autoSpaceDE w:val="0"/>
        <w:autoSpaceDN w:val="0"/>
        <w:adjustRightInd w:val="0"/>
        <w:spacing w:before="0" w:line="276" w:lineRule="auto"/>
        <w:ind w:left="1800" w:right="326"/>
        <w:rPr>
          <w:rFonts w:cs="Calibri"/>
        </w:rPr>
      </w:pPr>
      <w:r>
        <w:t xml:space="preserve">Services Australia </w:t>
      </w:r>
      <w:r w:rsidR="0031374A" w:rsidRPr="0031374A">
        <w:rPr>
          <w:rFonts w:cs="Calibri"/>
        </w:rPr>
        <w:t>applies an Exemption</w:t>
      </w:r>
      <w:r w:rsidR="00C42B35">
        <w:rPr>
          <w:rFonts w:cs="Calibri"/>
        </w:rPr>
        <w:t>,</w:t>
      </w:r>
      <w:r w:rsidR="00184981">
        <w:rPr>
          <w:rFonts w:cs="Calibri"/>
        </w:rPr>
        <w:t xml:space="preserve"> or</w:t>
      </w:r>
    </w:p>
    <w:p w14:paraId="5C6C732C" w14:textId="77777777" w:rsidR="0031374A" w:rsidRPr="0031374A" w:rsidRDefault="0031374A" w:rsidP="00F723A6">
      <w:pPr>
        <w:pStyle w:val="ListParagraph"/>
        <w:numPr>
          <w:ilvl w:val="0"/>
          <w:numId w:val="5"/>
        </w:numPr>
        <w:autoSpaceDE w:val="0"/>
        <w:autoSpaceDN w:val="0"/>
        <w:adjustRightInd w:val="0"/>
        <w:spacing w:before="0" w:line="276" w:lineRule="auto"/>
        <w:ind w:left="1800" w:right="326"/>
        <w:rPr>
          <w:rFonts w:cs="Calibri"/>
        </w:rPr>
      </w:pPr>
      <w:r w:rsidRPr="0031374A">
        <w:rPr>
          <w:rFonts w:cs="Calibri"/>
        </w:rPr>
        <w:t>they have a temporary reduced work capacity of less than eight hours per week.</w:t>
      </w:r>
    </w:p>
    <w:p w14:paraId="478B43FD" w14:textId="18E73A38" w:rsidR="0031374A" w:rsidRDefault="00C42B35" w:rsidP="0031374A">
      <w:pPr>
        <w:pStyle w:val="guidelinetext"/>
      </w:pPr>
      <w:r>
        <w:t xml:space="preserve">The </w:t>
      </w:r>
      <w:r w:rsidR="00BB6C05">
        <w:t>Provider</w:t>
      </w:r>
      <w:r>
        <w:t xml:space="preserve"> </w:t>
      </w:r>
      <w:r w:rsidRPr="0031374A">
        <w:t>must</w:t>
      </w:r>
      <w:r>
        <w:t xml:space="preserve"> provide Services if a</w:t>
      </w:r>
      <w:r w:rsidR="0031374A">
        <w:t xml:space="preserve"> Suspended DSP recipient with compulsory requirements advises they are electing to voluntarily participa</w:t>
      </w:r>
      <w:r w:rsidR="007B34D1">
        <w:t>te in</w:t>
      </w:r>
      <w:r w:rsidR="00DB0B63">
        <w:t xml:space="preserve"> NEST Trial </w:t>
      </w:r>
      <w:r w:rsidR="00BB6C05">
        <w:t>Provider</w:t>
      </w:r>
      <w:r w:rsidR="00CE0B1D">
        <w:t xml:space="preserve"> </w:t>
      </w:r>
      <w:r w:rsidR="00CC1E59">
        <w:t>s</w:t>
      </w:r>
      <w:r w:rsidR="007B34D1">
        <w:t>ervices</w:t>
      </w:r>
      <w:r w:rsidR="002B0D48">
        <w:t>.</w:t>
      </w:r>
    </w:p>
    <w:p w14:paraId="44BC150E" w14:textId="7F4275CE" w:rsidR="0031374A" w:rsidRPr="00473346" w:rsidRDefault="00BB6C05" w:rsidP="0031374A">
      <w:pPr>
        <w:pStyle w:val="guidelinetext"/>
      </w:pPr>
      <w:r>
        <w:t>Provider</w:t>
      </w:r>
      <w:r w:rsidR="0031374A">
        <w:t xml:space="preserve">s </w:t>
      </w:r>
      <w:r w:rsidR="0031374A" w:rsidRPr="0031374A">
        <w:t>must</w:t>
      </w:r>
      <w:r w:rsidR="0031374A">
        <w:t xml:space="preserve"> resume delivery of </w:t>
      </w:r>
      <w:r w:rsidR="00DB0B63">
        <w:t xml:space="preserve">NEST Trial </w:t>
      </w:r>
      <w:r>
        <w:t>Provider</w:t>
      </w:r>
      <w:r w:rsidR="00CE0B1D">
        <w:t xml:space="preserve"> </w:t>
      </w:r>
      <w:r w:rsidR="00DB0B63">
        <w:t>s</w:t>
      </w:r>
      <w:r w:rsidR="00783F98">
        <w:t>ervices</w:t>
      </w:r>
      <w:r w:rsidR="00C42B35" w:rsidRPr="00C42B35">
        <w:t xml:space="preserve"> </w:t>
      </w:r>
      <w:r w:rsidR="00C42B35">
        <w:t>where a Suspension ends</w:t>
      </w:r>
      <w:r w:rsidR="0031374A">
        <w:t>.</w:t>
      </w:r>
    </w:p>
    <w:p w14:paraId="7E80933F" w14:textId="12FB7CEB" w:rsidR="0031374A" w:rsidRDefault="0031374A" w:rsidP="0031374A">
      <w:pPr>
        <w:pStyle w:val="guidelinedeedref"/>
      </w:pPr>
      <w:r w:rsidRPr="00422426">
        <w:t xml:space="preserve">(Deed References: Clause </w:t>
      </w:r>
      <w:r w:rsidR="007F5AD6">
        <w:t>99</w:t>
      </w:r>
      <w:r w:rsidR="00D14765">
        <w:t>, 10</w:t>
      </w:r>
      <w:r w:rsidR="007F5AD6">
        <w:t>0</w:t>
      </w:r>
      <w:r w:rsidRPr="00422426">
        <w:t>)</w:t>
      </w:r>
    </w:p>
    <w:p w14:paraId="259DDDEF" w14:textId="77777777" w:rsidR="0031374A" w:rsidRDefault="0031374A" w:rsidP="009A4DF9">
      <w:pPr>
        <w:pStyle w:val="Heading2"/>
        <w:spacing w:before="120"/>
      </w:pPr>
      <w:bookmarkStart w:id="26" w:name="_Toc468717520"/>
      <w:bookmarkStart w:id="27" w:name="_Toc21703632"/>
      <w:r>
        <w:t>Exits</w:t>
      </w:r>
      <w:bookmarkEnd w:id="26"/>
      <w:bookmarkEnd w:id="27"/>
    </w:p>
    <w:p w14:paraId="3457F204" w14:textId="423D01AD" w:rsidR="0031374A" w:rsidRPr="0031374A" w:rsidRDefault="0031374A" w:rsidP="009A4DF9">
      <w:pPr>
        <w:pStyle w:val="guidelinetext"/>
        <w:spacing w:before="0"/>
      </w:pPr>
      <w:r w:rsidRPr="00960E49">
        <w:t xml:space="preserve">A </w:t>
      </w:r>
      <w:r w:rsidRPr="0031374A">
        <w:t xml:space="preserve">DSP recipient with compulsory requirements may be Effectively Exited from </w:t>
      </w:r>
      <w:r w:rsidR="00DB0B63">
        <w:t xml:space="preserve">NEST Trial </w:t>
      </w:r>
      <w:r w:rsidR="00BB6C05">
        <w:t>Provider</w:t>
      </w:r>
      <w:r w:rsidR="00827A6F">
        <w:t xml:space="preserve"> </w:t>
      </w:r>
      <w:r w:rsidR="00CC1E59">
        <w:t>s</w:t>
      </w:r>
      <w:r w:rsidRPr="0031374A">
        <w:t>ervices where they:</w:t>
      </w:r>
    </w:p>
    <w:p w14:paraId="2CEC5547" w14:textId="77777777" w:rsidR="0031374A" w:rsidRPr="0031374A" w:rsidRDefault="0031374A" w:rsidP="00F723A6">
      <w:pPr>
        <w:pStyle w:val="ListParagraph"/>
        <w:numPr>
          <w:ilvl w:val="0"/>
          <w:numId w:val="5"/>
        </w:numPr>
        <w:autoSpaceDE w:val="0"/>
        <w:autoSpaceDN w:val="0"/>
        <w:adjustRightInd w:val="0"/>
        <w:spacing w:before="0" w:line="276" w:lineRule="auto"/>
        <w:ind w:left="1800" w:right="326"/>
        <w:rPr>
          <w:rFonts w:cs="Calibri"/>
        </w:rPr>
      </w:pPr>
      <w:r w:rsidRPr="0031374A">
        <w:rPr>
          <w:rFonts w:cs="Calibri"/>
        </w:rPr>
        <w:t>are no longer in receipt of Income Support Payments</w:t>
      </w:r>
    </w:p>
    <w:p w14:paraId="019045C3" w14:textId="4D6D31B1" w:rsidR="0031374A" w:rsidRPr="0031374A" w:rsidRDefault="0031374A" w:rsidP="00F723A6">
      <w:pPr>
        <w:pStyle w:val="ListParagraph"/>
        <w:numPr>
          <w:ilvl w:val="0"/>
          <w:numId w:val="5"/>
        </w:numPr>
        <w:autoSpaceDE w:val="0"/>
        <w:autoSpaceDN w:val="0"/>
        <w:adjustRightInd w:val="0"/>
        <w:spacing w:before="0" w:line="276" w:lineRule="auto"/>
        <w:ind w:left="1800" w:right="326"/>
        <w:rPr>
          <w:rFonts w:cs="Calibri"/>
        </w:rPr>
      </w:pPr>
      <w:r w:rsidRPr="0031374A">
        <w:rPr>
          <w:rFonts w:cs="Calibri"/>
        </w:rPr>
        <w:t>are no longer subject to compulsory requirements (for example</w:t>
      </w:r>
      <w:r w:rsidR="00C42B35">
        <w:rPr>
          <w:rFonts w:cs="Calibri"/>
        </w:rPr>
        <w:t>,</w:t>
      </w:r>
      <w:r w:rsidRPr="0031374A">
        <w:rPr>
          <w:rFonts w:cs="Calibri"/>
        </w:rPr>
        <w:t xml:space="preserve"> they turn 35 years old or are reassessed by </w:t>
      </w:r>
      <w:r w:rsidR="00FE1E10">
        <w:t xml:space="preserve">Services Australia </w:t>
      </w:r>
      <w:r w:rsidRPr="0031374A">
        <w:rPr>
          <w:rFonts w:cs="Calibri"/>
        </w:rPr>
        <w:t>as having a work capacity of 0</w:t>
      </w:r>
      <w:r w:rsidRPr="0031374A">
        <w:rPr>
          <w:rFonts w:cs="Calibri"/>
        </w:rPr>
        <w:noBreakHyphen/>
        <w:t>7 hours)</w:t>
      </w:r>
    </w:p>
    <w:p w14:paraId="16D0E976" w14:textId="3009F19A" w:rsidR="0031374A" w:rsidRPr="0031374A" w:rsidRDefault="0031374A" w:rsidP="00F723A6">
      <w:pPr>
        <w:pStyle w:val="ListParagraph"/>
        <w:numPr>
          <w:ilvl w:val="0"/>
          <w:numId w:val="5"/>
        </w:numPr>
        <w:autoSpaceDE w:val="0"/>
        <w:autoSpaceDN w:val="0"/>
        <w:adjustRightInd w:val="0"/>
        <w:spacing w:before="0" w:line="276" w:lineRule="auto"/>
        <w:ind w:left="1800" w:right="326"/>
        <w:rPr>
          <w:rFonts w:cs="Calibri"/>
        </w:rPr>
      </w:pPr>
      <w:r w:rsidRPr="0031374A">
        <w:rPr>
          <w:rFonts w:cs="Calibri"/>
        </w:rPr>
        <w:t xml:space="preserve">are undertaking a compulsory activity agreed with </w:t>
      </w:r>
      <w:r w:rsidR="00FE1E10">
        <w:t xml:space="preserve">Services Australia </w:t>
      </w:r>
      <w:r w:rsidRPr="0031374A">
        <w:rPr>
          <w:rFonts w:cs="Calibri"/>
        </w:rPr>
        <w:t xml:space="preserve">that is not </w:t>
      </w:r>
      <w:r w:rsidR="00DB0B63">
        <w:rPr>
          <w:rFonts w:cs="Calibri"/>
        </w:rPr>
        <w:t xml:space="preserve">NEST Trial </w:t>
      </w:r>
      <w:r w:rsidR="00BB6C05">
        <w:rPr>
          <w:rFonts w:cs="Calibri"/>
        </w:rPr>
        <w:t>Provider</w:t>
      </w:r>
      <w:r w:rsidR="00827A6F">
        <w:rPr>
          <w:rFonts w:cs="Calibri"/>
        </w:rPr>
        <w:t xml:space="preserve"> </w:t>
      </w:r>
      <w:r w:rsidRPr="0031374A">
        <w:rPr>
          <w:rFonts w:cs="Calibri"/>
        </w:rPr>
        <w:t xml:space="preserve">services, or </w:t>
      </w:r>
      <w:r w:rsidR="00C42B35">
        <w:rPr>
          <w:rFonts w:cs="Calibri"/>
        </w:rPr>
        <w:t xml:space="preserve">they have </w:t>
      </w:r>
      <w:r w:rsidRPr="0031374A">
        <w:rPr>
          <w:rFonts w:cs="Calibri"/>
        </w:rPr>
        <w:t>commence</w:t>
      </w:r>
      <w:r w:rsidR="00C42B35">
        <w:rPr>
          <w:rFonts w:cs="Calibri"/>
        </w:rPr>
        <w:t>d</w:t>
      </w:r>
      <w:r w:rsidRPr="0031374A">
        <w:rPr>
          <w:rFonts w:cs="Calibri"/>
        </w:rPr>
        <w:t xml:space="preserve"> in DES</w:t>
      </w:r>
      <w:r w:rsidR="000E495D">
        <w:rPr>
          <w:rFonts w:cs="Calibri"/>
        </w:rPr>
        <w:t xml:space="preserve"> </w:t>
      </w:r>
      <w:r w:rsidRPr="0031374A">
        <w:rPr>
          <w:rFonts w:cs="Calibri"/>
        </w:rPr>
        <w:t xml:space="preserve">or </w:t>
      </w:r>
      <w:r w:rsidR="000E495D">
        <w:rPr>
          <w:rFonts w:cs="Calibri"/>
        </w:rPr>
        <w:t>CDP</w:t>
      </w:r>
      <w:r w:rsidRPr="0031374A">
        <w:rPr>
          <w:rFonts w:cs="Calibri"/>
        </w:rPr>
        <w:t>.</w:t>
      </w:r>
    </w:p>
    <w:p w14:paraId="6799205E" w14:textId="6F43D52D" w:rsidR="0031374A" w:rsidRDefault="0031374A" w:rsidP="0031374A">
      <w:pPr>
        <w:pStyle w:val="guidelinedeedref"/>
      </w:pPr>
      <w:r w:rsidRPr="00422426">
        <w:t xml:space="preserve">(Deed References: Clause </w:t>
      </w:r>
      <w:r w:rsidR="006D2F8D">
        <w:t>10</w:t>
      </w:r>
      <w:r w:rsidR="007F5AD6">
        <w:t>1</w:t>
      </w:r>
      <w:r w:rsidR="006D2F8D">
        <w:t>, 10</w:t>
      </w:r>
      <w:r w:rsidR="007F5AD6">
        <w:t>2</w:t>
      </w:r>
      <w:r w:rsidRPr="00422426">
        <w:t>)</w:t>
      </w:r>
    </w:p>
    <w:p w14:paraId="787BACF2" w14:textId="77777777" w:rsidR="00144CE4" w:rsidRDefault="00144CE4" w:rsidP="00F723A6">
      <w:pPr>
        <w:pStyle w:val="Heading1"/>
        <w:numPr>
          <w:ilvl w:val="0"/>
          <w:numId w:val="6"/>
        </w:numPr>
        <w:ind w:left="567" w:hanging="567"/>
      </w:pPr>
      <w:bookmarkStart w:id="28" w:name="_Toc21703633"/>
      <w:r w:rsidRPr="00144CE4">
        <w:t>DSP recipients with compul</w:t>
      </w:r>
      <w:r>
        <w:t>sory requirements will attract P</w:t>
      </w:r>
      <w:r w:rsidRPr="00144CE4">
        <w:t>ayments</w:t>
      </w:r>
      <w:bookmarkEnd w:id="28"/>
      <w:r w:rsidRPr="00144CE4">
        <w:t xml:space="preserve"> </w:t>
      </w:r>
    </w:p>
    <w:p w14:paraId="0DA00A73" w14:textId="6E3199A6" w:rsidR="00061F54" w:rsidRDefault="00144CE4" w:rsidP="007F5AD6">
      <w:pPr>
        <w:pStyle w:val="guidelinetext"/>
        <w:rPr>
          <w:rFonts w:cs="Calibri"/>
        </w:rPr>
      </w:pPr>
      <w:r w:rsidRPr="00230F4C">
        <w:t>DSP recipients with compulsory requirements will attract Payments and Employment Fund credits</w:t>
      </w:r>
      <w:r w:rsidR="00184981" w:rsidRPr="00230F4C">
        <w:t xml:space="preserve"> for their </w:t>
      </w:r>
      <w:r w:rsidR="00BB6C05">
        <w:t>Provider</w:t>
      </w:r>
      <w:r w:rsidRPr="00230F4C">
        <w:t xml:space="preserve">. </w:t>
      </w:r>
    </w:p>
    <w:p w14:paraId="3F3530E3" w14:textId="12B14072" w:rsidR="006F7040" w:rsidRPr="006F7040" w:rsidRDefault="006F7040" w:rsidP="006F7040">
      <w:pPr>
        <w:autoSpaceDE w:val="0"/>
        <w:autoSpaceDN w:val="0"/>
        <w:adjustRightInd w:val="0"/>
        <w:spacing w:before="0" w:line="276" w:lineRule="auto"/>
        <w:ind w:left="1440" w:right="326"/>
        <w:rPr>
          <w:rFonts w:cs="Calibri"/>
        </w:rPr>
      </w:pPr>
      <w:r>
        <w:rPr>
          <w:rFonts w:cs="Calibri"/>
        </w:rPr>
        <w:t>(</w:t>
      </w:r>
      <w:r w:rsidRPr="006F7040">
        <w:rPr>
          <w:rFonts w:cs="Calibri"/>
        </w:rPr>
        <w:t xml:space="preserve">Refer to the Enhanced Services </w:t>
      </w:r>
      <w:r w:rsidR="00BB6C05">
        <w:rPr>
          <w:rFonts w:cs="Calibri"/>
        </w:rPr>
        <w:t>Provider</w:t>
      </w:r>
      <w:r w:rsidRPr="006F7040">
        <w:rPr>
          <w:rFonts w:cs="Calibri"/>
        </w:rPr>
        <w:t xml:space="preserve"> Payments Guideline for details on NEST payments)</w:t>
      </w:r>
    </w:p>
    <w:p w14:paraId="1220464A" w14:textId="34553F7D" w:rsidR="00144CE4" w:rsidRDefault="00144CE4" w:rsidP="00144CE4">
      <w:pPr>
        <w:pStyle w:val="guidelinedeedref"/>
      </w:pPr>
      <w:r w:rsidRPr="00422426">
        <w:t xml:space="preserve">(Deed References: Clause </w:t>
      </w:r>
      <w:r w:rsidR="006D2F8D">
        <w:t>12</w:t>
      </w:r>
      <w:r w:rsidR="007F5AD6">
        <w:t>0</w:t>
      </w:r>
      <w:r w:rsidR="006D2F8D">
        <w:t>, 13</w:t>
      </w:r>
      <w:r w:rsidR="007F5AD6">
        <w:t>4, 135, 136, 137, 138, 139</w:t>
      </w:r>
      <w:r w:rsidRPr="00422426">
        <w:t>)</w:t>
      </w:r>
    </w:p>
    <w:p w14:paraId="7B3550EF" w14:textId="77777777" w:rsidR="008A5AF4" w:rsidRDefault="008A5AF4" w:rsidP="008A5AF4">
      <w:pPr>
        <w:pStyle w:val="Heading1"/>
      </w:pPr>
      <w:bookmarkStart w:id="29" w:name="_Toc21703634"/>
      <w:r>
        <w:t>Summary of required Documentary Evidence</w:t>
      </w:r>
      <w:bookmarkEnd w:id="29"/>
    </w:p>
    <w:p w14:paraId="476EC8AD" w14:textId="77777777" w:rsidR="002078FA" w:rsidRPr="00CB0AD1" w:rsidRDefault="002078FA" w:rsidP="00B81908">
      <w:pPr>
        <w:pStyle w:val="Heading2"/>
      </w:pPr>
      <w:bookmarkStart w:id="30" w:name="_Toc476211809"/>
      <w:bookmarkStart w:id="31" w:name="_Toc21703635"/>
      <w:r w:rsidRPr="00CB0AD1">
        <w:t>Job Plan</w:t>
      </w:r>
      <w:bookmarkEnd w:id="30"/>
      <w:bookmarkEnd w:id="31"/>
    </w:p>
    <w:p w14:paraId="00156566" w14:textId="2A32E378" w:rsidR="002078FA" w:rsidRPr="00CB0AD1" w:rsidRDefault="002078FA" w:rsidP="002078FA">
      <w:pPr>
        <w:pStyle w:val="docev"/>
        <w:ind w:left="1440" w:hanging="1418"/>
      </w:pPr>
      <w:r w:rsidRPr="00884D65">
        <w:rPr>
          <w:b/>
        </w:rPr>
        <w:t xml:space="preserve">Documentary evidence: </w:t>
      </w:r>
      <w:r w:rsidRPr="00CB0AD1">
        <w:t xml:space="preserve">Where </w:t>
      </w:r>
      <w:r>
        <w:t>a</w:t>
      </w:r>
      <w:r w:rsidRPr="00CB0AD1">
        <w:t xml:space="preserve"> </w:t>
      </w:r>
      <w:r>
        <w:t>DSP recipient</w:t>
      </w:r>
      <w:r w:rsidRPr="0031374A">
        <w:t xml:space="preserve"> with compulsory requirement</w:t>
      </w:r>
      <w:r>
        <w:t xml:space="preserve">s </w:t>
      </w:r>
      <w:r w:rsidRPr="00CB0AD1">
        <w:t>has agreed to a Job Plan by signing a hard copy version, a copy must</w:t>
      </w:r>
      <w:r w:rsidR="00A107E7">
        <w:t xml:space="preserve"> be retained by the </w:t>
      </w:r>
      <w:r w:rsidR="00BB6C05">
        <w:t>Provider</w:t>
      </w:r>
      <w:r w:rsidRPr="00CB0AD1">
        <w:t xml:space="preserve">. </w:t>
      </w:r>
    </w:p>
    <w:p w14:paraId="4FDFB7A5" w14:textId="77777777" w:rsidR="002078FA" w:rsidRPr="00CB0AD1" w:rsidRDefault="002078FA" w:rsidP="00B81908">
      <w:pPr>
        <w:pStyle w:val="Heading2"/>
      </w:pPr>
      <w:bookmarkStart w:id="32" w:name="_Toc476211811"/>
      <w:bookmarkStart w:id="33" w:name="_Toc21703636"/>
      <w:r w:rsidRPr="00CB0AD1">
        <w:t>Outcome Payments</w:t>
      </w:r>
      <w:bookmarkEnd w:id="32"/>
      <w:bookmarkEnd w:id="33"/>
    </w:p>
    <w:p w14:paraId="54951A9F" w14:textId="1CA66612" w:rsidR="008966DC" w:rsidRDefault="002078FA" w:rsidP="008966DC">
      <w:pPr>
        <w:pStyle w:val="docev"/>
        <w:ind w:left="1441" w:hanging="1418"/>
      </w:pPr>
      <w:r w:rsidRPr="001509CF">
        <w:rPr>
          <w:b/>
        </w:rPr>
        <w:t xml:space="preserve">Documentary evidence: </w:t>
      </w:r>
      <w:r w:rsidRPr="00CB0AD1">
        <w:t xml:space="preserve">Please refer to the </w:t>
      </w:r>
      <w:r w:rsidR="001509CF" w:rsidRPr="0095743B">
        <w:t>Vacancies and Outcomes Guideline</w:t>
      </w:r>
      <w:r w:rsidRPr="00CB0AD1">
        <w:t xml:space="preserve"> for detail on the most appropriate form of evidence to be retained for the Outcome Payment being claimed.</w:t>
      </w:r>
    </w:p>
    <w:p w14:paraId="1380A90F" w14:textId="2B9CCF03" w:rsidR="003F4BF8" w:rsidRDefault="008966DC" w:rsidP="008966DC">
      <w:r>
        <w:br w:type="page"/>
      </w:r>
    </w:p>
    <w:p w14:paraId="0B1A735C" w14:textId="77777777" w:rsidR="003F4BF8" w:rsidRDefault="003F4BF8" w:rsidP="003F4BF8">
      <w:pPr>
        <w:sectPr w:rsidR="003F4BF8" w:rsidSect="00452FF5">
          <w:pgSz w:w="11906" w:h="16838"/>
          <w:pgMar w:top="120" w:right="1440" w:bottom="1440" w:left="1440" w:header="142" w:footer="708" w:gutter="0"/>
          <w:cols w:space="708"/>
          <w:docGrid w:linePitch="360"/>
        </w:sectPr>
      </w:pPr>
    </w:p>
    <w:p w14:paraId="0A88A2C1" w14:textId="77777777" w:rsidR="00827A6F" w:rsidRPr="00117913" w:rsidRDefault="00827A6F" w:rsidP="00827A6F">
      <w:pPr>
        <w:pBdr>
          <w:top w:val="single" w:sz="4" w:space="1" w:color="auto"/>
        </w:pBdr>
        <w:ind w:right="-23"/>
        <w:rPr>
          <w:sz w:val="20"/>
        </w:rPr>
      </w:pPr>
      <w:r w:rsidRPr="00117913">
        <w:rPr>
          <w:sz w:val="20"/>
        </w:rPr>
        <w:t>All capitalised terms in this guideline have the same meaning as in the New Employment Services Trial Deed 2019-2022 (the Deed).</w:t>
      </w:r>
    </w:p>
    <w:p w14:paraId="3913F749" w14:textId="77777777" w:rsidR="002C3BB6" w:rsidRDefault="00827A6F" w:rsidP="00827A6F">
      <w:pPr>
        <w:pBdr>
          <w:top w:val="single" w:sz="4" w:space="1" w:color="auto"/>
        </w:pBdr>
        <w:ind w:right="-23"/>
        <w:rPr>
          <w:sz w:val="20"/>
        </w:rPr>
      </w:pPr>
      <w:r w:rsidRPr="00117913">
        <w:rPr>
          <w:sz w:val="20"/>
        </w:rPr>
        <w:t xml:space="preserve">In this guideline, references to </w:t>
      </w:r>
      <w:r w:rsidR="00116316">
        <w:rPr>
          <w:sz w:val="20"/>
        </w:rPr>
        <w:t xml:space="preserve">NEST </w:t>
      </w:r>
      <w:r w:rsidR="00BB6C05">
        <w:rPr>
          <w:sz w:val="20"/>
        </w:rPr>
        <w:t>Provider</w:t>
      </w:r>
      <w:r w:rsidRPr="00117913">
        <w:rPr>
          <w:sz w:val="20"/>
        </w:rPr>
        <w:t xml:space="preserve"> mean</w:t>
      </w:r>
      <w:r w:rsidR="0083441D">
        <w:rPr>
          <w:sz w:val="20"/>
        </w:rPr>
        <w:t>s</w:t>
      </w:r>
      <w:r w:rsidRPr="00117913">
        <w:rPr>
          <w:sz w:val="20"/>
        </w:rPr>
        <w:t xml:space="preserve"> a </w:t>
      </w:r>
      <w:r w:rsidR="00116316">
        <w:rPr>
          <w:sz w:val="20"/>
        </w:rPr>
        <w:t xml:space="preserve">New Employment Services </w:t>
      </w:r>
      <w:r w:rsidRPr="00117913">
        <w:rPr>
          <w:sz w:val="20"/>
        </w:rPr>
        <w:t xml:space="preserve">Trial </w:t>
      </w:r>
      <w:r w:rsidR="00BB6C05">
        <w:rPr>
          <w:sz w:val="20"/>
        </w:rPr>
        <w:t>Provider</w:t>
      </w:r>
      <w:r w:rsidR="002C3BB6">
        <w:rPr>
          <w:sz w:val="20"/>
        </w:rPr>
        <w:t>.</w:t>
      </w:r>
    </w:p>
    <w:p w14:paraId="36D871A6" w14:textId="036D1639" w:rsidR="00827A6F" w:rsidRPr="00117913" w:rsidRDefault="002C3BB6" w:rsidP="00827A6F">
      <w:pPr>
        <w:pBdr>
          <w:top w:val="single" w:sz="4" w:space="1" w:color="auto"/>
        </w:pBdr>
        <w:ind w:right="-23"/>
        <w:rPr>
          <w:sz w:val="20"/>
        </w:rPr>
      </w:pPr>
      <w:r>
        <w:rPr>
          <w:sz w:val="20"/>
        </w:rPr>
        <w:t>R</w:t>
      </w:r>
      <w:r w:rsidR="00827A6F" w:rsidRPr="00117913">
        <w:rPr>
          <w:sz w:val="20"/>
        </w:rPr>
        <w:t xml:space="preserve">eferences to a </w:t>
      </w:r>
      <w:r w:rsidR="00BB6C05">
        <w:rPr>
          <w:sz w:val="20"/>
        </w:rPr>
        <w:t>Participant</w:t>
      </w:r>
      <w:r w:rsidR="00827A6F" w:rsidRPr="00117913">
        <w:rPr>
          <w:sz w:val="20"/>
        </w:rPr>
        <w:t xml:space="preserve"> mean</w:t>
      </w:r>
      <w:r w:rsidR="0083441D">
        <w:rPr>
          <w:sz w:val="20"/>
        </w:rPr>
        <w:t>s</w:t>
      </w:r>
      <w:r w:rsidR="00827A6F" w:rsidRPr="00117913">
        <w:rPr>
          <w:sz w:val="20"/>
        </w:rPr>
        <w:t xml:space="preserve"> a person, who is identified in the Department’s IT Systems as eligible for receiving Trial Services and references to services mean Trial </w:t>
      </w:r>
      <w:r w:rsidR="00BB6C05">
        <w:rPr>
          <w:sz w:val="20"/>
        </w:rPr>
        <w:t>Provider</w:t>
      </w:r>
      <w:r w:rsidR="00827A6F" w:rsidRPr="00117913">
        <w:rPr>
          <w:sz w:val="20"/>
        </w:rPr>
        <w:t xml:space="preserve"> Services as defined in the Deed.</w:t>
      </w:r>
    </w:p>
    <w:p w14:paraId="2B0D9ECF" w14:textId="1340F197" w:rsidR="003F4BF8" w:rsidRPr="0095743B" w:rsidRDefault="00827A6F" w:rsidP="00827A6F">
      <w:pPr>
        <w:pBdr>
          <w:top w:val="single" w:sz="4" w:space="1" w:color="auto"/>
        </w:pBdr>
        <w:ind w:right="-23"/>
      </w:pPr>
      <w:r w:rsidRPr="00117913">
        <w:rPr>
          <w:sz w:val="20"/>
        </w:rPr>
        <w:t xml:space="preserve">This Guideline is not a stand-alone document and does not contain the entirety of </w:t>
      </w:r>
      <w:r w:rsidR="00BB6C05">
        <w:rPr>
          <w:sz w:val="20"/>
        </w:rPr>
        <w:t>Provider</w:t>
      </w:r>
      <w:r w:rsidRPr="00117913">
        <w:rPr>
          <w:sz w:val="20"/>
        </w:rPr>
        <w:t>s’ obligations. It must be read in conjunction with the Deed and any relevant Guidelines or reference material issued by Department of Employment, Skills, Small and Family Business under or in connection with the Deed.</w:t>
      </w:r>
    </w:p>
    <w:sectPr w:rsidR="003F4BF8" w:rsidRPr="0095743B" w:rsidSect="00D36EEA">
      <w:type w:val="continuous"/>
      <w:pgSz w:w="11906" w:h="16838"/>
      <w:pgMar w:top="120" w:right="1440" w:bottom="1440"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C3D63" w14:textId="77777777" w:rsidR="002B0BF5" w:rsidRDefault="002B0BF5" w:rsidP="008A194F">
      <w:pPr>
        <w:spacing w:before="0"/>
      </w:pPr>
      <w:r>
        <w:separator/>
      </w:r>
    </w:p>
  </w:endnote>
  <w:endnote w:type="continuationSeparator" w:id="0">
    <w:p w14:paraId="3527E322" w14:textId="77777777" w:rsidR="002B0BF5" w:rsidRDefault="002B0BF5" w:rsidP="008A19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03523" w14:textId="60C8C541" w:rsidR="002B0BF5" w:rsidRPr="001F19A3" w:rsidRDefault="002B0BF5" w:rsidP="00E112A1">
    <w:pPr>
      <w:pStyle w:val="Footer"/>
      <w:pBdr>
        <w:top w:val="single" w:sz="4" w:space="1" w:color="767171" w:themeColor="background2" w:themeShade="80"/>
      </w:pBdr>
      <w:rPr>
        <w:sz w:val="20"/>
        <w:szCs w:val="20"/>
      </w:rPr>
    </w:pPr>
    <w:r w:rsidRPr="001F19A3">
      <w:rPr>
        <w:sz w:val="20"/>
        <w:szCs w:val="20"/>
      </w:rPr>
      <w:t xml:space="preserve">Effective </w:t>
    </w:r>
    <w:r w:rsidRPr="00B24DA3">
      <w:rPr>
        <w:sz w:val="20"/>
        <w:szCs w:val="20"/>
      </w:rPr>
      <w:t xml:space="preserve">from: </w:t>
    </w:r>
    <w:r w:rsidRPr="00A36925">
      <w:rPr>
        <w:sz w:val="20"/>
        <w:szCs w:val="20"/>
      </w:rPr>
      <w:t>16 July 2018</w:t>
    </w:r>
    <w:r w:rsidRPr="001F19A3">
      <w:rPr>
        <w:sz w:val="20"/>
        <w:szCs w:val="20"/>
      </w:rPr>
      <w:tab/>
      <w:t xml:space="preserve">version </w:t>
    </w:r>
    <w:r>
      <w:rPr>
        <w:sz w:val="20"/>
        <w:szCs w:val="20"/>
      </w:rPr>
      <w:t>4.0</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491E28">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B445C3">
      <w:rPr>
        <w:noProof/>
        <w:sz w:val="20"/>
        <w:szCs w:val="20"/>
      </w:rPr>
      <w:t>9</w:t>
    </w:r>
    <w:r w:rsidRPr="001F19A3">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1DF72" w14:textId="06724CB1" w:rsidR="002A5A30" w:rsidRDefault="001C5B72">
    <w:pPr>
      <w:pStyle w:val="Footer"/>
    </w:pPr>
    <w:r w:rsidRPr="001F19A3">
      <w:rPr>
        <w:sz w:val="20"/>
        <w:szCs w:val="20"/>
      </w:rPr>
      <w:t xml:space="preserve">Effective </w:t>
    </w:r>
    <w:r w:rsidRPr="00B24DA3">
      <w:rPr>
        <w:sz w:val="20"/>
        <w:szCs w:val="20"/>
      </w:rPr>
      <w:t xml:space="preserve">from: </w:t>
    </w:r>
    <w:r w:rsidR="00116316">
      <w:rPr>
        <w:sz w:val="20"/>
        <w:szCs w:val="20"/>
      </w:rPr>
      <w:t>4 Nov</w:t>
    </w:r>
    <w:r>
      <w:rPr>
        <w:sz w:val="20"/>
        <w:szCs w:val="20"/>
      </w:rPr>
      <w:t xml:space="preserve"> 19</w:t>
    </w:r>
    <w:r w:rsidRPr="001F19A3">
      <w:rPr>
        <w:sz w:val="20"/>
        <w:szCs w:val="20"/>
      </w:rPr>
      <w:tab/>
    </w:r>
    <w:r w:rsidRPr="00116316">
      <w:rPr>
        <w:sz w:val="20"/>
        <w:szCs w:val="20"/>
      </w:rPr>
      <w:t>TRIM ID:</w:t>
    </w:r>
    <w:r w:rsidR="00F91628" w:rsidRPr="00F91628">
      <w:t xml:space="preserve"> </w:t>
    </w:r>
    <w:r w:rsidR="00F91628" w:rsidRPr="00F91628">
      <w:rPr>
        <w:sz w:val="20"/>
        <w:szCs w:val="20"/>
      </w:rPr>
      <w:t>D19/1941397</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623EC9">
      <w:rPr>
        <w:noProof/>
        <w:sz w:val="20"/>
        <w:szCs w:val="20"/>
      </w:rPr>
      <w:t>1</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623EC9">
      <w:rPr>
        <w:noProof/>
        <w:sz w:val="20"/>
        <w:szCs w:val="20"/>
      </w:rPr>
      <w:t>9</w:t>
    </w:r>
    <w:r w:rsidRPr="001F19A3">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DF41A" w14:textId="432F215F" w:rsidR="00491E28" w:rsidRPr="001F19A3" w:rsidRDefault="00491E28" w:rsidP="00E112A1">
    <w:pPr>
      <w:pStyle w:val="Footer"/>
      <w:pBdr>
        <w:top w:val="single" w:sz="4" w:space="1" w:color="767171" w:themeColor="background2" w:themeShade="80"/>
      </w:pBdr>
      <w:rPr>
        <w:sz w:val="20"/>
        <w:szCs w:val="20"/>
      </w:rPr>
    </w:pPr>
    <w:r w:rsidRPr="001F19A3">
      <w:rPr>
        <w:sz w:val="20"/>
        <w:szCs w:val="20"/>
      </w:rPr>
      <w:t xml:space="preserve">Effective </w:t>
    </w:r>
    <w:r w:rsidRPr="00B24DA3">
      <w:rPr>
        <w:sz w:val="20"/>
        <w:szCs w:val="20"/>
      </w:rPr>
      <w:t>from</w:t>
    </w:r>
    <w:r w:rsidR="00116316">
      <w:rPr>
        <w:sz w:val="20"/>
        <w:szCs w:val="20"/>
      </w:rPr>
      <w:t>: 4 Nov</w:t>
    </w:r>
    <w:r>
      <w:rPr>
        <w:sz w:val="20"/>
        <w:szCs w:val="20"/>
      </w:rPr>
      <w:t xml:space="preserve"> 19</w:t>
    </w:r>
    <w:r w:rsidRPr="001F19A3">
      <w:rPr>
        <w:sz w:val="20"/>
        <w:szCs w:val="20"/>
      </w:rPr>
      <w:tab/>
    </w:r>
    <w:r w:rsidRPr="00116316">
      <w:rPr>
        <w:sz w:val="20"/>
        <w:szCs w:val="20"/>
      </w:rPr>
      <w:t>TRIM ID:</w:t>
    </w:r>
    <w:r w:rsidR="00F91628" w:rsidRPr="00F91628">
      <w:t xml:space="preserve"> </w:t>
    </w:r>
    <w:r w:rsidR="00F91628" w:rsidRPr="00F91628">
      <w:rPr>
        <w:sz w:val="20"/>
        <w:szCs w:val="20"/>
      </w:rPr>
      <w:t>D19/1941397</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623EC9">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623EC9">
      <w:rPr>
        <w:noProof/>
        <w:sz w:val="20"/>
        <w:szCs w:val="20"/>
      </w:rPr>
      <w:t>9</w:t>
    </w:r>
    <w:r w:rsidRPr="001F19A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080EA" w14:textId="77777777" w:rsidR="002B0BF5" w:rsidRDefault="002B0BF5" w:rsidP="008A194F">
      <w:pPr>
        <w:spacing w:before="0"/>
      </w:pPr>
      <w:r>
        <w:separator/>
      </w:r>
    </w:p>
  </w:footnote>
  <w:footnote w:type="continuationSeparator" w:id="0">
    <w:p w14:paraId="39128AFC" w14:textId="77777777" w:rsidR="002B0BF5" w:rsidRDefault="002B0BF5" w:rsidP="008A19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D6A30" w14:textId="75D44EA2" w:rsidR="002B0BF5" w:rsidRPr="002A5A30" w:rsidRDefault="002B0BF5" w:rsidP="002A5A30">
    <w:pPr>
      <w:pStyle w:val="Header"/>
      <w:pBdr>
        <w:bottom w:val="single" w:sz="4" w:space="1" w:color="767171" w:themeColor="background2" w:themeShade="80"/>
      </w:pBdr>
      <w:tabs>
        <w:tab w:val="clear" w:pos="4513"/>
      </w:tabs>
      <w:ind w:left="-709"/>
      <w:rPr>
        <w:color w:val="808080" w:themeColor="background1" w:themeShade="8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DC95D" w14:textId="7A35C9DE" w:rsidR="002B0BF5" w:rsidRDefault="002B0BF5" w:rsidP="000613A1">
    <w:pPr>
      <w:pStyle w:val="Header"/>
      <w:tabs>
        <w:tab w:val="clear" w:pos="4513"/>
        <w:tab w:val="clear" w:pos="9026"/>
        <w:tab w:val="left" w:pos="1825"/>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C0BEF" w14:textId="700C9AA1" w:rsidR="00E62E6C" w:rsidRDefault="00E62E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80E0A" w14:textId="2E94FB9D" w:rsidR="00E62E6C" w:rsidRDefault="00E62E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2FD0F" w14:textId="6CD98693" w:rsidR="00E62E6C" w:rsidRDefault="00E62E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0597" w14:textId="32076065" w:rsidR="00E62E6C" w:rsidRDefault="00E62E6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BF82E" w14:textId="6009CC7F" w:rsidR="002A5A30" w:rsidRPr="002A5A30" w:rsidRDefault="002A5A30" w:rsidP="002A5A30">
    <w:pPr>
      <w:pStyle w:val="Header"/>
      <w:pBdr>
        <w:bottom w:val="single" w:sz="4" w:space="1" w:color="767171" w:themeColor="background2" w:themeShade="80"/>
      </w:pBdr>
      <w:tabs>
        <w:tab w:val="clear" w:pos="4513"/>
      </w:tabs>
      <w:ind w:left="-709"/>
      <w:rPr>
        <w:color w:val="808080" w:themeColor="background1" w:themeShade="80"/>
      </w:rPr>
    </w:pPr>
    <w:r>
      <w:t>New Employment Services Trial guideline</w:t>
    </w:r>
    <w:r>
      <w:tab/>
    </w:r>
    <w:r w:rsidRPr="002A5A30">
      <w:rPr>
        <w:b/>
        <w:color w:val="808080" w:themeColor="background1" w:themeShade="80"/>
      </w:rPr>
      <w:t>Disability Support Pension Recipients (Compulsory Requirements)</w:t>
    </w:r>
  </w:p>
  <w:p w14:paraId="46D3BEB6" w14:textId="356F4522" w:rsidR="002B0BF5" w:rsidRPr="002A5A30" w:rsidRDefault="002B0BF5" w:rsidP="002A5A3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B4D85" w14:textId="248589E2" w:rsidR="002A5A30" w:rsidRPr="002A5A30" w:rsidRDefault="002A5A30" w:rsidP="002A5A30">
    <w:pPr>
      <w:pStyle w:val="Header"/>
      <w:pBdr>
        <w:bottom w:val="single" w:sz="4" w:space="1" w:color="767171" w:themeColor="background2" w:themeShade="80"/>
      </w:pBdr>
      <w:tabs>
        <w:tab w:val="clear" w:pos="4513"/>
      </w:tabs>
      <w:ind w:left="-709"/>
      <w:rPr>
        <w:color w:val="808080" w:themeColor="background1" w:themeShade="80"/>
      </w:rPr>
    </w:pPr>
    <w:r>
      <w:t>New Employment Services Trial guideline</w:t>
    </w:r>
    <w:r>
      <w:tab/>
    </w:r>
    <w:r w:rsidRPr="002A5A30">
      <w:rPr>
        <w:b/>
        <w:color w:val="808080" w:themeColor="background1" w:themeShade="80"/>
      </w:rPr>
      <w:t>Disability Support Pension Recipients (Compulsory Requirements)</w:t>
    </w:r>
  </w:p>
  <w:p w14:paraId="1C80B53A" w14:textId="00F76431" w:rsidR="002B0BF5" w:rsidRPr="002A5A30" w:rsidRDefault="002B0BF5" w:rsidP="002A5A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5055A"/>
    <w:multiLevelType w:val="hybridMultilevel"/>
    <w:tmpl w:val="0DD85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704A0E"/>
    <w:multiLevelType w:val="hybridMultilevel"/>
    <w:tmpl w:val="F22C3D9A"/>
    <w:lvl w:ilvl="0" w:tplc="CBC023C8">
      <w:start w:val="1"/>
      <w:numFmt w:val="bullet"/>
      <w:pStyle w:val="docev"/>
      <w:lvlText w:val=""/>
      <w:lvlJc w:val="left"/>
      <w:pPr>
        <w:ind w:left="720" w:hanging="360"/>
      </w:pPr>
      <w:rPr>
        <w:rFonts w:ascii="Wingdings" w:hAnsi="Wingdings" w:hint="default"/>
        <w:b w:val="0"/>
        <w:i w:val="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B111CA"/>
    <w:multiLevelType w:val="hybridMultilevel"/>
    <w:tmpl w:val="2EE8C472"/>
    <w:lvl w:ilvl="0" w:tplc="E9AE60E4">
      <w:start w:val="1"/>
      <w:numFmt w:val="bullet"/>
      <w:pStyle w:val="WHS"/>
      <w:lvlText w:val=""/>
      <w:lvlJc w:val="left"/>
      <w:pPr>
        <w:ind w:left="360" w:hanging="360"/>
      </w:pPr>
      <w:rPr>
        <w:rFonts w:ascii="Webdings" w:hAnsi="Webdings" w:hint="default"/>
        <w:b/>
        <w:i w:val="0"/>
        <w:color w:val="FF0000"/>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181161"/>
    <w:multiLevelType w:val="hybridMultilevel"/>
    <w:tmpl w:val="55A27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F16AB1"/>
    <w:multiLevelType w:val="hybridMultilevel"/>
    <w:tmpl w:val="C1846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DF1F44"/>
    <w:multiLevelType w:val="hybridMultilevel"/>
    <w:tmpl w:val="7DF6EBC4"/>
    <w:lvl w:ilvl="0" w:tplc="EFA64B3A">
      <w:start w:val="1"/>
      <w:numFmt w:val="bullet"/>
      <w:pStyle w:val="Systemstep"/>
      <w:lvlText w:val=""/>
      <w:lvlJc w:val="left"/>
      <w:pPr>
        <w:ind w:left="360" w:hanging="360"/>
      </w:pPr>
      <w:rPr>
        <w:rFonts w:ascii="Wingdings" w:hAnsi="Wingdings" w:hint="default"/>
        <w:b w:val="0"/>
        <w:i w:val="0"/>
        <w:sz w:val="28"/>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57F05CD2"/>
    <w:multiLevelType w:val="hybridMultilevel"/>
    <w:tmpl w:val="5F329AD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5A074A"/>
    <w:multiLevelType w:val="hybridMultilevel"/>
    <w:tmpl w:val="828E0358"/>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8065EFE"/>
    <w:multiLevelType w:val="multilevel"/>
    <w:tmpl w:val="F3C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27836"/>
    <w:multiLevelType w:val="hybridMultilevel"/>
    <w:tmpl w:val="04A68DDC"/>
    <w:lvl w:ilvl="0" w:tplc="29EEE73C">
      <w:start w:val="1"/>
      <w:numFmt w:val="bullet"/>
      <w:pStyle w:val="guidelinebullet"/>
      <w:lvlText w:val=""/>
      <w:lvlJc w:val="left"/>
      <w:pPr>
        <w:ind w:left="1800" w:hanging="360"/>
      </w:pPr>
      <w:rPr>
        <w:rFonts w:ascii="Symbol" w:hAnsi="Symbol" w:hint="default"/>
      </w:rPr>
    </w:lvl>
    <w:lvl w:ilvl="1" w:tplc="EBB8AED6">
      <w:numFmt w:val="bullet"/>
      <w:lvlText w:val="-"/>
      <w:lvlJc w:val="left"/>
      <w:pPr>
        <w:ind w:left="2520" w:hanging="360"/>
      </w:pPr>
      <w:rPr>
        <w:rFonts w:ascii="Garamond" w:eastAsiaTheme="minorHAnsi" w:hAnsi="Garamond" w:cs="Garamond"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0"/>
  </w:num>
  <w:num w:numId="6">
    <w:abstractNumId w:val="3"/>
  </w:num>
  <w:num w:numId="7">
    <w:abstractNumId w:val="7"/>
  </w:num>
  <w:num w:numId="8">
    <w:abstractNumId w:val="4"/>
  </w:num>
  <w:num w:numId="9">
    <w:abstractNumId w:val="6"/>
  </w:num>
  <w:num w:numId="1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formsDesign/>
  <w:defaultTabStop w:val="720"/>
  <w:characterSpacingControl w:val="doNotCompress"/>
  <w:hdrShapeDefaults>
    <o:shapedefaults v:ext="edit" spidmax="747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87795B"/>
    <w:rsid w:val="000048E3"/>
    <w:rsid w:val="00010831"/>
    <w:rsid w:val="00013D32"/>
    <w:rsid w:val="00027D53"/>
    <w:rsid w:val="00034634"/>
    <w:rsid w:val="000418EB"/>
    <w:rsid w:val="00057568"/>
    <w:rsid w:val="000613A1"/>
    <w:rsid w:val="00061F54"/>
    <w:rsid w:val="00067DD3"/>
    <w:rsid w:val="00072B6D"/>
    <w:rsid w:val="00080ECD"/>
    <w:rsid w:val="00085796"/>
    <w:rsid w:val="00092D23"/>
    <w:rsid w:val="000A28D2"/>
    <w:rsid w:val="000B1440"/>
    <w:rsid w:val="000E1D94"/>
    <w:rsid w:val="000E495D"/>
    <w:rsid w:val="000F25E4"/>
    <w:rsid w:val="000F4941"/>
    <w:rsid w:val="00101FC4"/>
    <w:rsid w:val="0010507F"/>
    <w:rsid w:val="00105D57"/>
    <w:rsid w:val="00107DDD"/>
    <w:rsid w:val="00110014"/>
    <w:rsid w:val="00111D75"/>
    <w:rsid w:val="00114C63"/>
    <w:rsid w:val="00116316"/>
    <w:rsid w:val="00133C3E"/>
    <w:rsid w:val="0013446F"/>
    <w:rsid w:val="001370E0"/>
    <w:rsid w:val="00140F25"/>
    <w:rsid w:val="001430FD"/>
    <w:rsid w:val="00144CE4"/>
    <w:rsid w:val="00145D76"/>
    <w:rsid w:val="00146FF3"/>
    <w:rsid w:val="001509CF"/>
    <w:rsid w:val="00154202"/>
    <w:rsid w:val="001665E0"/>
    <w:rsid w:val="00167996"/>
    <w:rsid w:val="00175BFA"/>
    <w:rsid w:val="001778AE"/>
    <w:rsid w:val="001846C2"/>
    <w:rsid w:val="00184981"/>
    <w:rsid w:val="0019343A"/>
    <w:rsid w:val="0019586C"/>
    <w:rsid w:val="001A42CE"/>
    <w:rsid w:val="001C24CC"/>
    <w:rsid w:val="001C5B72"/>
    <w:rsid w:val="001D15D4"/>
    <w:rsid w:val="001E0D30"/>
    <w:rsid w:val="001E6206"/>
    <w:rsid w:val="001F19A3"/>
    <w:rsid w:val="00202806"/>
    <w:rsid w:val="00202FB1"/>
    <w:rsid w:val="002078FA"/>
    <w:rsid w:val="0021281E"/>
    <w:rsid w:val="00213D42"/>
    <w:rsid w:val="0021796A"/>
    <w:rsid w:val="0022352A"/>
    <w:rsid w:val="002252A4"/>
    <w:rsid w:val="00230F4C"/>
    <w:rsid w:val="002370D0"/>
    <w:rsid w:val="002445BB"/>
    <w:rsid w:val="002450E1"/>
    <w:rsid w:val="00251322"/>
    <w:rsid w:val="00257794"/>
    <w:rsid w:val="00261D6B"/>
    <w:rsid w:val="0026548F"/>
    <w:rsid w:val="00275162"/>
    <w:rsid w:val="0027592B"/>
    <w:rsid w:val="00282581"/>
    <w:rsid w:val="00283BA1"/>
    <w:rsid w:val="00285B11"/>
    <w:rsid w:val="00287AE2"/>
    <w:rsid w:val="00292B22"/>
    <w:rsid w:val="00295881"/>
    <w:rsid w:val="002A5A30"/>
    <w:rsid w:val="002B0BF5"/>
    <w:rsid w:val="002B0D48"/>
    <w:rsid w:val="002B5948"/>
    <w:rsid w:val="002C388D"/>
    <w:rsid w:val="002C3BB6"/>
    <w:rsid w:val="002D04AB"/>
    <w:rsid w:val="002D1607"/>
    <w:rsid w:val="002E1060"/>
    <w:rsid w:val="002E6FDB"/>
    <w:rsid w:val="002E7954"/>
    <w:rsid w:val="002F45FE"/>
    <w:rsid w:val="002F504A"/>
    <w:rsid w:val="00300D2A"/>
    <w:rsid w:val="0030287C"/>
    <w:rsid w:val="00305DC3"/>
    <w:rsid w:val="00306695"/>
    <w:rsid w:val="0031374A"/>
    <w:rsid w:val="003357FC"/>
    <w:rsid w:val="00335F8C"/>
    <w:rsid w:val="00350BCD"/>
    <w:rsid w:val="003545A1"/>
    <w:rsid w:val="00360033"/>
    <w:rsid w:val="0037483E"/>
    <w:rsid w:val="00381C14"/>
    <w:rsid w:val="0038206E"/>
    <w:rsid w:val="003826F2"/>
    <w:rsid w:val="00392278"/>
    <w:rsid w:val="003A016F"/>
    <w:rsid w:val="003A4267"/>
    <w:rsid w:val="003A5E89"/>
    <w:rsid w:val="003A69B3"/>
    <w:rsid w:val="003A77E6"/>
    <w:rsid w:val="003B1287"/>
    <w:rsid w:val="003D7CBF"/>
    <w:rsid w:val="003E376D"/>
    <w:rsid w:val="003E760D"/>
    <w:rsid w:val="003F0A75"/>
    <w:rsid w:val="003F3648"/>
    <w:rsid w:val="003F4BF8"/>
    <w:rsid w:val="00401056"/>
    <w:rsid w:val="00417A08"/>
    <w:rsid w:val="00420416"/>
    <w:rsid w:val="004247D1"/>
    <w:rsid w:val="0042621D"/>
    <w:rsid w:val="00433192"/>
    <w:rsid w:val="004521C1"/>
    <w:rsid w:val="00452FF5"/>
    <w:rsid w:val="00466C61"/>
    <w:rsid w:val="004850AB"/>
    <w:rsid w:val="004869A4"/>
    <w:rsid w:val="00491D0E"/>
    <w:rsid w:val="00491E28"/>
    <w:rsid w:val="004948C6"/>
    <w:rsid w:val="004B7823"/>
    <w:rsid w:val="004B7969"/>
    <w:rsid w:val="004C0D84"/>
    <w:rsid w:val="004C5158"/>
    <w:rsid w:val="004C7241"/>
    <w:rsid w:val="004D1D54"/>
    <w:rsid w:val="004E2616"/>
    <w:rsid w:val="004E68E5"/>
    <w:rsid w:val="004F1037"/>
    <w:rsid w:val="004F3916"/>
    <w:rsid w:val="004F4428"/>
    <w:rsid w:val="004F7D6A"/>
    <w:rsid w:val="00505741"/>
    <w:rsid w:val="00510757"/>
    <w:rsid w:val="00517472"/>
    <w:rsid w:val="00520C9C"/>
    <w:rsid w:val="0052359B"/>
    <w:rsid w:val="00530107"/>
    <w:rsid w:val="0053542E"/>
    <w:rsid w:val="00541956"/>
    <w:rsid w:val="005561FE"/>
    <w:rsid w:val="005621AA"/>
    <w:rsid w:val="0056589E"/>
    <w:rsid w:val="0058684F"/>
    <w:rsid w:val="0059027E"/>
    <w:rsid w:val="005910D0"/>
    <w:rsid w:val="00591330"/>
    <w:rsid w:val="005918A5"/>
    <w:rsid w:val="00592132"/>
    <w:rsid w:val="005922DC"/>
    <w:rsid w:val="005A124E"/>
    <w:rsid w:val="005B3D76"/>
    <w:rsid w:val="005B75B3"/>
    <w:rsid w:val="005C4595"/>
    <w:rsid w:val="005C4A53"/>
    <w:rsid w:val="005D08B5"/>
    <w:rsid w:val="005D2BEF"/>
    <w:rsid w:val="005D35C5"/>
    <w:rsid w:val="005D72CD"/>
    <w:rsid w:val="005E091C"/>
    <w:rsid w:val="005E36A7"/>
    <w:rsid w:val="005E3856"/>
    <w:rsid w:val="005F60E0"/>
    <w:rsid w:val="006009E1"/>
    <w:rsid w:val="00615617"/>
    <w:rsid w:val="0061741D"/>
    <w:rsid w:val="00621D37"/>
    <w:rsid w:val="00623EC9"/>
    <w:rsid w:val="00627DF1"/>
    <w:rsid w:val="00636801"/>
    <w:rsid w:val="00636B39"/>
    <w:rsid w:val="006614DE"/>
    <w:rsid w:val="00662692"/>
    <w:rsid w:val="006673BB"/>
    <w:rsid w:val="00676668"/>
    <w:rsid w:val="006810B6"/>
    <w:rsid w:val="0068370E"/>
    <w:rsid w:val="00696C9C"/>
    <w:rsid w:val="006A3A0A"/>
    <w:rsid w:val="006B33BE"/>
    <w:rsid w:val="006D19B0"/>
    <w:rsid w:val="006D2618"/>
    <w:rsid w:val="006D2F8D"/>
    <w:rsid w:val="006D6F9A"/>
    <w:rsid w:val="006E6AD6"/>
    <w:rsid w:val="006E7872"/>
    <w:rsid w:val="006F63C9"/>
    <w:rsid w:val="006F7040"/>
    <w:rsid w:val="0070145C"/>
    <w:rsid w:val="0071096C"/>
    <w:rsid w:val="00714931"/>
    <w:rsid w:val="00716495"/>
    <w:rsid w:val="00723EF0"/>
    <w:rsid w:val="007278B0"/>
    <w:rsid w:val="007334B5"/>
    <w:rsid w:val="00733501"/>
    <w:rsid w:val="0073798D"/>
    <w:rsid w:val="007417BA"/>
    <w:rsid w:val="0075088C"/>
    <w:rsid w:val="007514DF"/>
    <w:rsid w:val="007519DB"/>
    <w:rsid w:val="00752BB4"/>
    <w:rsid w:val="0076502E"/>
    <w:rsid w:val="007753B1"/>
    <w:rsid w:val="00781ACB"/>
    <w:rsid w:val="00781B14"/>
    <w:rsid w:val="00783F98"/>
    <w:rsid w:val="007843D0"/>
    <w:rsid w:val="007A1B89"/>
    <w:rsid w:val="007A2AF7"/>
    <w:rsid w:val="007A5388"/>
    <w:rsid w:val="007B34D1"/>
    <w:rsid w:val="007C5162"/>
    <w:rsid w:val="007D1F45"/>
    <w:rsid w:val="007D30E5"/>
    <w:rsid w:val="007D323D"/>
    <w:rsid w:val="007E5230"/>
    <w:rsid w:val="007E6CEE"/>
    <w:rsid w:val="007F045A"/>
    <w:rsid w:val="007F387D"/>
    <w:rsid w:val="007F3B3E"/>
    <w:rsid w:val="007F5AD6"/>
    <w:rsid w:val="007F7584"/>
    <w:rsid w:val="00805256"/>
    <w:rsid w:val="00817B3F"/>
    <w:rsid w:val="00824029"/>
    <w:rsid w:val="00827A6F"/>
    <w:rsid w:val="00827FFA"/>
    <w:rsid w:val="00830572"/>
    <w:rsid w:val="008316A7"/>
    <w:rsid w:val="0083441D"/>
    <w:rsid w:val="008353DD"/>
    <w:rsid w:val="00837C9D"/>
    <w:rsid w:val="00837E53"/>
    <w:rsid w:val="008530D0"/>
    <w:rsid w:val="008569A8"/>
    <w:rsid w:val="00857DB0"/>
    <w:rsid w:val="0086246D"/>
    <w:rsid w:val="008634E7"/>
    <w:rsid w:val="008646A8"/>
    <w:rsid w:val="0086631F"/>
    <w:rsid w:val="0087795B"/>
    <w:rsid w:val="00894CC5"/>
    <w:rsid w:val="008963B7"/>
    <w:rsid w:val="008966BB"/>
    <w:rsid w:val="008966DC"/>
    <w:rsid w:val="008A194F"/>
    <w:rsid w:val="008A5A44"/>
    <w:rsid w:val="008A5AF4"/>
    <w:rsid w:val="008B7C6B"/>
    <w:rsid w:val="008C42EE"/>
    <w:rsid w:val="008D2418"/>
    <w:rsid w:val="008D27D5"/>
    <w:rsid w:val="008E48E9"/>
    <w:rsid w:val="00913703"/>
    <w:rsid w:val="009230AD"/>
    <w:rsid w:val="0092372D"/>
    <w:rsid w:val="009257F4"/>
    <w:rsid w:val="009364B6"/>
    <w:rsid w:val="009525AB"/>
    <w:rsid w:val="0095743B"/>
    <w:rsid w:val="00961526"/>
    <w:rsid w:val="009640F7"/>
    <w:rsid w:val="0096480C"/>
    <w:rsid w:val="00984892"/>
    <w:rsid w:val="00994590"/>
    <w:rsid w:val="009A4672"/>
    <w:rsid w:val="009A4DF9"/>
    <w:rsid w:val="009B6F77"/>
    <w:rsid w:val="009C02DE"/>
    <w:rsid w:val="009D37C2"/>
    <w:rsid w:val="009D503B"/>
    <w:rsid w:val="009F39A1"/>
    <w:rsid w:val="009F39E5"/>
    <w:rsid w:val="009F46A2"/>
    <w:rsid w:val="009F46B6"/>
    <w:rsid w:val="00A107E7"/>
    <w:rsid w:val="00A159C7"/>
    <w:rsid w:val="00A33E67"/>
    <w:rsid w:val="00A36925"/>
    <w:rsid w:val="00A4068B"/>
    <w:rsid w:val="00A5364E"/>
    <w:rsid w:val="00A54007"/>
    <w:rsid w:val="00A561B1"/>
    <w:rsid w:val="00A60E0E"/>
    <w:rsid w:val="00A701B3"/>
    <w:rsid w:val="00A743B1"/>
    <w:rsid w:val="00A86143"/>
    <w:rsid w:val="00A910F7"/>
    <w:rsid w:val="00A9467A"/>
    <w:rsid w:val="00A97BC9"/>
    <w:rsid w:val="00AA2DD3"/>
    <w:rsid w:val="00AA3890"/>
    <w:rsid w:val="00AB0649"/>
    <w:rsid w:val="00AB28D3"/>
    <w:rsid w:val="00AB3A8F"/>
    <w:rsid w:val="00AC5ACB"/>
    <w:rsid w:val="00AD4DB4"/>
    <w:rsid w:val="00AE7C36"/>
    <w:rsid w:val="00AF2D71"/>
    <w:rsid w:val="00AF57E5"/>
    <w:rsid w:val="00AF69B8"/>
    <w:rsid w:val="00B0335B"/>
    <w:rsid w:val="00B04938"/>
    <w:rsid w:val="00B06297"/>
    <w:rsid w:val="00B1402E"/>
    <w:rsid w:val="00B156E3"/>
    <w:rsid w:val="00B24DA3"/>
    <w:rsid w:val="00B24DBC"/>
    <w:rsid w:val="00B324B6"/>
    <w:rsid w:val="00B4206D"/>
    <w:rsid w:val="00B426DE"/>
    <w:rsid w:val="00B445C3"/>
    <w:rsid w:val="00B65FB0"/>
    <w:rsid w:val="00B74AD4"/>
    <w:rsid w:val="00B81908"/>
    <w:rsid w:val="00B826C7"/>
    <w:rsid w:val="00B83A9B"/>
    <w:rsid w:val="00B91EFD"/>
    <w:rsid w:val="00B939B1"/>
    <w:rsid w:val="00B93C8C"/>
    <w:rsid w:val="00B947A4"/>
    <w:rsid w:val="00B94A58"/>
    <w:rsid w:val="00BA3AA6"/>
    <w:rsid w:val="00BA40A9"/>
    <w:rsid w:val="00BA5878"/>
    <w:rsid w:val="00BB6C05"/>
    <w:rsid w:val="00BB7551"/>
    <w:rsid w:val="00BC3ECC"/>
    <w:rsid w:val="00BD6385"/>
    <w:rsid w:val="00C009FB"/>
    <w:rsid w:val="00C0104A"/>
    <w:rsid w:val="00C05FDA"/>
    <w:rsid w:val="00C11141"/>
    <w:rsid w:val="00C163C6"/>
    <w:rsid w:val="00C25137"/>
    <w:rsid w:val="00C25B23"/>
    <w:rsid w:val="00C27956"/>
    <w:rsid w:val="00C3493A"/>
    <w:rsid w:val="00C4276F"/>
    <w:rsid w:val="00C42B35"/>
    <w:rsid w:val="00C53535"/>
    <w:rsid w:val="00C56330"/>
    <w:rsid w:val="00C611D0"/>
    <w:rsid w:val="00C63BC2"/>
    <w:rsid w:val="00C67EED"/>
    <w:rsid w:val="00C70FEA"/>
    <w:rsid w:val="00C73113"/>
    <w:rsid w:val="00C760F0"/>
    <w:rsid w:val="00C80C94"/>
    <w:rsid w:val="00C835CE"/>
    <w:rsid w:val="00C863F9"/>
    <w:rsid w:val="00C925FE"/>
    <w:rsid w:val="00C9574C"/>
    <w:rsid w:val="00CA1832"/>
    <w:rsid w:val="00CA5C59"/>
    <w:rsid w:val="00CA798F"/>
    <w:rsid w:val="00CB1E81"/>
    <w:rsid w:val="00CB2E9D"/>
    <w:rsid w:val="00CB3F5B"/>
    <w:rsid w:val="00CB5D26"/>
    <w:rsid w:val="00CB716D"/>
    <w:rsid w:val="00CC1E59"/>
    <w:rsid w:val="00CD5638"/>
    <w:rsid w:val="00CD565D"/>
    <w:rsid w:val="00CE0B1D"/>
    <w:rsid w:val="00CF05A5"/>
    <w:rsid w:val="00CF5C7D"/>
    <w:rsid w:val="00CF768B"/>
    <w:rsid w:val="00D05625"/>
    <w:rsid w:val="00D10C2B"/>
    <w:rsid w:val="00D14765"/>
    <w:rsid w:val="00D15C65"/>
    <w:rsid w:val="00D21549"/>
    <w:rsid w:val="00D354E5"/>
    <w:rsid w:val="00D36EEA"/>
    <w:rsid w:val="00D42C4D"/>
    <w:rsid w:val="00D50B38"/>
    <w:rsid w:val="00D628F1"/>
    <w:rsid w:val="00D662C8"/>
    <w:rsid w:val="00D82461"/>
    <w:rsid w:val="00D87B53"/>
    <w:rsid w:val="00D911DD"/>
    <w:rsid w:val="00DA22B7"/>
    <w:rsid w:val="00DB08ED"/>
    <w:rsid w:val="00DB0B63"/>
    <w:rsid w:val="00DC2B4C"/>
    <w:rsid w:val="00DC65FA"/>
    <w:rsid w:val="00DD0BE2"/>
    <w:rsid w:val="00DD1784"/>
    <w:rsid w:val="00DD20C0"/>
    <w:rsid w:val="00DD5CE0"/>
    <w:rsid w:val="00DF70F2"/>
    <w:rsid w:val="00E02BF3"/>
    <w:rsid w:val="00E112A1"/>
    <w:rsid w:val="00E12AFD"/>
    <w:rsid w:val="00E358E3"/>
    <w:rsid w:val="00E41BF1"/>
    <w:rsid w:val="00E471AD"/>
    <w:rsid w:val="00E54028"/>
    <w:rsid w:val="00E62E6C"/>
    <w:rsid w:val="00E659DA"/>
    <w:rsid w:val="00E67D9C"/>
    <w:rsid w:val="00E67EFF"/>
    <w:rsid w:val="00E74DF7"/>
    <w:rsid w:val="00E811CD"/>
    <w:rsid w:val="00E81BC9"/>
    <w:rsid w:val="00E85283"/>
    <w:rsid w:val="00E8532A"/>
    <w:rsid w:val="00E85674"/>
    <w:rsid w:val="00E85C0D"/>
    <w:rsid w:val="00E94C12"/>
    <w:rsid w:val="00EA1998"/>
    <w:rsid w:val="00EB6E1F"/>
    <w:rsid w:val="00ED23AF"/>
    <w:rsid w:val="00ED492E"/>
    <w:rsid w:val="00EE1E8C"/>
    <w:rsid w:val="00EE2B61"/>
    <w:rsid w:val="00EF19AD"/>
    <w:rsid w:val="00F07FCD"/>
    <w:rsid w:val="00F12767"/>
    <w:rsid w:val="00F135ED"/>
    <w:rsid w:val="00F151BF"/>
    <w:rsid w:val="00F227E9"/>
    <w:rsid w:val="00F24D71"/>
    <w:rsid w:val="00F26C74"/>
    <w:rsid w:val="00F34781"/>
    <w:rsid w:val="00F451F7"/>
    <w:rsid w:val="00F46AEF"/>
    <w:rsid w:val="00F532E8"/>
    <w:rsid w:val="00F53E45"/>
    <w:rsid w:val="00F621E6"/>
    <w:rsid w:val="00F70AC0"/>
    <w:rsid w:val="00F723A6"/>
    <w:rsid w:val="00F7332C"/>
    <w:rsid w:val="00F8158F"/>
    <w:rsid w:val="00F83C60"/>
    <w:rsid w:val="00F902B2"/>
    <w:rsid w:val="00F91628"/>
    <w:rsid w:val="00F92F27"/>
    <w:rsid w:val="00FA3C98"/>
    <w:rsid w:val="00FA4B4D"/>
    <w:rsid w:val="00FB1171"/>
    <w:rsid w:val="00FB4A2E"/>
    <w:rsid w:val="00FC0563"/>
    <w:rsid w:val="00FD231E"/>
    <w:rsid w:val="00FD24E7"/>
    <w:rsid w:val="00FE1E10"/>
    <w:rsid w:val="00FE1EDD"/>
    <w:rsid w:val="00FE2EB7"/>
    <w:rsid w:val="00FF1A7E"/>
    <w:rsid w:val="00FF1B96"/>
    <w:rsid w:val="00FF22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4753"/>
    <o:shapelayout v:ext="edit">
      <o:idmap v:ext="edit" data="1"/>
    </o:shapelayout>
  </w:shapeDefaults>
  <w:decimalSymbol w:val="."/>
  <w:listSeparator w:val=","/>
  <w14:docId w14:val="6C76B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2B"/>
    <w:pPr>
      <w:keepNext/>
      <w:keepLines/>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106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aliases w:val="Recommendation,Bullet Point,List Paragraph1,List Paragraph11,L,Bullet points,Content descriptions,Body Bullets 1,Bullet point,Main,CV text,Table text,F5 List Paragraph,Dot pt,List Paragraph111,Medium Grid 1 - Accent 21,Numbered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733501"/>
    <w:rPr>
      <w:b/>
      <w:bCs/>
      <w:i/>
      <w:iCs/>
      <w:sz w:val="24"/>
      <w:szCs w:val="24"/>
    </w:rPr>
  </w:style>
  <w:style w:type="paragraph" w:styleId="TOC3">
    <w:name w:val="toc 3"/>
    <w:basedOn w:val="Normal"/>
    <w:next w:val="Normal"/>
    <w:autoRedefine/>
    <w:uiPriority w:val="39"/>
    <w:unhideWhenUsed/>
    <w:rsid w:val="00733501"/>
    <w:pPr>
      <w:spacing w:before="0"/>
      <w:ind w:left="440"/>
    </w:pPr>
    <w:rPr>
      <w:sz w:val="20"/>
      <w:szCs w:val="20"/>
    </w:rPr>
  </w:style>
  <w:style w:type="paragraph" w:styleId="TOC2">
    <w:name w:val="toc 2"/>
    <w:basedOn w:val="Normal"/>
    <w:next w:val="Normal"/>
    <w:autoRedefine/>
    <w:uiPriority w:val="39"/>
    <w:unhideWhenUsed/>
    <w:rsid w:val="00C835CE"/>
    <w:pPr>
      <w:tabs>
        <w:tab w:val="right" w:pos="9016"/>
      </w:tabs>
      <w:ind w:left="720"/>
    </w:pPr>
    <w:rPr>
      <w:b/>
      <w:bCs/>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uiPriority w:val="99"/>
    <w:qFormat/>
    <w:rsid w:val="00A561B1"/>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Main Char,CV text Char,Table text Char,F5 List Paragraph Char"/>
    <w:basedOn w:val="DefaultParagraphFont"/>
    <w:link w:val="ListParagraph"/>
    <w:uiPriority w:val="34"/>
    <w:qFormat/>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Heading2"/>
    <w:link w:val="guidelinedocinfoChar"/>
    <w:qFormat/>
    <w:rsid w:val="00285B11"/>
    <w:pPr>
      <w:pBdr>
        <w:top w:val="single" w:sz="4" w:space="1" w:color="767171" w:themeColor="background2" w:themeShade="80"/>
      </w:pBdr>
    </w:pPr>
    <w:rPr>
      <w:rFonts w:asciiTheme="minorHAnsi" w:hAnsiTheme="minorHAnsi"/>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85B11"/>
    <w:rPr>
      <w:rFonts w:eastAsiaTheme="majorEastAsia" w:cstheme="majorBidi"/>
      <w:color w:val="767171" w:themeColor="background2" w:themeShade="80"/>
      <w:sz w:val="26"/>
      <w:szCs w:val="26"/>
    </w:rPr>
  </w:style>
  <w:style w:type="paragraph" w:customStyle="1" w:styleId="Systemstep">
    <w:name w:val="System step"/>
    <w:basedOn w:val="guidelinetext"/>
    <w:link w:val="SystemstepChar"/>
    <w:qFormat/>
    <w:rsid w:val="00AF57E5"/>
    <w:pPr>
      <w:numPr>
        <w:numId w:val="2"/>
      </w:numPr>
    </w:pPr>
  </w:style>
  <w:style w:type="table" w:styleId="TableGrid">
    <w:name w:val="Table Grid"/>
    <w:basedOn w:val="TableNormal"/>
    <w:uiPriority w:val="39"/>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A159C7"/>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unhideWhenUsed/>
    <w:rsid w:val="002E6FDB"/>
    <w:rPr>
      <w:sz w:val="16"/>
      <w:szCs w:val="16"/>
    </w:rPr>
  </w:style>
  <w:style w:type="paragraph" w:styleId="CommentText">
    <w:name w:val="annotation text"/>
    <w:basedOn w:val="Normal"/>
    <w:link w:val="CommentTextChar"/>
    <w:uiPriority w:val="99"/>
    <w:unhideWhenUsed/>
    <w:rsid w:val="002E6FDB"/>
    <w:rPr>
      <w:sz w:val="20"/>
      <w:szCs w:val="20"/>
    </w:rPr>
  </w:style>
  <w:style w:type="character" w:customStyle="1" w:styleId="CommentTextChar">
    <w:name w:val="Comment Text Char"/>
    <w:basedOn w:val="DefaultParagraphFont"/>
    <w:link w:val="CommentText"/>
    <w:uiPriority w:val="99"/>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guidelinetext"/>
    <w:link w:val="docevChar"/>
    <w:qFormat/>
    <w:rsid w:val="00AF57E5"/>
    <w:pPr>
      <w:numPr>
        <w:numId w:val="3"/>
      </w:numPr>
    </w:pPr>
  </w:style>
  <w:style w:type="paragraph" w:customStyle="1" w:styleId="WHS">
    <w:name w:val="WHS"/>
    <w:basedOn w:val="guidelinetext"/>
    <w:link w:val="WHSChar"/>
    <w:qFormat/>
    <w:rsid w:val="00AF57E5"/>
    <w:pPr>
      <w:numPr>
        <w:numId w:val="4"/>
      </w:numPr>
      <w:ind w:left="1418" w:hanging="1418"/>
    </w:pPr>
  </w:style>
  <w:style w:type="character" w:customStyle="1" w:styleId="docevChar">
    <w:name w:val="doc ev Char"/>
    <w:basedOn w:val="SystemstepChar"/>
    <w:link w:val="docev"/>
    <w:rsid w:val="00A159C7"/>
  </w:style>
  <w:style w:type="character" w:customStyle="1" w:styleId="WHSChar">
    <w:name w:val="WHS Char"/>
    <w:basedOn w:val="SystemstepChar"/>
    <w:link w:val="WHS"/>
    <w:rsid w:val="00A159C7"/>
  </w:style>
  <w:style w:type="paragraph" w:customStyle="1" w:styleId="Frontpagesub-heading">
    <w:name w:val="Front page sub-heading"/>
    <w:basedOn w:val="Heading3"/>
    <w:link w:val="Frontpagesub-headingChar"/>
    <w:qFormat/>
    <w:rsid w:val="00285B11"/>
    <w:pPr>
      <w:ind w:left="0"/>
    </w:pPr>
    <w:rPr>
      <w:rFonts w:asciiTheme="minorHAnsi" w:hAnsiTheme="minorHAnsi"/>
      <w:b/>
      <w:color w:val="auto"/>
      <w:sz w:val="20"/>
    </w:rPr>
  </w:style>
  <w:style w:type="character" w:customStyle="1" w:styleId="Frontpagesub-headingChar">
    <w:name w:val="Front page sub-heading Char"/>
    <w:basedOn w:val="Heading3Char"/>
    <w:link w:val="Frontpagesub-heading"/>
    <w:rsid w:val="00285B11"/>
    <w:rPr>
      <w:rFonts w:asciiTheme="majorHAnsi" w:eastAsiaTheme="majorEastAsia" w:hAnsiTheme="majorHAnsi" w:cstheme="majorBidi"/>
      <w:b/>
      <w:color w:val="1F4D78" w:themeColor="accent1" w:themeShade="7F"/>
      <w:sz w:val="20"/>
      <w:szCs w:val="24"/>
    </w:rPr>
  </w:style>
  <w:style w:type="character" w:styleId="FollowedHyperlink">
    <w:name w:val="FollowedHyperlink"/>
    <w:basedOn w:val="DefaultParagraphFont"/>
    <w:uiPriority w:val="99"/>
    <w:semiHidden/>
    <w:unhideWhenUsed/>
    <w:rsid w:val="00080ECD"/>
    <w:rPr>
      <w:color w:val="954F72" w:themeColor="followedHyperlink"/>
      <w:u w:val="single"/>
    </w:rPr>
  </w:style>
  <w:style w:type="paragraph" w:styleId="Revision">
    <w:name w:val="Revision"/>
    <w:hidden/>
    <w:uiPriority w:val="99"/>
    <w:semiHidden/>
    <w:rsid w:val="0070145C"/>
    <w:pPr>
      <w:spacing w:before="0"/>
    </w:pPr>
  </w:style>
  <w:style w:type="paragraph" w:styleId="TOC4">
    <w:name w:val="toc 4"/>
    <w:basedOn w:val="Normal"/>
    <w:next w:val="Normal"/>
    <w:autoRedefine/>
    <w:uiPriority w:val="39"/>
    <w:unhideWhenUsed/>
    <w:rsid w:val="005F60E0"/>
    <w:pPr>
      <w:spacing w:before="0"/>
      <w:ind w:left="660"/>
    </w:pPr>
    <w:rPr>
      <w:sz w:val="20"/>
      <w:szCs w:val="20"/>
    </w:rPr>
  </w:style>
  <w:style w:type="paragraph" w:styleId="TOC5">
    <w:name w:val="toc 5"/>
    <w:basedOn w:val="Normal"/>
    <w:next w:val="Normal"/>
    <w:autoRedefine/>
    <w:uiPriority w:val="39"/>
    <w:unhideWhenUsed/>
    <w:rsid w:val="005F60E0"/>
    <w:pPr>
      <w:spacing w:before="0"/>
      <w:ind w:left="880"/>
    </w:pPr>
    <w:rPr>
      <w:sz w:val="20"/>
      <w:szCs w:val="20"/>
    </w:rPr>
  </w:style>
  <w:style w:type="paragraph" w:styleId="TOC6">
    <w:name w:val="toc 6"/>
    <w:basedOn w:val="Normal"/>
    <w:next w:val="Normal"/>
    <w:autoRedefine/>
    <w:uiPriority w:val="39"/>
    <w:unhideWhenUsed/>
    <w:rsid w:val="005F60E0"/>
    <w:pPr>
      <w:spacing w:before="0"/>
      <w:ind w:left="1100"/>
    </w:pPr>
    <w:rPr>
      <w:sz w:val="20"/>
      <w:szCs w:val="20"/>
    </w:rPr>
  </w:style>
  <w:style w:type="paragraph" w:styleId="TOC7">
    <w:name w:val="toc 7"/>
    <w:basedOn w:val="Normal"/>
    <w:next w:val="Normal"/>
    <w:autoRedefine/>
    <w:uiPriority w:val="39"/>
    <w:unhideWhenUsed/>
    <w:rsid w:val="005F60E0"/>
    <w:pPr>
      <w:spacing w:before="0"/>
      <w:ind w:left="1320"/>
    </w:pPr>
    <w:rPr>
      <w:sz w:val="20"/>
      <w:szCs w:val="20"/>
    </w:rPr>
  </w:style>
  <w:style w:type="paragraph" w:styleId="TOC8">
    <w:name w:val="toc 8"/>
    <w:basedOn w:val="Normal"/>
    <w:next w:val="Normal"/>
    <w:autoRedefine/>
    <w:uiPriority w:val="39"/>
    <w:unhideWhenUsed/>
    <w:rsid w:val="005F60E0"/>
    <w:pPr>
      <w:spacing w:before="0"/>
      <w:ind w:left="1540"/>
    </w:pPr>
    <w:rPr>
      <w:sz w:val="20"/>
      <w:szCs w:val="20"/>
    </w:rPr>
  </w:style>
  <w:style w:type="paragraph" w:styleId="TOC9">
    <w:name w:val="toc 9"/>
    <w:basedOn w:val="Normal"/>
    <w:next w:val="Normal"/>
    <w:autoRedefine/>
    <w:uiPriority w:val="39"/>
    <w:unhideWhenUsed/>
    <w:rsid w:val="005F60E0"/>
    <w:pPr>
      <w:spacing w:before="0"/>
      <w:ind w:left="1760"/>
    </w:pPr>
    <w:rPr>
      <w:sz w:val="20"/>
      <w:szCs w:val="20"/>
    </w:rPr>
  </w:style>
  <w:style w:type="character" w:customStyle="1" w:styleId="Heading4Char">
    <w:name w:val="Heading 4 Char"/>
    <w:basedOn w:val="DefaultParagraphFont"/>
    <w:link w:val="Heading4"/>
    <w:uiPriority w:val="9"/>
    <w:semiHidden/>
    <w:rsid w:val="002E1060"/>
    <w:rPr>
      <w:rFonts w:asciiTheme="majorHAnsi" w:eastAsiaTheme="majorEastAsia" w:hAnsiTheme="majorHAnsi" w:cstheme="majorBidi"/>
      <w:i/>
      <w:iCs/>
      <w:color w:val="2E74B5" w:themeColor="accent1" w:themeShade="BF"/>
    </w:rPr>
  </w:style>
  <w:style w:type="paragraph" w:customStyle="1" w:styleId="ms-rteelement-p1">
    <w:name w:val="ms-rteelement-p1"/>
    <w:basedOn w:val="Normal"/>
    <w:rsid w:val="00E85283"/>
    <w:pPr>
      <w:spacing w:before="100" w:beforeAutospacing="1" w:after="100" w:afterAutospacing="1"/>
    </w:pPr>
    <w:rPr>
      <w:rFonts w:ascii="Times New Roman" w:eastAsia="Times New Roman" w:hAnsi="Times New Roman" w:cs="Times New Roman"/>
      <w:color w:val="57617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1924489134">
      <w:bodyDiv w:val="1"/>
      <w:marLeft w:val="0"/>
      <w:marRight w:val="0"/>
      <w:marTop w:val="0"/>
      <w:marBottom w:val="0"/>
      <w:divBdr>
        <w:top w:val="none" w:sz="0" w:space="0" w:color="auto"/>
        <w:left w:val="none" w:sz="0" w:space="0" w:color="auto"/>
        <w:bottom w:val="none" w:sz="0" w:space="0" w:color="auto"/>
        <w:right w:val="none" w:sz="0" w:space="0" w:color="auto"/>
      </w:divBdr>
      <w:divsChild>
        <w:div w:id="1969359382">
          <w:marLeft w:val="0"/>
          <w:marRight w:val="0"/>
          <w:marTop w:val="0"/>
          <w:marBottom w:val="0"/>
          <w:divBdr>
            <w:top w:val="none" w:sz="0" w:space="0" w:color="auto"/>
            <w:left w:val="none" w:sz="0" w:space="0" w:color="auto"/>
            <w:bottom w:val="none" w:sz="0" w:space="0" w:color="auto"/>
            <w:right w:val="none" w:sz="0" w:space="0" w:color="auto"/>
          </w:divBdr>
          <w:divsChild>
            <w:div w:id="391806598">
              <w:marLeft w:val="0"/>
              <w:marRight w:val="0"/>
              <w:marTop w:val="0"/>
              <w:marBottom w:val="0"/>
              <w:divBdr>
                <w:top w:val="none" w:sz="0" w:space="0" w:color="auto"/>
                <w:left w:val="none" w:sz="0" w:space="0" w:color="auto"/>
                <w:bottom w:val="none" w:sz="0" w:space="0" w:color="auto"/>
                <w:right w:val="none" w:sz="0" w:space="0" w:color="auto"/>
              </w:divBdr>
              <w:divsChild>
                <w:div w:id="979384061">
                  <w:marLeft w:val="0"/>
                  <w:marRight w:val="0"/>
                  <w:marTop w:val="0"/>
                  <w:marBottom w:val="0"/>
                  <w:divBdr>
                    <w:top w:val="none" w:sz="0" w:space="0" w:color="auto"/>
                    <w:left w:val="none" w:sz="0" w:space="0" w:color="auto"/>
                    <w:bottom w:val="none" w:sz="0" w:space="0" w:color="auto"/>
                    <w:right w:val="none" w:sz="0" w:space="0" w:color="auto"/>
                  </w:divBdr>
                  <w:divsChild>
                    <w:div w:id="1845629131">
                      <w:marLeft w:val="0"/>
                      <w:marRight w:val="0"/>
                      <w:marTop w:val="0"/>
                      <w:marBottom w:val="0"/>
                      <w:divBdr>
                        <w:top w:val="none" w:sz="0" w:space="0" w:color="auto"/>
                        <w:left w:val="none" w:sz="0" w:space="0" w:color="auto"/>
                        <w:bottom w:val="none" w:sz="0" w:space="0" w:color="auto"/>
                        <w:right w:val="none" w:sz="0" w:space="0" w:color="auto"/>
                      </w:divBdr>
                      <w:divsChild>
                        <w:div w:id="1859731503">
                          <w:marLeft w:val="3150"/>
                          <w:marRight w:val="225"/>
                          <w:marTop w:val="0"/>
                          <w:marBottom w:val="0"/>
                          <w:divBdr>
                            <w:top w:val="none" w:sz="0" w:space="0" w:color="auto"/>
                            <w:left w:val="none" w:sz="0" w:space="0" w:color="auto"/>
                            <w:bottom w:val="none" w:sz="0" w:space="0" w:color="auto"/>
                            <w:right w:val="none" w:sz="0" w:space="0" w:color="auto"/>
                          </w:divBdr>
                          <w:divsChild>
                            <w:div w:id="1641959743">
                              <w:marLeft w:val="0"/>
                              <w:marRight w:val="0"/>
                              <w:marTop w:val="0"/>
                              <w:marBottom w:val="0"/>
                              <w:divBdr>
                                <w:top w:val="none" w:sz="0" w:space="0" w:color="auto"/>
                                <w:left w:val="none" w:sz="0" w:space="0" w:color="auto"/>
                                <w:bottom w:val="none" w:sz="0" w:space="0" w:color="auto"/>
                                <w:right w:val="none" w:sz="0" w:space="0" w:color="auto"/>
                              </w:divBdr>
                              <w:divsChild>
                                <w:div w:id="384916332">
                                  <w:marLeft w:val="0"/>
                                  <w:marRight w:val="0"/>
                                  <w:marTop w:val="0"/>
                                  <w:marBottom w:val="0"/>
                                  <w:divBdr>
                                    <w:top w:val="none" w:sz="0" w:space="0" w:color="auto"/>
                                    <w:left w:val="none" w:sz="0" w:space="0" w:color="auto"/>
                                    <w:bottom w:val="none" w:sz="0" w:space="0" w:color="auto"/>
                                    <w:right w:val="none" w:sz="0" w:space="0" w:color="auto"/>
                                  </w:divBdr>
                                  <w:divsChild>
                                    <w:div w:id="502285421">
                                      <w:marLeft w:val="0"/>
                                      <w:marRight w:val="0"/>
                                      <w:marTop w:val="0"/>
                                      <w:marBottom w:val="0"/>
                                      <w:divBdr>
                                        <w:top w:val="none" w:sz="0" w:space="0" w:color="auto"/>
                                        <w:left w:val="none" w:sz="0" w:space="0" w:color="auto"/>
                                        <w:bottom w:val="none" w:sz="0" w:space="0" w:color="auto"/>
                                        <w:right w:val="none" w:sz="0" w:space="0" w:color="auto"/>
                                      </w:divBdr>
                                      <w:divsChild>
                                        <w:div w:id="1874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5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E00119CD7565E44FA9B445B59DB3659E" ma:contentTypeVersion="22" ma:contentTypeDescription="Secure Site content type template for recording metadata for documents." ma:contentTypeScope="" ma:versionID="6cbc0285489e79566cbfa152640c9325">
  <xsd:schema xmlns:xsd="http://www.w3.org/2001/XMLSchema" xmlns:xs="http://www.w3.org/2001/XMLSchema" xmlns:p="http://schemas.microsoft.com/office/2006/metadata/properties" xmlns:ns1="http://schemas.microsoft.com/sharepoint/v3" targetNamespace="http://schemas.microsoft.com/office/2006/metadata/properties" ma:root="true" ma:fieldsID="4b4b2217f5987dd5e0bfb3ec7a6aa07d"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SCSSContentStatus xmlns="http://schemas.microsoft.com/sharepoint/v3">Current</ESCSSContentStatus>
    <ESCSSWebSiteGroup xmlns="http://schemas.microsoft.com/sharepoint/v3">;#NEST;#</ESCSSWebSiteGroup>
    <ESCSSLabelC xmlns="http://schemas.microsoft.com/sharepoint/v3" xsi:nil="true"/>
    <ESCSSApprover xmlns="http://schemas.microsoft.com/sharepoint/v3">bs3108@prod.idc.xen</ESCSSApprover>
    <ESCSSContentApprover xmlns="http://schemas.microsoft.com/sharepoint/v3">107;#BROWN,Deborah</ESCSSContentApprover>
    <ESCSSReviewedOn xmlns="http://schemas.microsoft.com/sharepoint/v3" xsi:nil="true"/>
    <ESCSSDisplayVersionNumber xmlns="http://schemas.microsoft.com/sharepoint/v3" xsi:nil="true"/>
    <ESCSSLabelA xmlns="http://schemas.microsoft.com/sharepoint/v3" xsi:nil="true"/>
    <ESCSSResourceType xmlns="http://schemas.microsoft.com/sharepoint/v3">22;#Alt Version</ESCSSResourceType>
    <ESCSSTopic xmlns="http://schemas.microsoft.com/sharepoint/v3">498;#NEST</ESCSSTopic>
    <ESCSSBusinessOwnerContact xmlns="http://schemas.microsoft.com/sharepoint/v3">Trial Stakeholder &amp; Project Management </ESCSSBusinessOwnerContact>
    <ESCSSEffectiveEndDate xmlns="http://schemas.microsoft.com/sharepoint/v3" xsi:nil="true"/>
    <ESCSSSubject xmlns="http://schemas.microsoft.com/sharepoint/v3">20190829-14031069028 </ESCSSSubject>
    <ESCSSESC3Term xmlns="http://schemas.microsoft.com/sharepoint/v3" xsi:nil="true"/>
    <Comments xmlns="http://schemas.microsoft.com/sharepoint/v3">This Guideline advises Providers of their responsibilities to Disability Support Pension (DSP) recipients under 35 years of age who have an assessed work capacity of at least eight hours per week and do not have a child under six years). </Comments>
    <ESCSSKeywords xmlns="http://schemas.microsoft.com/sharepoint/v3">Disability; Support; Pension; Recipients; Compulsory; Requirements; Enhanced; Services; 
</ESCSSKeywords>
    <ESCSSEffectiveStartDate xmlns="http://schemas.microsoft.com/sharepoint/v3">2019-11-13T13:00:00+00:00</ESCSSEffectiveStartDate>
    <ESCSSReviewedBy xmlns="http://schemas.microsoft.com/sharepoint/v3" xsi:nil="true"/>
    <ESCSSLabelD xmlns="http://schemas.microsoft.com/sharepoint/v3" xsi:nil="true"/>
    <ESCSSContractClause xmlns="http://schemas.microsoft.com/sharepoint/v3" xsi:nil="true"/>
    <ESCSSDocumentType xmlns="http://schemas.microsoft.com/sharepoint/v3" xsi:nil="true"/>
    <ESCSSContentAuthor xmlns="http://schemas.microsoft.com/sharepoint/v3">1826;#KIRK,Janine</ESCSSContentAuthor>
    <ESCSSLabelB xmlns="http://schemas.microsoft.com/sharepoint/v3">D19/1941397      </ESCSSLabelB>
    <ESCSSReviewDate xmlns="http://schemas.microsoft.com/sharepoint/v3" xsi:nil="true"/>
    <ESCSSSummaryOfUpdate xmlns="http://schemas.microsoft.com/sharepoint/v3">This Guideline advises Providers of their responsibilities to Disability Support Pension (DSP) recipients under 35 years of age who have an assessed work capacity of at least eight hours per week and do not have a child under six years). </ESCSSSummaryOfUpdate>
    <ESCSSIncludeInLatestUpdates xmlns="http://schemas.microsoft.com/sharepoint/v3">No</ESCSSIncludeInLatestUpdates>
    <ESCSSSite xmlns="http://schemas.microsoft.com/sharepoint/v3" xsi:nil="true"/>
    <ESCSSBranch xmlns="http://schemas.microsoft.com/sharepoint/v3">Enhanced Services Branch </ESCSSBranch>
    <ESCSSIncludeInNewsletter xmlns="http://schemas.microsoft.com/sharepoint/v3">No</ESCSSIncludeInNewsletter>
    <ESCSSContractTyp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CCFCB-0416-4914-A866-4F01AD759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6F1C7F-7D52-42EA-94E2-9B5122113083}">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D3AFEB91-A361-4EEB-9040-B7189E314E10}">
  <ds:schemaRefs>
    <ds:schemaRef ds:uri="http://schemas.microsoft.com/sharepoint/v3/contenttype/forms"/>
  </ds:schemaRefs>
</ds:datastoreItem>
</file>

<file path=customXml/itemProps4.xml><?xml version="1.0" encoding="utf-8"?>
<ds:datastoreItem xmlns:ds="http://schemas.openxmlformats.org/officeDocument/2006/customXml" ds:itemID="{4CA6B0B7-B796-4961-8772-82D35E269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2E5DBCF2.dotm</Template>
  <TotalTime>0</TotalTime>
  <Pages>9</Pages>
  <Words>2605</Words>
  <Characters>14851</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Disability Support Pension Recipients (Compulsory Requirements) Guideline V1.0</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Support Pension Recipients (Compulsory Requirements) Guideline V1.0</dc:title>
  <dc:subject/>
  <dc:creator/>
  <cp:keywords/>
  <dc:description/>
  <cp:lastModifiedBy/>
  <cp:revision>1</cp:revision>
  <dcterms:created xsi:type="dcterms:W3CDTF">2019-11-18T03:24:00Z</dcterms:created>
  <dcterms:modified xsi:type="dcterms:W3CDTF">2019-11-18T03:24:00Z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0x0101001FFFC1AF147C4F5C9369E689092D514B00E00119CD7565E44FA9B445B59DB3659E</vt:lpwstr>
  </property>
</Properties>
</file>