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BF8D7B" w14:textId="0D0D63F5" w:rsidR="007514DF" w:rsidRDefault="00B47BB2" w:rsidP="007514DF">
      <w:pPr>
        <w:pStyle w:val="Title"/>
        <w:jc w:val="right"/>
        <w:rPr>
          <w:b/>
          <w:color w:val="767171" w:themeColor="background2" w:themeShade="80"/>
          <w:sz w:val="32"/>
          <w:szCs w:val="32"/>
        </w:rPr>
      </w:pPr>
      <w:r>
        <w:rPr>
          <w:noProof/>
          <w:lang w:eastAsia="en-AU"/>
        </w:rPr>
        <w:drawing>
          <wp:inline distT="0" distB="0" distL="0" distR="0" wp14:anchorId="55C072DD" wp14:editId="53035F5A">
            <wp:extent cx="1958196" cy="1198784"/>
            <wp:effectExtent l="0" t="0" r="4445" b="1905"/>
            <wp:docPr id="3" name="Picture 3" descr="Australian Government - job active logo"/>
            <wp:cNvGraphicFramePr/>
            <a:graphic xmlns:a="http://schemas.openxmlformats.org/drawingml/2006/main">
              <a:graphicData uri="http://schemas.openxmlformats.org/drawingml/2006/picture">
                <pic:pic xmlns:pic="http://schemas.openxmlformats.org/drawingml/2006/picture">
                  <pic:nvPicPr>
                    <pic:cNvPr id="3" name="Picture 3" descr="Australian Government - job active logo"/>
                    <pic:cNvPicPr/>
                  </pic:nvPicPr>
                  <pic:blipFill rotWithShape="1">
                    <a:blip r:embed="rId11" cstate="print">
                      <a:extLst>
                        <a:ext uri="{28A0092B-C50C-407E-A947-70E740481C1C}">
                          <a14:useLocalDpi xmlns:a14="http://schemas.microsoft.com/office/drawing/2010/main" val="0"/>
                        </a:ext>
                      </a:extLst>
                    </a:blip>
                    <a:srcRect r="38399"/>
                    <a:stretch/>
                  </pic:blipFill>
                  <pic:spPr bwMode="auto">
                    <a:xfrm>
                      <a:off x="0" y="0"/>
                      <a:ext cx="1961929" cy="1201069"/>
                    </a:xfrm>
                    <a:prstGeom prst="rect">
                      <a:avLst/>
                    </a:prstGeom>
                    <a:noFill/>
                    <a:ln>
                      <a:noFill/>
                    </a:ln>
                    <a:extLst>
                      <a:ext uri="{53640926-AAD7-44D8-BBD7-CCE9431645EC}">
                        <a14:shadowObscured xmlns:a14="http://schemas.microsoft.com/office/drawing/2010/main"/>
                      </a:ext>
                    </a:extLst>
                  </pic:spPr>
                </pic:pic>
              </a:graphicData>
            </a:graphic>
          </wp:inline>
        </w:drawing>
      </w:r>
    </w:p>
    <w:p w14:paraId="60A389D7" w14:textId="77777777" w:rsidR="009E129B" w:rsidRDefault="00146FF3" w:rsidP="009E129B">
      <w:pPr>
        <w:pStyle w:val="Title"/>
        <w:rPr>
          <w:color w:val="767171" w:themeColor="background2" w:themeShade="80"/>
          <w:sz w:val="32"/>
          <w:szCs w:val="32"/>
        </w:rPr>
      </w:pPr>
      <w:r w:rsidRPr="0027592B">
        <w:rPr>
          <w:b/>
          <w:color w:val="767171" w:themeColor="background2" w:themeShade="80"/>
          <w:sz w:val="32"/>
          <w:szCs w:val="32"/>
        </w:rPr>
        <w:t>Guideline</w:t>
      </w:r>
      <w:r w:rsidRPr="0027592B">
        <w:rPr>
          <w:color w:val="767171" w:themeColor="background2" w:themeShade="80"/>
          <w:sz w:val="32"/>
          <w:szCs w:val="32"/>
        </w:rPr>
        <w:t>:</w:t>
      </w:r>
    </w:p>
    <w:p w14:paraId="7CEBD4FE" w14:textId="2FB1E1A6" w:rsidR="009E129B" w:rsidRPr="009E129B" w:rsidRDefault="003344A0" w:rsidP="009449A2">
      <w:pPr>
        <w:pStyle w:val="Title"/>
        <w:spacing w:after="360"/>
      </w:pPr>
      <w:r>
        <w:t>New Employment Services Trial (NEST)</w:t>
      </w:r>
      <w:r w:rsidR="002C042A">
        <w:t xml:space="preserve"> </w:t>
      </w:r>
      <w:r>
        <w:t xml:space="preserve">- </w:t>
      </w:r>
      <w:r w:rsidR="009E129B" w:rsidRPr="008909AE">
        <w:t>ASC</w:t>
      </w:r>
      <w:r w:rsidR="0084709A">
        <w:t xml:space="preserve"> Shipbuilding</w:t>
      </w:r>
      <w:r w:rsidR="009E129B" w:rsidRPr="008909AE">
        <w:t xml:space="preserve"> Structural Adjustment Program</w:t>
      </w:r>
      <w:r w:rsidR="00C0503A">
        <w:t>me</w:t>
      </w:r>
      <w:r w:rsidR="009E129B" w:rsidRPr="008909AE">
        <w:t xml:space="preserve"> Guide</w:t>
      </w:r>
    </w:p>
    <w:p w14:paraId="7E5716F2" w14:textId="522A0BCC" w:rsidR="009E129B" w:rsidRPr="008B35D8" w:rsidRDefault="009E129B" w:rsidP="005B005C">
      <w:pPr>
        <w:pStyle w:val="guidelinetext"/>
        <w:ind w:left="0"/>
        <w:rPr>
          <w:bCs/>
        </w:rPr>
      </w:pPr>
      <w:r w:rsidRPr="008B35D8">
        <w:t xml:space="preserve">This Guideline details the core elements and requirements for Employment Services Providers (Providers) in managing </w:t>
      </w:r>
      <w:r w:rsidR="00AF1FE1">
        <w:t>participant</w:t>
      </w:r>
      <w:r w:rsidRPr="008B35D8">
        <w:t xml:space="preserve">s who are eligible for the </w:t>
      </w:r>
      <w:r>
        <w:t>ASC</w:t>
      </w:r>
      <w:r w:rsidR="0084709A">
        <w:t xml:space="preserve"> Shipbuilding</w:t>
      </w:r>
      <w:r>
        <w:t xml:space="preserve"> </w:t>
      </w:r>
      <w:r w:rsidRPr="008B35D8">
        <w:t>Str</w:t>
      </w:r>
      <w:r>
        <w:t>uctural Adjustment Program</w:t>
      </w:r>
      <w:r w:rsidR="00F5481C">
        <w:t>me</w:t>
      </w:r>
      <w:r w:rsidRPr="008B35D8">
        <w:t xml:space="preserve"> (</w:t>
      </w:r>
      <w:r>
        <w:t>ASC</w:t>
      </w:r>
      <w:r w:rsidR="00DE08E2">
        <w:t xml:space="preserve"> Shipbuilding SAP</w:t>
      </w:r>
      <w:r w:rsidRPr="008B35D8">
        <w:t xml:space="preserve">). Note that these </w:t>
      </w:r>
      <w:r w:rsidR="00AF1FE1">
        <w:t>participant</w:t>
      </w:r>
      <w:r w:rsidRPr="008B35D8">
        <w:t xml:space="preserve">s are eligible for immediate access to </w:t>
      </w:r>
      <w:r w:rsidR="00DA475D">
        <w:t>Enhanced Services</w:t>
      </w:r>
      <w:r w:rsidRPr="008B35D8">
        <w:t xml:space="preserve">. Any relevant Guidelines or materials that apply to other </w:t>
      </w:r>
      <w:r w:rsidR="00DA475D">
        <w:t>Enhanced Services</w:t>
      </w:r>
      <w:r w:rsidRPr="008B35D8">
        <w:t xml:space="preserve"> </w:t>
      </w:r>
      <w:r w:rsidR="00AF1FE1">
        <w:t>participant</w:t>
      </w:r>
      <w:r w:rsidRPr="008B35D8">
        <w:t xml:space="preserve">s apply to </w:t>
      </w:r>
      <w:r w:rsidR="00AF1FE1">
        <w:t>participant</w:t>
      </w:r>
      <w:r w:rsidRPr="008B35D8">
        <w:t xml:space="preserve">s receiving support under </w:t>
      </w:r>
      <w:r>
        <w:t>ASC</w:t>
      </w:r>
      <w:r w:rsidR="00DE08E2" w:rsidRPr="00DE08E2">
        <w:t xml:space="preserve"> </w:t>
      </w:r>
      <w:r w:rsidR="00DE08E2">
        <w:t>Shipbuilding SAP</w:t>
      </w:r>
      <w:r w:rsidRPr="008B35D8">
        <w:t xml:space="preserve"> unless otherwise specified.</w:t>
      </w:r>
    </w:p>
    <w:p w14:paraId="6E1839B9" w14:textId="77777777" w:rsidR="002E6FDB" w:rsidRDefault="002E6FDB" w:rsidP="005D72CD">
      <w:pPr>
        <w:tabs>
          <w:tab w:val="right" w:pos="1701"/>
        </w:tabs>
        <w:sectPr w:rsidR="002E6FDB" w:rsidSect="00D36EEA">
          <w:headerReference w:type="default" r:id="rId12"/>
          <w:footerReference w:type="default" r:id="rId13"/>
          <w:footerReference w:type="first" r:id="rId14"/>
          <w:pgSz w:w="11906" w:h="16838"/>
          <w:pgMar w:top="426" w:right="1440" w:bottom="1440" w:left="1440" w:header="142" w:footer="708" w:gutter="0"/>
          <w:cols w:space="708"/>
          <w:titlePg/>
          <w:docGrid w:linePitch="360"/>
        </w:sectPr>
      </w:pPr>
    </w:p>
    <w:p w14:paraId="326B5922" w14:textId="77777777" w:rsidR="00837E53" w:rsidRDefault="008A194F" w:rsidP="005F5FD4">
      <w:pPr>
        <w:spacing w:before="360"/>
      </w:pPr>
      <w:r w:rsidRPr="0027592B">
        <w:rPr>
          <w:color w:val="767171" w:themeColor="background2" w:themeShade="80"/>
        </w:rPr>
        <w:t>Version</w:t>
      </w:r>
      <w:r w:rsidR="004B7969" w:rsidRPr="0027592B">
        <w:rPr>
          <w:color w:val="767171" w:themeColor="background2" w:themeShade="80"/>
        </w:rPr>
        <w:t>:</w:t>
      </w:r>
      <w:r w:rsidR="00837E53">
        <w:rPr>
          <w:color w:val="767171" w:themeColor="background2" w:themeShade="80"/>
        </w:rPr>
        <w:t xml:space="preserve"> </w:t>
      </w:r>
      <w:r w:rsidR="00AF69B8" w:rsidRPr="008909AE">
        <w:t>number</w:t>
      </w:r>
      <w:r w:rsidR="00B55F92">
        <w:t xml:space="preserve"> 1.0</w:t>
      </w:r>
    </w:p>
    <w:p w14:paraId="5B47289E" w14:textId="16786C54" w:rsidR="008A194F" w:rsidRPr="00B47BB2" w:rsidRDefault="00D911DD" w:rsidP="005F5FD4">
      <w:pPr>
        <w:spacing w:before="360"/>
      </w:pPr>
      <w:r>
        <w:rPr>
          <w:color w:val="767171" w:themeColor="background2" w:themeShade="80"/>
        </w:rPr>
        <w:br w:type="column"/>
      </w:r>
      <w:r w:rsidR="008A194F" w:rsidRPr="00B47BB2">
        <w:rPr>
          <w:color w:val="767171" w:themeColor="background2" w:themeShade="80"/>
        </w:rPr>
        <w:t>Published</w:t>
      </w:r>
      <w:r w:rsidR="00E12AFD" w:rsidRPr="00B47BB2">
        <w:rPr>
          <w:color w:val="767171" w:themeColor="background2" w:themeShade="80"/>
        </w:rPr>
        <w:t xml:space="preserve"> on</w:t>
      </w:r>
      <w:r w:rsidR="004B7969" w:rsidRPr="00B47BB2">
        <w:rPr>
          <w:color w:val="767171" w:themeColor="background2" w:themeShade="80"/>
        </w:rPr>
        <w:t>:</w:t>
      </w:r>
      <w:r w:rsidR="00837E53" w:rsidRPr="00B47BB2">
        <w:t xml:space="preserve"> </w:t>
      </w:r>
      <w:r w:rsidR="000D3C16">
        <w:t>25</w:t>
      </w:r>
      <w:r w:rsidR="00B47BB2" w:rsidRPr="00B47BB2">
        <w:t xml:space="preserve"> October</w:t>
      </w:r>
      <w:r w:rsidR="009B3153" w:rsidRPr="00B47BB2">
        <w:t xml:space="preserve"> 2019</w:t>
      </w:r>
    </w:p>
    <w:p w14:paraId="53EE293D" w14:textId="19006681" w:rsidR="00837E53" w:rsidRPr="002E6FDB" w:rsidRDefault="008A194F" w:rsidP="0084322B">
      <w:pPr>
        <w:rPr>
          <w:color w:val="385623" w:themeColor="accent6" w:themeShade="80"/>
        </w:rPr>
        <w:sectPr w:rsidR="00837E53" w:rsidRPr="002E6FDB" w:rsidSect="00D36EEA">
          <w:type w:val="continuous"/>
          <w:pgSz w:w="11906" w:h="16838"/>
          <w:pgMar w:top="120" w:right="1440" w:bottom="1440" w:left="1440" w:header="142" w:footer="708" w:gutter="0"/>
          <w:cols w:num="2" w:space="708"/>
          <w:titlePg/>
          <w:docGrid w:linePitch="360"/>
        </w:sectPr>
      </w:pPr>
      <w:r w:rsidRPr="00B47BB2">
        <w:rPr>
          <w:color w:val="767171" w:themeColor="background2" w:themeShade="80"/>
        </w:rPr>
        <w:t>Effective</w:t>
      </w:r>
      <w:r w:rsidR="00E12AFD" w:rsidRPr="00B47BB2">
        <w:rPr>
          <w:color w:val="767171" w:themeColor="background2" w:themeShade="80"/>
        </w:rPr>
        <w:t xml:space="preserve"> from</w:t>
      </w:r>
      <w:r w:rsidR="004B7969" w:rsidRPr="00B47BB2">
        <w:rPr>
          <w:color w:val="767171" w:themeColor="background2" w:themeShade="80"/>
        </w:rPr>
        <w:t>:</w:t>
      </w:r>
      <w:r w:rsidR="00EB3EE1" w:rsidRPr="00B47BB2">
        <w:rPr>
          <w:color w:val="767171" w:themeColor="background2" w:themeShade="80"/>
        </w:rPr>
        <w:t xml:space="preserve"> </w:t>
      </w:r>
      <w:r w:rsidR="00B47BB2" w:rsidRPr="00B47BB2">
        <w:t>4 November</w:t>
      </w:r>
      <w:r w:rsidR="009B3153" w:rsidRPr="00B47BB2">
        <w:t xml:space="preserve"> 2019</w:t>
      </w:r>
    </w:p>
    <w:p w14:paraId="26458ACD" w14:textId="77777777" w:rsidR="004B7969" w:rsidRPr="0027592B" w:rsidRDefault="004B7969" w:rsidP="0027592B">
      <w:pPr>
        <w:pStyle w:val="guidelinedocinfo"/>
      </w:pPr>
      <w:bookmarkStart w:id="0" w:name="_Toc475967055"/>
      <w:r w:rsidRPr="0027592B">
        <w:t>Related documents and references</w:t>
      </w:r>
      <w:bookmarkEnd w:id="0"/>
    </w:p>
    <w:p w14:paraId="54EAA4BA" w14:textId="77777777" w:rsidR="00F46AEF" w:rsidRDefault="00F46AEF" w:rsidP="00D911DD">
      <w:pPr>
        <w:pStyle w:val="guidelinechanges"/>
        <w:sectPr w:rsidR="00F46AEF" w:rsidSect="00D36EEA">
          <w:type w:val="continuous"/>
          <w:pgSz w:w="11906" w:h="16838"/>
          <w:pgMar w:top="120" w:right="1440" w:bottom="1440" w:left="1440" w:header="142" w:footer="708" w:gutter="0"/>
          <w:cols w:space="708"/>
          <w:titlePg/>
          <w:docGrid w:linePitch="360"/>
        </w:sectPr>
      </w:pPr>
    </w:p>
    <w:p w14:paraId="48BE4DA2" w14:textId="1A1BA42D" w:rsidR="005F714A" w:rsidRPr="000D3C16" w:rsidRDefault="003344A0" w:rsidP="005B005C">
      <w:pPr>
        <w:pStyle w:val="guidelinebullet"/>
        <w:ind w:left="426"/>
        <w:rPr>
          <w:rStyle w:val="Hyperlink"/>
          <w:color w:val="auto"/>
          <w:sz w:val="20"/>
          <w:szCs w:val="20"/>
          <w:u w:val="none"/>
        </w:rPr>
      </w:pPr>
      <w:r w:rsidRPr="000D3C16">
        <w:rPr>
          <w:rStyle w:val="Hyperlink"/>
          <w:color w:val="auto"/>
          <w:sz w:val="20"/>
          <w:szCs w:val="20"/>
          <w:u w:val="none"/>
        </w:rPr>
        <w:t xml:space="preserve">New Employment Services Trial (NEST) - </w:t>
      </w:r>
      <w:r w:rsidR="005F714A" w:rsidRPr="00E066CF">
        <w:rPr>
          <w:sz w:val="20"/>
          <w:szCs w:val="20"/>
        </w:rPr>
        <w:t>Direct Registration</w:t>
      </w:r>
      <w:r w:rsidR="005F714A" w:rsidRPr="000D3C16">
        <w:rPr>
          <w:rStyle w:val="Hyperlink"/>
          <w:color w:val="auto"/>
          <w:sz w:val="20"/>
          <w:szCs w:val="20"/>
          <w:u w:val="none"/>
        </w:rPr>
        <w:t xml:space="preserve"> </w:t>
      </w:r>
    </w:p>
    <w:p w14:paraId="47B5266E" w14:textId="61BCED8F" w:rsidR="005F714A" w:rsidRPr="000D3C16" w:rsidRDefault="003344A0" w:rsidP="005B005C">
      <w:pPr>
        <w:pStyle w:val="guidelinebullet"/>
        <w:ind w:left="426"/>
        <w:rPr>
          <w:sz w:val="20"/>
          <w:szCs w:val="20"/>
        </w:rPr>
      </w:pPr>
      <w:r w:rsidRPr="000D3C16">
        <w:rPr>
          <w:rStyle w:val="Hyperlink"/>
          <w:color w:val="auto"/>
          <w:sz w:val="20"/>
          <w:szCs w:val="20"/>
          <w:u w:val="none"/>
        </w:rPr>
        <w:t xml:space="preserve">New Employment Services Trial (NEST) - </w:t>
      </w:r>
      <w:r w:rsidR="005F714A" w:rsidRPr="00E066CF">
        <w:rPr>
          <w:sz w:val="20"/>
          <w:szCs w:val="20"/>
        </w:rPr>
        <w:t>Eligibility Referral and Commencement</w:t>
      </w:r>
      <w:r w:rsidR="005F714A" w:rsidRPr="000D3C16">
        <w:rPr>
          <w:sz w:val="20"/>
          <w:szCs w:val="20"/>
        </w:rPr>
        <w:t xml:space="preserve"> </w:t>
      </w:r>
    </w:p>
    <w:p w14:paraId="0B9016FE" w14:textId="61CA5ABB" w:rsidR="005F714A" w:rsidRPr="000D3C16" w:rsidRDefault="003344A0" w:rsidP="005B005C">
      <w:pPr>
        <w:pStyle w:val="guidelinebullet"/>
        <w:ind w:left="426"/>
        <w:rPr>
          <w:rStyle w:val="Hyperlink"/>
          <w:color w:val="auto"/>
          <w:sz w:val="20"/>
          <w:szCs w:val="20"/>
          <w:u w:val="none"/>
        </w:rPr>
      </w:pPr>
      <w:r w:rsidRPr="000D3C16">
        <w:rPr>
          <w:sz w:val="20"/>
          <w:szCs w:val="20"/>
        </w:rPr>
        <w:t xml:space="preserve">New Employment Services Trial (NEST) - </w:t>
      </w:r>
      <w:r w:rsidR="008909AE" w:rsidRPr="00E066CF">
        <w:rPr>
          <w:sz w:val="20"/>
          <w:szCs w:val="20"/>
        </w:rPr>
        <w:t>Structural Adjustment Programme</w:t>
      </w:r>
      <w:r w:rsidRPr="00E066CF">
        <w:rPr>
          <w:sz w:val="20"/>
          <w:szCs w:val="20"/>
        </w:rPr>
        <w:t>s</w:t>
      </w:r>
      <w:r w:rsidR="008909AE" w:rsidRPr="000D3C16">
        <w:rPr>
          <w:rStyle w:val="Hyperlink"/>
          <w:color w:val="auto"/>
          <w:sz w:val="20"/>
          <w:szCs w:val="20"/>
          <w:u w:val="none"/>
        </w:rPr>
        <w:t xml:space="preserve"> </w:t>
      </w:r>
    </w:p>
    <w:p w14:paraId="31CEB743" w14:textId="2205A91A" w:rsidR="005F714A" w:rsidRPr="000D3C16" w:rsidRDefault="003344A0" w:rsidP="005B005C">
      <w:pPr>
        <w:pStyle w:val="guidelinebullet"/>
        <w:ind w:left="426"/>
        <w:rPr>
          <w:rStyle w:val="Hyperlink"/>
          <w:color w:val="auto"/>
          <w:sz w:val="20"/>
          <w:szCs w:val="20"/>
          <w:u w:val="none"/>
        </w:rPr>
      </w:pPr>
      <w:r w:rsidRPr="000D3C16">
        <w:rPr>
          <w:sz w:val="20"/>
          <w:szCs w:val="20"/>
        </w:rPr>
        <w:t xml:space="preserve">New Employment Services Trial (NEST) - </w:t>
      </w:r>
      <w:r w:rsidR="005F714A" w:rsidRPr="00E066CF">
        <w:rPr>
          <w:sz w:val="20"/>
          <w:szCs w:val="20"/>
        </w:rPr>
        <w:t>Stronger Transitions</w:t>
      </w:r>
      <w:r w:rsidR="005F714A" w:rsidRPr="000D3C16">
        <w:rPr>
          <w:rStyle w:val="Hyperlink"/>
          <w:color w:val="auto"/>
          <w:sz w:val="20"/>
          <w:szCs w:val="20"/>
          <w:u w:val="none"/>
        </w:rPr>
        <w:t xml:space="preserve"> </w:t>
      </w:r>
    </w:p>
    <w:p w14:paraId="62594687" w14:textId="63E93DCE" w:rsidR="005F714A" w:rsidRPr="000D3C16" w:rsidRDefault="005F714A" w:rsidP="005B005C">
      <w:pPr>
        <w:pStyle w:val="guidelinebullet"/>
        <w:ind w:left="426"/>
        <w:rPr>
          <w:rStyle w:val="Hyperlink"/>
          <w:color w:val="auto"/>
          <w:sz w:val="20"/>
          <w:szCs w:val="20"/>
          <w:u w:val="none"/>
        </w:rPr>
      </w:pPr>
      <w:r w:rsidRPr="00E066CF">
        <w:rPr>
          <w:sz w:val="20"/>
          <w:szCs w:val="20"/>
        </w:rPr>
        <w:t>Using the Employment Fund General Account Guideline</w:t>
      </w:r>
    </w:p>
    <w:p w14:paraId="15F383EF" w14:textId="77777777" w:rsidR="005B005C" w:rsidRDefault="005B005C">
      <w:pPr>
        <w:rPr>
          <w:b/>
          <w:color w:val="5B9BD5" w:themeColor="accent1"/>
          <w:lang w:val="en-US"/>
        </w:rPr>
      </w:pPr>
      <w:r>
        <w:rPr>
          <w:b/>
        </w:rPr>
        <w:br w:type="page"/>
      </w:r>
    </w:p>
    <w:p w14:paraId="3A1927F7" w14:textId="35CCBE4B" w:rsidR="00EB3EE1" w:rsidRDefault="00427DF1" w:rsidP="00427DF1">
      <w:pPr>
        <w:pStyle w:val="TOCHeading"/>
        <w:tabs>
          <w:tab w:val="left" w:pos="3990"/>
        </w:tabs>
        <w:spacing w:before="600"/>
        <w:ind w:firstLine="720"/>
        <w:rPr>
          <w:b/>
        </w:rPr>
      </w:pPr>
      <w:r>
        <w:rPr>
          <w:b/>
        </w:rPr>
        <w:lastRenderedPageBreak/>
        <w:tab/>
      </w:r>
    </w:p>
    <w:p w14:paraId="721EF4C9" w14:textId="77777777" w:rsidR="00A17967" w:rsidRPr="00126361" w:rsidRDefault="00A17967" w:rsidP="009449A2">
      <w:pPr>
        <w:pStyle w:val="TOCHeading"/>
        <w:tabs>
          <w:tab w:val="left" w:pos="8175"/>
        </w:tabs>
        <w:spacing w:before="600"/>
        <w:rPr>
          <w:b/>
        </w:rPr>
      </w:pPr>
      <w:r w:rsidRPr="00126361">
        <w:rPr>
          <w:b/>
        </w:rPr>
        <w:t>Contents</w:t>
      </w:r>
      <w:r w:rsidR="009449A2">
        <w:rPr>
          <w:b/>
        </w:rPr>
        <w:tab/>
      </w:r>
    </w:p>
    <w:p w14:paraId="2522A123" w14:textId="00638BF8" w:rsidR="00D32672" w:rsidRDefault="00D32672">
      <w:pPr>
        <w:pStyle w:val="TOC1"/>
        <w:tabs>
          <w:tab w:val="left" w:pos="440"/>
          <w:tab w:val="right" w:pos="9016"/>
        </w:tabs>
        <w:rPr>
          <w:rFonts w:eastAsiaTheme="minorEastAsia" w:cstheme="minorBidi"/>
          <w:bCs w:val="0"/>
          <w:iCs w:val="0"/>
          <w:noProof/>
          <w:szCs w:val="22"/>
          <w:lang w:eastAsia="en-AU"/>
        </w:rPr>
      </w:pPr>
      <w:r w:rsidRPr="00E066CF">
        <w:rPr>
          <w:noProof/>
        </w:rPr>
        <w:t>1.</w:t>
      </w:r>
      <w:r>
        <w:rPr>
          <w:rFonts w:eastAsiaTheme="minorEastAsia" w:cstheme="minorBidi"/>
          <w:bCs w:val="0"/>
          <w:iCs w:val="0"/>
          <w:noProof/>
          <w:szCs w:val="22"/>
          <w:lang w:eastAsia="en-AU"/>
        </w:rPr>
        <w:tab/>
      </w:r>
      <w:r w:rsidRPr="00E066CF">
        <w:rPr>
          <w:noProof/>
        </w:rPr>
        <w:t>Policy Intent</w:t>
      </w:r>
      <w:r>
        <w:rPr>
          <w:noProof/>
          <w:webHidden/>
        </w:rPr>
        <w:tab/>
      </w:r>
      <w:r w:rsidR="00E31387">
        <w:rPr>
          <w:noProof/>
          <w:webHidden/>
        </w:rPr>
        <w:t>3</w:t>
      </w:r>
    </w:p>
    <w:p w14:paraId="3C8C6F0B" w14:textId="7FC227F3" w:rsidR="00D32672" w:rsidRDefault="00D32672">
      <w:pPr>
        <w:pStyle w:val="TOC1"/>
        <w:tabs>
          <w:tab w:val="left" w:pos="440"/>
          <w:tab w:val="right" w:pos="9016"/>
        </w:tabs>
        <w:rPr>
          <w:rFonts w:eastAsiaTheme="minorEastAsia" w:cstheme="minorBidi"/>
          <w:bCs w:val="0"/>
          <w:iCs w:val="0"/>
          <w:noProof/>
          <w:szCs w:val="22"/>
          <w:lang w:eastAsia="en-AU"/>
        </w:rPr>
      </w:pPr>
      <w:r w:rsidRPr="00E066CF">
        <w:rPr>
          <w:noProof/>
        </w:rPr>
        <w:t>2.</w:t>
      </w:r>
      <w:r>
        <w:rPr>
          <w:rFonts w:eastAsiaTheme="minorEastAsia" w:cstheme="minorBidi"/>
          <w:bCs w:val="0"/>
          <w:iCs w:val="0"/>
          <w:noProof/>
          <w:szCs w:val="22"/>
          <w:lang w:eastAsia="en-AU"/>
        </w:rPr>
        <w:tab/>
      </w:r>
      <w:r w:rsidRPr="00E066CF">
        <w:rPr>
          <w:noProof/>
        </w:rPr>
        <w:t>Registering participants in a Structural Adjustment Programme</w:t>
      </w:r>
      <w:r>
        <w:rPr>
          <w:noProof/>
          <w:webHidden/>
        </w:rPr>
        <w:tab/>
      </w:r>
      <w:r w:rsidR="00E31387">
        <w:rPr>
          <w:noProof/>
          <w:webHidden/>
        </w:rPr>
        <w:t>3</w:t>
      </w:r>
    </w:p>
    <w:p w14:paraId="728CBCBA" w14:textId="42F899F6" w:rsidR="00D32672" w:rsidRDefault="00D32672">
      <w:pPr>
        <w:pStyle w:val="TOC1"/>
        <w:tabs>
          <w:tab w:val="left" w:pos="440"/>
          <w:tab w:val="right" w:pos="9016"/>
        </w:tabs>
        <w:rPr>
          <w:rFonts w:eastAsiaTheme="minorEastAsia" w:cstheme="minorBidi"/>
          <w:bCs w:val="0"/>
          <w:iCs w:val="0"/>
          <w:noProof/>
          <w:szCs w:val="22"/>
          <w:lang w:eastAsia="en-AU"/>
        </w:rPr>
      </w:pPr>
      <w:r w:rsidRPr="00E066CF">
        <w:rPr>
          <w:noProof/>
        </w:rPr>
        <w:t>3.</w:t>
      </w:r>
      <w:r>
        <w:rPr>
          <w:rFonts w:eastAsiaTheme="minorEastAsia" w:cstheme="minorBidi"/>
          <w:bCs w:val="0"/>
          <w:iCs w:val="0"/>
          <w:noProof/>
          <w:szCs w:val="22"/>
          <w:lang w:eastAsia="en-AU"/>
        </w:rPr>
        <w:tab/>
      </w:r>
      <w:r w:rsidRPr="00E066CF">
        <w:rPr>
          <w:noProof/>
        </w:rPr>
        <w:t>Eligibility must be assessed</w:t>
      </w:r>
      <w:r>
        <w:rPr>
          <w:noProof/>
          <w:webHidden/>
        </w:rPr>
        <w:tab/>
      </w:r>
      <w:r w:rsidR="00E31387">
        <w:rPr>
          <w:noProof/>
          <w:webHidden/>
        </w:rPr>
        <w:t>3</w:t>
      </w:r>
    </w:p>
    <w:p w14:paraId="1C313391" w14:textId="68A38C65" w:rsidR="00D32672" w:rsidRDefault="00D32672">
      <w:pPr>
        <w:pStyle w:val="TOC1"/>
        <w:tabs>
          <w:tab w:val="left" w:pos="440"/>
          <w:tab w:val="right" w:pos="9016"/>
        </w:tabs>
        <w:rPr>
          <w:rFonts w:eastAsiaTheme="minorEastAsia" w:cstheme="minorBidi"/>
          <w:bCs w:val="0"/>
          <w:iCs w:val="0"/>
          <w:noProof/>
          <w:szCs w:val="22"/>
          <w:lang w:eastAsia="en-AU"/>
        </w:rPr>
      </w:pPr>
      <w:r w:rsidRPr="00E066CF">
        <w:rPr>
          <w:noProof/>
        </w:rPr>
        <w:t>4.</w:t>
      </w:r>
      <w:r>
        <w:rPr>
          <w:rFonts w:eastAsiaTheme="minorEastAsia" w:cstheme="minorBidi"/>
          <w:bCs w:val="0"/>
          <w:iCs w:val="0"/>
          <w:noProof/>
          <w:szCs w:val="22"/>
          <w:lang w:eastAsia="en-AU"/>
        </w:rPr>
        <w:tab/>
      </w:r>
      <w:r w:rsidRPr="00E066CF">
        <w:rPr>
          <w:noProof/>
        </w:rPr>
        <w:t>Stream</w:t>
      </w:r>
      <w:r>
        <w:rPr>
          <w:noProof/>
          <w:webHidden/>
        </w:rPr>
        <w:tab/>
      </w:r>
      <w:r w:rsidR="00E31387">
        <w:rPr>
          <w:noProof/>
          <w:webHidden/>
        </w:rPr>
        <w:t>4</w:t>
      </w:r>
    </w:p>
    <w:p w14:paraId="26940F3A" w14:textId="51A4FAD8" w:rsidR="00D32672" w:rsidRDefault="00D32672">
      <w:pPr>
        <w:pStyle w:val="TOC2"/>
        <w:tabs>
          <w:tab w:val="right" w:pos="9016"/>
        </w:tabs>
        <w:rPr>
          <w:rFonts w:eastAsiaTheme="minorEastAsia" w:cstheme="minorBidi"/>
          <w:bCs w:val="0"/>
          <w:noProof/>
          <w:lang w:eastAsia="en-AU"/>
        </w:rPr>
      </w:pPr>
      <w:r w:rsidRPr="00E066CF">
        <w:rPr>
          <w:noProof/>
        </w:rPr>
        <w:t>Conducting Initial Interview and commencing the participant in Employment Provider Services</w:t>
      </w:r>
      <w:r>
        <w:rPr>
          <w:noProof/>
          <w:webHidden/>
        </w:rPr>
        <w:tab/>
      </w:r>
      <w:r w:rsidR="00E31387">
        <w:rPr>
          <w:noProof/>
          <w:webHidden/>
        </w:rPr>
        <w:t>4</w:t>
      </w:r>
    </w:p>
    <w:p w14:paraId="1918FDD6" w14:textId="6F709214" w:rsidR="00D32672" w:rsidRDefault="00D32672">
      <w:pPr>
        <w:pStyle w:val="TOC1"/>
        <w:tabs>
          <w:tab w:val="left" w:pos="440"/>
          <w:tab w:val="right" w:pos="9016"/>
        </w:tabs>
        <w:rPr>
          <w:rFonts w:eastAsiaTheme="minorEastAsia" w:cstheme="minorBidi"/>
          <w:bCs w:val="0"/>
          <w:iCs w:val="0"/>
          <w:noProof/>
          <w:szCs w:val="22"/>
          <w:lang w:eastAsia="en-AU"/>
        </w:rPr>
      </w:pPr>
      <w:r w:rsidRPr="00E066CF">
        <w:rPr>
          <w:noProof/>
        </w:rPr>
        <w:t>5.</w:t>
      </w:r>
      <w:r>
        <w:rPr>
          <w:rFonts w:eastAsiaTheme="minorEastAsia" w:cstheme="minorBidi"/>
          <w:bCs w:val="0"/>
          <w:iCs w:val="0"/>
          <w:noProof/>
          <w:szCs w:val="22"/>
          <w:lang w:eastAsia="en-AU"/>
        </w:rPr>
        <w:tab/>
      </w:r>
      <w:r w:rsidRPr="00E066CF">
        <w:rPr>
          <w:noProof/>
        </w:rPr>
        <w:t>Information technology requirements</w:t>
      </w:r>
      <w:r>
        <w:rPr>
          <w:noProof/>
          <w:webHidden/>
        </w:rPr>
        <w:tab/>
      </w:r>
      <w:r w:rsidR="00E31387">
        <w:rPr>
          <w:noProof/>
          <w:webHidden/>
        </w:rPr>
        <w:t>5</w:t>
      </w:r>
    </w:p>
    <w:p w14:paraId="6ECEC571" w14:textId="4266A551" w:rsidR="00D32672" w:rsidRDefault="00D32672">
      <w:pPr>
        <w:pStyle w:val="TOC1"/>
        <w:tabs>
          <w:tab w:val="left" w:pos="440"/>
          <w:tab w:val="right" w:pos="9016"/>
        </w:tabs>
        <w:rPr>
          <w:rFonts w:eastAsiaTheme="minorEastAsia" w:cstheme="minorBidi"/>
          <w:bCs w:val="0"/>
          <w:iCs w:val="0"/>
          <w:noProof/>
          <w:szCs w:val="22"/>
          <w:lang w:eastAsia="en-AU"/>
        </w:rPr>
      </w:pPr>
      <w:r w:rsidRPr="00E066CF">
        <w:rPr>
          <w:noProof/>
        </w:rPr>
        <w:t>6.</w:t>
      </w:r>
      <w:r>
        <w:rPr>
          <w:rFonts w:eastAsiaTheme="minorEastAsia" w:cstheme="minorBidi"/>
          <w:bCs w:val="0"/>
          <w:iCs w:val="0"/>
          <w:noProof/>
          <w:szCs w:val="22"/>
          <w:lang w:eastAsia="en-AU"/>
        </w:rPr>
        <w:tab/>
      </w:r>
      <w:r w:rsidRPr="00E066CF">
        <w:rPr>
          <w:noProof/>
        </w:rPr>
        <w:t>Servicing participants</w:t>
      </w:r>
      <w:r>
        <w:rPr>
          <w:noProof/>
          <w:webHidden/>
        </w:rPr>
        <w:tab/>
      </w:r>
      <w:r w:rsidR="00E31387">
        <w:rPr>
          <w:noProof/>
          <w:webHidden/>
        </w:rPr>
        <w:t>5</w:t>
      </w:r>
    </w:p>
    <w:p w14:paraId="0D7983EE" w14:textId="13C8C322" w:rsidR="00D32672" w:rsidRDefault="00D32672">
      <w:pPr>
        <w:pStyle w:val="TOC1"/>
        <w:tabs>
          <w:tab w:val="left" w:pos="440"/>
          <w:tab w:val="right" w:pos="9016"/>
        </w:tabs>
        <w:rPr>
          <w:rFonts w:eastAsiaTheme="minorEastAsia" w:cstheme="minorBidi"/>
          <w:bCs w:val="0"/>
          <w:iCs w:val="0"/>
          <w:noProof/>
          <w:szCs w:val="22"/>
          <w:lang w:eastAsia="en-AU"/>
        </w:rPr>
      </w:pPr>
      <w:r w:rsidRPr="00E066CF">
        <w:rPr>
          <w:noProof/>
        </w:rPr>
        <w:t>7.</w:t>
      </w:r>
      <w:r>
        <w:rPr>
          <w:rFonts w:eastAsiaTheme="minorEastAsia" w:cstheme="minorBidi"/>
          <w:bCs w:val="0"/>
          <w:iCs w:val="0"/>
          <w:noProof/>
          <w:szCs w:val="22"/>
          <w:lang w:eastAsia="en-AU"/>
        </w:rPr>
        <w:tab/>
      </w:r>
      <w:r w:rsidRPr="00E066CF">
        <w:rPr>
          <w:noProof/>
        </w:rPr>
        <w:t>Mutual Obligation Requirements for SAP participants</w:t>
      </w:r>
      <w:r>
        <w:rPr>
          <w:noProof/>
          <w:webHidden/>
        </w:rPr>
        <w:tab/>
      </w:r>
      <w:r w:rsidR="00E31387">
        <w:rPr>
          <w:noProof/>
          <w:webHidden/>
        </w:rPr>
        <w:t>5</w:t>
      </w:r>
    </w:p>
    <w:p w14:paraId="09C6E8F4" w14:textId="4A8DAB75" w:rsidR="00D32672" w:rsidRDefault="00D32672">
      <w:pPr>
        <w:pStyle w:val="TOC1"/>
        <w:tabs>
          <w:tab w:val="left" w:pos="440"/>
          <w:tab w:val="right" w:pos="9016"/>
        </w:tabs>
        <w:rPr>
          <w:rFonts w:eastAsiaTheme="minorEastAsia" w:cstheme="minorBidi"/>
          <w:bCs w:val="0"/>
          <w:iCs w:val="0"/>
          <w:noProof/>
          <w:szCs w:val="22"/>
          <w:lang w:eastAsia="en-AU"/>
        </w:rPr>
      </w:pPr>
      <w:r w:rsidRPr="00E066CF">
        <w:rPr>
          <w:noProof/>
        </w:rPr>
        <w:t>8.</w:t>
      </w:r>
      <w:r>
        <w:rPr>
          <w:rFonts w:eastAsiaTheme="minorEastAsia" w:cstheme="minorBidi"/>
          <w:bCs w:val="0"/>
          <w:iCs w:val="0"/>
          <w:noProof/>
          <w:szCs w:val="22"/>
          <w:lang w:eastAsia="en-AU"/>
        </w:rPr>
        <w:tab/>
      </w:r>
      <w:r w:rsidRPr="00E066CF">
        <w:rPr>
          <w:noProof/>
        </w:rPr>
        <w:t>Payments</w:t>
      </w:r>
      <w:r>
        <w:rPr>
          <w:noProof/>
          <w:webHidden/>
        </w:rPr>
        <w:tab/>
      </w:r>
      <w:r w:rsidR="00E31387">
        <w:rPr>
          <w:noProof/>
          <w:webHidden/>
        </w:rPr>
        <w:t>5</w:t>
      </w:r>
    </w:p>
    <w:p w14:paraId="2EE3818E" w14:textId="2E79DC9B" w:rsidR="00D32672" w:rsidRDefault="00D32672">
      <w:pPr>
        <w:pStyle w:val="TOC1"/>
        <w:tabs>
          <w:tab w:val="left" w:pos="440"/>
          <w:tab w:val="right" w:pos="9016"/>
        </w:tabs>
        <w:rPr>
          <w:rFonts w:eastAsiaTheme="minorEastAsia" w:cstheme="minorBidi"/>
          <w:bCs w:val="0"/>
          <w:iCs w:val="0"/>
          <w:noProof/>
          <w:szCs w:val="22"/>
          <w:lang w:eastAsia="en-AU"/>
        </w:rPr>
      </w:pPr>
      <w:r w:rsidRPr="00E066CF">
        <w:rPr>
          <w:noProof/>
        </w:rPr>
        <w:t>9.</w:t>
      </w:r>
      <w:r>
        <w:rPr>
          <w:rFonts w:eastAsiaTheme="minorEastAsia" w:cstheme="minorBidi"/>
          <w:bCs w:val="0"/>
          <w:iCs w:val="0"/>
          <w:noProof/>
          <w:szCs w:val="22"/>
          <w:lang w:eastAsia="en-AU"/>
        </w:rPr>
        <w:tab/>
      </w:r>
      <w:r w:rsidRPr="00E066CF">
        <w:rPr>
          <w:noProof/>
        </w:rPr>
        <w:t>Managing structural adjustment credits</w:t>
      </w:r>
      <w:r>
        <w:rPr>
          <w:noProof/>
          <w:webHidden/>
        </w:rPr>
        <w:tab/>
      </w:r>
      <w:r w:rsidR="00E31387">
        <w:rPr>
          <w:noProof/>
          <w:webHidden/>
        </w:rPr>
        <w:t>6</w:t>
      </w:r>
    </w:p>
    <w:p w14:paraId="68EDDECE" w14:textId="18092E2F" w:rsidR="00D32672" w:rsidRDefault="00D32672">
      <w:pPr>
        <w:pStyle w:val="TOC1"/>
        <w:tabs>
          <w:tab w:val="left" w:pos="660"/>
          <w:tab w:val="right" w:pos="9016"/>
        </w:tabs>
        <w:rPr>
          <w:rFonts w:eastAsiaTheme="minorEastAsia" w:cstheme="minorBidi"/>
          <w:bCs w:val="0"/>
          <w:iCs w:val="0"/>
          <w:noProof/>
          <w:szCs w:val="22"/>
          <w:lang w:eastAsia="en-AU"/>
        </w:rPr>
      </w:pPr>
      <w:r w:rsidRPr="00E066CF">
        <w:rPr>
          <w:noProof/>
        </w:rPr>
        <w:t>10.</w:t>
      </w:r>
      <w:r>
        <w:rPr>
          <w:rFonts w:eastAsiaTheme="minorEastAsia" w:cstheme="minorBidi"/>
          <w:bCs w:val="0"/>
          <w:iCs w:val="0"/>
          <w:noProof/>
          <w:szCs w:val="22"/>
          <w:lang w:eastAsia="en-AU"/>
        </w:rPr>
        <w:tab/>
      </w:r>
      <w:r w:rsidRPr="00E066CF">
        <w:rPr>
          <w:noProof/>
        </w:rPr>
        <w:t>Transferring of SAP Employment Fund credits</w:t>
      </w:r>
      <w:r>
        <w:rPr>
          <w:noProof/>
          <w:webHidden/>
        </w:rPr>
        <w:tab/>
      </w:r>
      <w:r w:rsidR="00E31387">
        <w:rPr>
          <w:noProof/>
          <w:webHidden/>
        </w:rPr>
        <w:t>6</w:t>
      </w:r>
    </w:p>
    <w:p w14:paraId="088963D9" w14:textId="4BD0F9A7" w:rsidR="00D32672" w:rsidRDefault="00D32672">
      <w:pPr>
        <w:pStyle w:val="TOC2"/>
        <w:tabs>
          <w:tab w:val="right" w:pos="9016"/>
        </w:tabs>
        <w:rPr>
          <w:rFonts w:eastAsiaTheme="minorEastAsia" w:cstheme="minorBidi"/>
          <w:bCs w:val="0"/>
          <w:noProof/>
          <w:lang w:eastAsia="en-AU"/>
        </w:rPr>
      </w:pPr>
      <w:r w:rsidRPr="00E066CF">
        <w:rPr>
          <w:noProof/>
        </w:rPr>
        <w:t>Transferring Credits between Sites</w:t>
      </w:r>
      <w:r>
        <w:rPr>
          <w:noProof/>
          <w:webHidden/>
        </w:rPr>
        <w:tab/>
      </w:r>
      <w:r w:rsidR="00E31387">
        <w:rPr>
          <w:noProof/>
          <w:webHidden/>
        </w:rPr>
        <w:t>6</w:t>
      </w:r>
    </w:p>
    <w:p w14:paraId="19C83B99" w14:textId="1AD8ADF7" w:rsidR="00D32672" w:rsidRDefault="00D32672">
      <w:pPr>
        <w:pStyle w:val="TOC2"/>
        <w:tabs>
          <w:tab w:val="right" w:pos="9016"/>
        </w:tabs>
        <w:rPr>
          <w:rFonts w:eastAsiaTheme="minorEastAsia" w:cstheme="minorBidi"/>
          <w:bCs w:val="0"/>
          <w:noProof/>
          <w:lang w:eastAsia="en-AU"/>
        </w:rPr>
      </w:pPr>
      <w:r w:rsidRPr="00E066CF">
        <w:rPr>
          <w:noProof/>
        </w:rPr>
        <w:t>Transferring Credits to another Provider</w:t>
      </w:r>
      <w:r>
        <w:rPr>
          <w:noProof/>
          <w:webHidden/>
        </w:rPr>
        <w:tab/>
      </w:r>
      <w:r w:rsidR="00E31387">
        <w:rPr>
          <w:noProof/>
          <w:webHidden/>
        </w:rPr>
        <w:t>6</w:t>
      </w:r>
    </w:p>
    <w:p w14:paraId="31A3262A" w14:textId="39CD5594" w:rsidR="00D32672" w:rsidRDefault="00D32672">
      <w:pPr>
        <w:pStyle w:val="TOC2"/>
        <w:tabs>
          <w:tab w:val="right" w:pos="9016"/>
        </w:tabs>
        <w:rPr>
          <w:rFonts w:eastAsiaTheme="minorEastAsia" w:cstheme="minorBidi"/>
          <w:bCs w:val="0"/>
          <w:noProof/>
          <w:lang w:eastAsia="en-AU"/>
        </w:rPr>
      </w:pPr>
      <w:r w:rsidRPr="00E066CF">
        <w:rPr>
          <w:noProof/>
        </w:rPr>
        <w:t>Transferring Credits due to Site Closure or Reduction of Business Share</w:t>
      </w:r>
      <w:r>
        <w:rPr>
          <w:noProof/>
          <w:webHidden/>
        </w:rPr>
        <w:tab/>
      </w:r>
      <w:r w:rsidR="00E31387">
        <w:rPr>
          <w:noProof/>
          <w:webHidden/>
        </w:rPr>
        <w:t>7</w:t>
      </w:r>
    </w:p>
    <w:p w14:paraId="5AFBDAF8" w14:textId="515EA6D8" w:rsidR="00D32672" w:rsidRDefault="00D32672">
      <w:pPr>
        <w:pStyle w:val="TOC1"/>
        <w:tabs>
          <w:tab w:val="left" w:pos="660"/>
          <w:tab w:val="right" w:pos="9016"/>
        </w:tabs>
        <w:rPr>
          <w:rFonts w:eastAsiaTheme="minorEastAsia" w:cstheme="minorBidi"/>
          <w:bCs w:val="0"/>
          <w:iCs w:val="0"/>
          <w:noProof/>
          <w:szCs w:val="22"/>
          <w:lang w:eastAsia="en-AU"/>
        </w:rPr>
      </w:pPr>
      <w:r w:rsidRPr="00E066CF">
        <w:rPr>
          <w:noProof/>
        </w:rPr>
        <w:t>11.</w:t>
      </w:r>
      <w:r>
        <w:rPr>
          <w:rFonts w:eastAsiaTheme="minorEastAsia" w:cstheme="minorBidi"/>
          <w:bCs w:val="0"/>
          <w:iCs w:val="0"/>
          <w:noProof/>
          <w:szCs w:val="22"/>
          <w:lang w:eastAsia="en-AU"/>
        </w:rPr>
        <w:tab/>
      </w:r>
      <w:r w:rsidRPr="00E066CF">
        <w:rPr>
          <w:noProof/>
        </w:rPr>
        <w:t>Further information</w:t>
      </w:r>
      <w:r>
        <w:rPr>
          <w:noProof/>
          <w:webHidden/>
        </w:rPr>
        <w:tab/>
      </w:r>
      <w:r w:rsidR="00E31387">
        <w:rPr>
          <w:noProof/>
          <w:webHidden/>
        </w:rPr>
        <w:t>7</w:t>
      </w:r>
    </w:p>
    <w:p w14:paraId="0B0C4166" w14:textId="55315AD2" w:rsidR="00D32672" w:rsidRDefault="00D32672">
      <w:pPr>
        <w:pStyle w:val="TOC1"/>
        <w:tabs>
          <w:tab w:val="right" w:pos="9016"/>
        </w:tabs>
        <w:rPr>
          <w:rFonts w:eastAsiaTheme="minorEastAsia" w:cstheme="minorBidi"/>
          <w:bCs w:val="0"/>
          <w:iCs w:val="0"/>
          <w:noProof/>
          <w:szCs w:val="22"/>
          <w:lang w:eastAsia="en-AU"/>
        </w:rPr>
      </w:pPr>
      <w:r w:rsidRPr="00E066CF">
        <w:rPr>
          <w:noProof/>
        </w:rPr>
        <w:t>Summary of required Documentary Evidence</w:t>
      </w:r>
      <w:r>
        <w:rPr>
          <w:noProof/>
          <w:webHidden/>
        </w:rPr>
        <w:tab/>
      </w:r>
      <w:r w:rsidR="00E31387">
        <w:rPr>
          <w:noProof/>
          <w:webHidden/>
        </w:rPr>
        <w:t>7</w:t>
      </w:r>
    </w:p>
    <w:p w14:paraId="0D280F0B" w14:textId="30DF44EA" w:rsidR="009449A2" w:rsidRDefault="009449A2" w:rsidP="00B55F92">
      <w:pPr>
        <w:pStyle w:val="TOC1"/>
        <w:tabs>
          <w:tab w:val="left" w:pos="440"/>
          <w:tab w:val="right" w:pos="9016"/>
        </w:tabs>
        <w:rPr>
          <w:bCs w:val="0"/>
          <w:iCs w:val="0"/>
        </w:rPr>
      </w:pPr>
    </w:p>
    <w:p w14:paraId="54D5E14D" w14:textId="77777777" w:rsidR="009449A2" w:rsidRDefault="009449A2">
      <w:pPr>
        <w:rPr>
          <w:rFonts w:cstheme="minorHAnsi"/>
          <w:szCs w:val="24"/>
        </w:rPr>
      </w:pPr>
      <w:r>
        <w:rPr>
          <w:bCs/>
          <w:iCs/>
        </w:rPr>
        <w:br w:type="page"/>
      </w:r>
      <w:bookmarkStart w:id="1" w:name="_GoBack"/>
      <w:bookmarkEnd w:id="1"/>
    </w:p>
    <w:p w14:paraId="2C312BAE" w14:textId="77777777" w:rsidR="005F714A" w:rsidRDefault="005F714A" w:rsidP="005F714A">
      <w:pPr>
        <w:pStyle w:val="Heading1"/>
      </w:pPr>
      <w:bookmarkStart w:id="2" w:name="_Toc459888879"/>
      <w:bookmarkStart w:id="3" w:name="_Toc475967056"/>
      <w:bookmarkStart w:id="4" w:name="_Toc488317458"/>
      <w:bookmarkStart w:id="5" w:name="_Toc16167956"/>
      <w:r>
        <w:lastRenderedPageBreak/>
        <w:t>P</w:t>
      </w:r>
      <w:bookmarkEnd w:id="2"/>
      <w:bookmarkEnd w:id="3"/>
      <w:bookmarkEnd w:id="4"/>
      <w:r>
        <w:t>olicy Intent</w:t>
      </w:r>
      <w:bookmarkEnd w:id="5"/>
    </w:p>
    <w:p w14:paraId="75656A7B" w14:textId="2BD901CE" w:rsidR="00447D6A" w:rsidRPr="008B35D8" w:rsidRDefault="00447D6A" w:rsidP="005B005C">
      <w:pPr>
        <w:pStyle w:val="guidelinetext"/>
        <w:rPr>
          <w:bCs/>
        </w:rPr>
      </w:pPr>
      <w:bookmarkStart w:id="6" w:name="_Toc478992175"/>
      <w:r>
        <w:t>ASC</w:t>
      </w:r>
      <w:r w:rsidR="00DE08E2" w:rsidRPr="00DE08E2">
        <w:t xml:space="preserve"> </w:t>
      </w:r>
      <w:r w:rsidR="00DE08E2">
        <w:t>Shipbuilding SAP</w:t>
      </w:r>
      <w:r w:rsidRPr="008B35D8">
        <w:t xml:space="preserve"> assists </w:t>
      </w:r>
      <w:r>
        <w:t xml:space="preserve">people if they </w:t>
      </w:r>
      <w:proofErr w:type="gramStart"/>
      <w:r>
        <w:t>have been retrenched</w:t>
      </w:r>
      <w:proofErr w:type="gramEnd"/>
      <w:r>
        <w:t>, or are the partner of a retrenched worker, from ASC</w:t>
      </w:r>
      <w:r w:rsidR="00EC571C">
        <w:t xml:space="preserve"> Shipbuilding</w:t>
      </w:r>
      <w:r>
        <w:t xml:space="preserve"> Pty Ltd (including direct </w:t>
      </w:r>
      <w:r w:rsidR="00DE35A4">
        <w:t xml:space="preserve">eligible </w:t>
      </w:r>
      <w:r>
        <w:t xml:space="preserve">supply chain businesses) </w:t>
      </w:r>
      <w:r w:rsidRPr="008B35D8">
        <w:t xml:space="preserve">by providing them with immediate access to </w:t>
      </w:r>
      <w:r w:rsidR="00871257">
        <w:t>E</w:t>
      </w:r>
      <w:r w:rsidR="00DA475D">
        <w:t>nhanced Services</w:t>
      </w:r>
      <w:r w:rsidRPr="008B35D8">
        <w:t xml:space="preserve"> employment support and giving them access to additional Employment Fund credits.</w:t>
      </w:r>
    </w:p>
    <w:p w14:paraId="4EB2DA55" w14:textId="77777777" w:rsidR="005F714A" w:rsidRDefault="005F714A" w:rsidP="005F714A">
      <w:pPr>
        <w:pStyle w:val="Heading1"/>
      </w:pPr>
      <w:bookmarkStart w:id="7" w:name="_Toc16167957"/>
      <w:r>
        <w:t xml:space="preserve">Registering </w:t>
      </w:r>
      <w:r w:rsidR="00AF1FE1">
        <w:t>participant</w:t>
      </w:r>
      <w:r>
        <w:t xml:space="preserve">s in a Structural Adjustment </w:t>
      </w:r>
      <w:r w:rsidRPr="0026083D">
        <w:t>Program</w:t>
      </w:r>
      <w:bookmarkEnd w:id="6"/>
      <w:r w:rsidR="00F5481C">
        <w:t>me</w:t>
      </w:r>
      <w:bookmarkEnd w:id="7"/>
    </w:p>
    <w:p w14:paraId="63B337C2" w14:textId="0C82938B" w:rsidR="004B68DD" w:rsidRDefault="004B68DD" w:rsidP="004B68DD">
      <w:pPr>
        <w:pStyle w:val="guidelinetext"/>
      </w:pPr>
      <w:r>
        <w:t>From 9 December 2019, o</w:t>
      </w:r>
      <w:r w:rsidRPr="003F1424">
        <w:t>nly individual</w:t>
      </w:r>
      <w:r>
        <w:t>s</w:t>
      </w:r>
      <w:r w:rsidRPr="003F1424">
        <w:t xml:space="preserve"> eligible </w:t>
      </w:r>
      <w:r>
        <w:t>for N</w:t>
      </w:r>
      <w:r w:rsidR="00173894">
        <w:t xml:space="preserve">ew </w:t>
      </w:r>
      <w:r>
        <w:t>E</w:t>
      </w:r>
      <w:r w:rsidR="00173894">
        <w:t xml:space="preserve">mployment </w:t>
      </w:r>
      <w:r>
        <w:t>S</w:t>
      </w:r>
      <w:r w:rsidR="00173894">
        <w:t xml:space="preserve">ervices </w:t>
      </w:r>
      <w:r>
        <w:t>T</w:t>
      </w:r>
      <w:r w:rsidR="00173894">
        <w:t>rial (NEST)</w:t>
      </w:r>
      <w:r>
        <w:t xml:space="preserve"> Trial Services</w:t>
      </w:r>
      <w:r w:rsidR="0091596F">
        <w:t xml:space="preserve"> including those who are also eligible for </w:t>
      </w:r>
      <w:r>
        <w:t>a SAP</w:t>
      </w:r>
      <w:r w:rsidR="0091596F">
        <w:t>,</w:t>
      </w:r>
      <w:r>
        <w:t xml:space="preserve"> </w:t>
      </w:r>
      <w:r w:rsidRPr="003F1424">
        <w:t xml:space="preserve">can Direct Register with a </w:t>
      </w:r>
      <w:r>
        <w:t>NEST Trial p</w:t>
      </w:r>
      <w:r w:rsidRPr="003F1424">
        <w:t>rovider.</w:t>
      </w:r>
      <w:r>
        <w:t xml:space="preserve"> If an individual is not eligible </w:t>
      </w:r>
      <w:proofErr w:type="gramStart"/>
      <w:r>
        <w:t>to directly register</w:t>
      </w:r>
      <w:proofErr w:type="gramEnd"/>
      <w:r>
        <w:t xml:space="preserve"> for NEST Trial Services Direct Registration, the provider should direct them to </w:t>
      </w:r>
      <w:r w:rsidR="00DE35A4">
        <w:t>the Department of Human Services (DHS)</w:t>
      </w:r>
      <w:r w:rsidR="0091596F">
        <w:t>.</w:t>
      </w:r>
    </w:p>
    <w:p w14:paraId="3E6ECD37" w14:textId="59710950" w:rsidR="005F714A" w:rsidRPr="005B005C" w:rsidRDefault="005F714A" w:rsidP="005B005C">
      <w:pPr>
        <w:pStyle w:val="guidelinetext"/>
      </w:pPr>
      <w:r w:rsidRPr="005B005C">
        <w:t xml:space="preserve">For more information, refer to the </w:t>
      </w:r>
      <w:r w:rsidR="004B68DD" w:rsidRPr="00B942CA">
        <w:t>New Employment Services Trial (NEST)</w:t>
      </w:r>
      <w:r w:rsidR="005A5605" w:rsidRPr="00B942CA">
        <w:t xml:space="preserve"> -</w:t>
      </w:r>
      <w:r w:rsidR="004B68DD" w:rsidRPr="00B942CA">
        <w:t xml:space="preserve"> </w:t>
      </w:r>
      <w:r w:rsidRPr="00E066CF">
        <w:t>Direct Registration</w:t>
      </w:r>
      <w:r w:rsidR="004B68DD" w:rsidRPr="002C042A">
        <w:t xml:space="preserve">. </w:t>
      </w:r>
    </w:p>
    <w:p w14:paraId="3BC384C2" w14:textId="0F909CC8" w:rsidR="005F714A" w:rsidRPr="005B005C" w:rsidRDefault="005F714A" w:rsidP="005B005C">
      <w:pPr>
        <w:pStyle w:val="guidelinetext"/>
      </w:pPr>
      <w:r w:rsidRPr="005B005C">
        <w:t xml:space="preserve">It </w:t>
      </w:r>
      <w:proofErr w:type="gramStart"/>
      <w:r w:rsidRPr="005B005C">
        <w:t>is recommended</w:t>
      </w:r>
      <w:proofErr w:type="gramEnd"/>
      <w:r w:rsidRPr="005B005C">
        <w:t xml:space="preserve"> that Providers conduct the </w:t>
      </w:r>
      <w:r w:rsidR="00871257">
        <w:t>Job Seeker</w:t>
      </w:r>
      <w:r w:rsidR="00871257" w:rsidRPr="005B005C">
        <w:t xml:space="preserve"> </w:t>
      </w:r>
      <w:r w:rsidRPr="005B005C">
        <w:t xml:space="preserve">Classification Instrument (JSCI) for SAP </w:t>
      </w:r>
      <w:r w:rsidR="00AF1FE1" w:rsidRPr="005B005C">
        <w:t>participant</w:t>
      </w:r>
      <w:r w:rsidRPr="005B005C">
        <w:t xml:space="preserve">s to gain a more comprehensive understanding of their circumstances relevant to the labour market. However, a SAP </w:t>
      </w:r>
      <w:r w:rsidR="004B68DD">
        <w:t>participant</w:t>
      </w:r>
      <w:r w:rsidRPr="005B005C">
        <w:t xml:space="preserve"> does not require an initial JSCI</w:t>
      </w:r>
      <w:r w:rsidR="004B68DD">
        <w:t xml:space="preserve"> </w:t>
      </w:r>
      <w:r w:rsidRPr="005B005C">
        <w:t xml:space="preserve">before </w:t>
      </w:r>
      <w:proofErr w:type="gramStart"/>
      <w:r w:rsidRPr="005B005C">
        <w:t xml:space="preserve">being </w:t>
      </w:r>
      <w:r w:rsidR="00583282" w:rsidRPr="005B005C">
        <w:t>c</w:t>
      </w:r>
      <w:r w:rsidRPr="005B005C">
        <w:t>ommenced</w:t>
      </w:r>
      <w:proofErr w:type="gramEnd"/>
      <w:r w:rsidRPr="005B005C">
        <w:t xml:space="preserve"> in </w:t>
      </w:r>
      <w:r w:rsidR="00DA475D">
        <w:t>Enhanced Services</w:t>
      </w:r>
      <w:r w:rsidRPr="005B005C">
        <w:t>.</w:t>
      </w:r>
    </w:p>
    <w:p w14:paraId="56C8CEC8" w14:textId="36F161AD" w:rsidR="005F714A" w:rsidRPr="005B005C" w:rsidRDefault="005F714A" w:rsidP="005B005C">
      <w:pPr>
        <w:pStyle w:val="guidelinetext"/>
      </w:pPr>
      <w:r w:rsidRPr="005B005C">
        <w:t>If the</w:t>
      </w:r>
      <w:r w:rsidR="004B68DD">
        <w:t xml:space="preserve"> </w:t>
      </w:r>
      <w:r w:rsidRPr="005B005C">
        <w:t xml:space="preserve">Provider determines that a SAP </w:t>
      </w:r>
      <w:r w:rsidR="00AF1FE1" w:rsidRPr="005B005C">
        <w:t>participant</w:t>
      </w:r>
      <w:r w:rsidRPr="005B005C">
        <w:t xml:space="preserve"> requires an Employment Services Assessment (ESAt), they should refer the </w:t>
      </w:r>
      <w:r w:rsidR="00AF1FE1" w:rsidRPr="005B005C">
        <w:t>participant</w:t>
      </w:r>
      <w:r w:rsidRPr="005B005C">
        <w:t xml:space="preserve"> to DHS for further Assessment.</w:t>
      </w:r>
    </w:p>
    <w:p w14:paraId="70B1B35B" w14:textId="77777777" w:rsidR="005F714A" w:rsidRPr="0010590D" w:rsidRDefault="005F714A" w:rsidP="005F714A">
      <w:pPr>
        <w:pStyle w:val="Heading1"/>
      </w:pPr>
      <w:bookmarkStart w:id="8" w:name="_Toc478992177"/>
      <w:bookmarkStart w:id="9" w:name="_Toc16167958"/>
      <w:r w:rsidRPr="0010590D">
        <w:t>Eligibility must be assessed</w:t>
      </w:r>
      <w:bookmarkEnd w:id="8"/>
      <w:bookmarkEnd w:id="9"/>
    </w:p>
    <w:p w14:paraId="6C3AAF0E" w14:textId="4E0287CC" w:rsidR="00F277AE" w:rsidRPr="008B35D8" w:rsidRDefault="00F277AE" w:rsidP="005B005C">
      <w:pPr>
        <w:pStyle w:val="guidelinetext"/>
      </w:pPr>
      <w:r w:rsidRPr="008B35D8">
        <w:t xml:space="preserve">To be eligible for support under </w:t>
      </w:r>
      <w:r>
        <w:t>ASC</w:t>
      </w:r>
      <w:r w:rsidR="00DE08E2" w:rsidRPr="00DE08E2">
        <w:t xml:space="preserve"> </w:t>
      </w:r>
      <w:r w:rsidR="00DE08E2">
        <w:t>Shipbuilding SAP</w:t>
      </w:r>
      <w:r w:rsidRPr="008B35D8">
        <w:t xml:space="preserve">, a retrenched </w:t>
      </w:r>
      <w:r w:rsidR="00AF1FE1">
        <w:t>participant</w:t>
      </w:r>
      <w:r w:rsidRPr="008B35D8">
        <w:t xml:space="preserve"> </w:t>
      </w:r>
      <w:r w:rsidRPr="008B35D8">
        <w:rPr>
          <w:b/>
        </w:rPr>
        <w:t>must</w:t>
      </w:r>
      <w:r w:rsidRPr="008B35D8">
        <w:t>:</w:t>
      </w:r>
    </w:p>
    <w:p w14:paraId="225A95D0" w14:textId="1232F027" w:rsidR="00F277AE" w:rsidRPr="008B35D8" w:rsidRDefault="00F277AE" w:rsidP="005B005C">
      <w:pPr>
        <w:pStyle w:val="guidelinebullet"/>
      </w:pPr>
      <w:r w:rsidRPr="008B35D8">
        <w:t xml:space="preserve">have been </w:t>
      </w:r>
      <w:r w:rsidR="00D4618D">
        <w:t>retrenched</w:t>
      </w:r>
      <w:r w:rsidRPr="008B35D8">
        <w:t xml:space="preserve"> </w:t>
      </w:r>
      <w:r>
        <w:t xml:space="preserve">(including contractors) </w:t>
      </w:r>
      <w:r w:rsidRPr="008B35D8">
        <w:t xml:space="preserve">from </w:t>
      </w:r>
      <w:r>
        <w:t>ASC</w:t>
      </w:r>
      <w:r w:rsidR="0016228E">
        <w:t xml:space="preserve"> Shipbuilding</w:t>
      </w:r>
      <w:r>
        <w:t xml:space="preserve"> Pty Ltd</w:t>
      </w:r>
      <w:r w:rsidR="00EC571C">
        <w:t xml:space="preserve"> </w:t>
      </w:r>
      <w:r w:rsidR="0091596F">
        <w:t xml:space="preserve">or </w:t>
      </w:r>
      <w:r w:rsidR="0091596F" w:rsidRPr="008B35D8">
        <w:t xml:space="preserve">eligible supply chain businesses </w:t>
      </w:r>
      <w:r w:rsidR="00EC571C">
        <w:t>after 1 July 2018</w:t>
      </w:r>
      <w:r>
        <w:t xml:space="preserve"> and </w:t>
      </w:r>
    </w:p>
    <w:p w14:paraId="08320B6E" w14:textId="77777777" w:rsidR="00F277AE" w:rsidRPr="008B35D8" w:rsidRDefault="00F277AE" w:rsidP="005B005C">
      <w:pPr>
        <w:pStyle w:val="guidelinebullet"/>
      </w:pPr>
      <w:r w:rsidRPr="008B35D8">
        <w:t>have evidence of re</w:t>
      </w:r>
      <w:r w:rsidR="00FD3467">
        <w:t>trenchment</w:t>
      </w:r>
      <w:r w:rsidRPr="008B35D8">
        <w:t xml:space="preserve"> that specifies an exit date and</w:t>
      </w:r>
    </w:p>
    <w:p w14:paraId="02ED3DA7" w14:textId="77777777" w:rsidR="00F277AE" w:rsidRPr="008B35D8" w:rsidRDefault="00F277AE" w:rsidP="005B005C">
      <w:pPr>
        <w:pStyle w:val="guidelinebullet"/>
      </w:pPr>
      <w:proofErr w:type="gramStart"/>
      <w:r w:rsidRPr="008B35D8">
        <w:t>register</w:t>
      </w:r>
      <w:proofErr w:type="gramEnd"/>
      <w:r w:rsidRPr="008B35D8">
        <w:t xml:space="preserve"> with a Provider no later</w:t>
      </w:r>
      <w:r w:rsidR="00FD3467">
        <w:t xml:space="preserve"> than six months after their retrenchment</w:t>
      </w:r>
      <w:r w:rsidRPr="008B35D8">
        <w:t xml:space="preserve"> exit date.</w:t>
      </w:r>
    </w:p>
    <w:p w14:paraId="6262D61B" w14:textId="77777777" w:rsidR="00F277AE" w:rsidRPr="008B35D8" w:rsidRDefault="00F277AE" w:rsidP="005B005C">
      <w:pPr>
        <w:pStyle w:val="guidelinetext"/>
      </w:pPr>
      <w:r w:rsidRPr="008B35D8">
        <w:t xml:space="preserve">To be eligible for support under </w:t>
      </w:r>
      <w:r>
        <w:t>ASC</w:t>
      </w:r>
      <w:r w:rsidR="00DE08E2" w:rsidRPr="00DE08E2">
        <w:t xml:space="preserve"> </w:t>
      </w:r>
      <w:r w:rsidR="00DE08E2">
        <w:t>Shipbuilding SAP</w:t>
      </w:r>
      <w:r w:rsidRPr="008B35D8">
        <w:t xml:space="preserve">, the partner of a retrenched </w:t>
      </w:r>
      <w:r w:rsidR="00AF1FE1">
        <w:t>participant</w:t>
      </w:r>
      <w:r w:rsidRPr="008B35D8">
        <w:t xml:space="preserve"> </w:t>
      </w:r>
      <w:r w:rsidRPr="008B35D8">
        <w:rPr>
          <w:b/>
          <w:bCs/>
        </w:rPr>
        <w:t xml:space="preserve">must: </w:t>
      </w:r>
    </w:p>
    <w:p w14:paraId="04BCAA9F" w14:textId="683070D1" w:rsidR="00F277AE" w:rsidRPr="008B35D8" w:rsidRDefault="00F277AE" w:rsidP="005B005C">
      <w:pPr>
        <w:pStyle w:val="guidelinebullet"/>
      </w:pPr>
      <w:r w:rsidRPr="008B35D8">
        <w:t xml:space="preserve">have a current partner who has been </w:t>
      </w:r>
      <w:r w:rsidR="0091596F">
        <w:t>retrenched</w:t>
      </w:r>
      <w:r w:rsidRPr="008B35D8">
        <w:t xml:space="preserve"> from </w:t>
      </w:r>
      <w:r>
        <w:t>ASC</w:t>
      </w:r>
      <w:r w:rsidR="005A3988">
        <w:t xml:space="preserve"> Shipbuilding</w:t>
      </w:r>
      <w:r>
        <w:t xml:space="preserve"> Pty Ltd, including </w:t>
      </w:r>
      <w:r w:rsidRPr="008B35D8">
        <w:t>eligible supply chain businesses and</w:t>
      </w:r>
    </w:p>
    <w:p w14:paraId="54EA53F4" w14:textId="77777777" w:rsidR="00F277AE" w:rsidRDefault="00F277AE" w:rsidP="005B005C">
      <w:pPr>
        <w:pStyle w:val="guidelinebullet"/>
      </w:pPr>
      <w:r w:rsidRPr="008B35D8">
        <w:t xml:space="preserve">be living with their partner and </w:t>
      </w:r>
    </w:p>
    <w:p w14:paraId="3CA38857" w14:textId="77777777" w:rsidR="00F277AE" w:rsidRPr="008B35D8" w:rsidRDefault="00F277AE" w:rsidP="005B005C">
      <w:pPr>
        <w:pStyle w:val="guidelinebullet"/>
      </w:pPr>
      <w:r w:rsidRPr="008B35D8">
        <w:t xml:space="preserve">have evidence of </w:t>
      </w:r>
      <w:r>
        <w:t xml:space="preserve">their partner’s </w:t>
      </w:r>
      <w:r w:rsidRPr="008B35D8">
        <w:t>re</w:t>
      </w:r>
      <w:r w:rsidR="00FD3467">
        <w:t xml:space="preserve">trenchment </w:t>
      </w:r>
      <w:r w:rsidRPr="008B35D8">
        <w:t>that specifies an exit date and</w:t>
      </w:r>
    </w:p>
    <w:p w14:paraId="68B23D22" w14:textId="77777777" w:rsidR="00F277AE" w:rsidRPr="008B35D8" w:rsidRDefault="00F277AE" w:rsidP="005B005C">
      <w:pPr>
        <w:pStyle w:val="guidelinebullet"/>
      </w:pPr>
      <w:proofErr w:type="gramStart"/>
      <w:r w:rsidRPr="008B35D8">
        <w:t>register</w:t>
      </w:r>
      <w:proofErr w:type="gramEnd"/>
      <w:r w:rsidRPr="008B35D8">
        <w:t xml:space="preserve"> with a Provider no later than six months after their </w:t>
      </w:r>
      <w:r>
        <w:t xml:space="preserve">partner’s </w:t>
      </w:r>
      <w:r w:rsidRPr="008B35D8">
        <w:t>re</w:t>
      </w:r>
      <w:r w:rsidR="00FD3467">
        <w:t>trenchment</w:t>
      </w:r>
      <w:r w:rsidRPr="008B35D8">
        <w:t xml:space="preserve"> exit date.</w:t>
      </w:r>
    </w:p>
    <w:p w14:paraId="18E01ECA" w14:textId="77777777" w:rsidR="00F277AE" w:rsidRPr="008B35D8" w:rsidRDefault="00F277AE" w:rsidP="005B005C">
      <w:pPr>
        <w:pStyle w:val="guidelinetext"/>
      </w:pPr>
      <w:r w:rsidRPr="008B35D8">
        <w:t>Evidence of re</w:t>
      </w:r>
      <w:r w:rsidR="00FD3467">
        <w:t xml:space="preserve">trenchment </w:t>
      </w:r>
      <w:r w:rsidRPr="008B35D8">
        <w:t>can include a retrenchment letter, certificate of separation or other documentation endorsed by their employer.</w:t>
      </w:r>
    </w:p>
    <w:p w14:paraId="6909F243" w14:textId="125E2962" w:rsidR="00F277AE" w:rsidRDefault="00AF1FE1" w:rsidP="005B005C">
      <w:pPr>
        <w:pStyle w:val="guidelinetext"/>
      </w:pPr>
      <w:r>
        <w:t>Participant</w:t>
      </w:r>
      <w:r w:rsidR="00F277AE" w:rsidRPr="008B35D8">
        <w:t xml:space="preserve">s do not need to have left work before receiving assistance, but they need to </w:t>
      </w:r>
      <w:proofErr w:type="gramStart"/>
      <w:r w:rsidR="00F277AE" w:rsidRPr="008B35D8">
        <w:t>have been provided</w:t>
      </w:r>
      <w:proofErr w:type="gramEnd"/>
      <w:r w:rsidR="00F277AE" w:rsidRPr="008B35D8">
        <w:t xml:space="preserve"> with evidence of re</w:t>
      </w:r>
      <w:r w:rsidR="00FD3467">
        <w:t xml:space="preserve">trenchment </w:t>
      </w:r>
      <w:r w:rsidR="00F277AE" w:rsidRPr="008B35D8">
        <w:t>from an eligible company that includes their exit date.</w:t>
      </w:r>
    </w:p>
    <w:p w14:paraId="2571825D" w14:textId="20FDDD69" w:rsidR="00B91E31" w:rsidRPr="008B35D8" w:rsidRDefault="00B91E31" w:rsidP="00B91E31">
      <w:pPr>
        <w:pStyle w:val="guidelinetext"/>
      </w:pPr>
      <w:r>
        <w:t xml:space="preserve">The program will close to new participants from </w:t>
      </w:r>
      <w:r w:rsidR="00C93623">
        <w:t>1 July</w:t>
      </w:r>
      <w:r>
        <w:t xml:space="preserve"> 2020.</w:t>
      </w:r>
    </w:p>
    <w:p w14:paraId="3D9FEE19" w14:textId="57F1C95F" w:rsidR="00E02E3D" w:rsidRPr="008B35D8" w:rsidRDefault="00AF1FE1" w:rsidP="005B005C">
      <w:pPr>
        <w:pStyle w:val="guidelinetext"/>
      </w:pPr>
      <w:r>
        <w:lastRenderedPageBreak/>
        <w:t>Participant</w:t>
      </w:r>
      <w:r w:rsidR="00F277AE">
        <w:t>s who access the program</w:t>
      </w:r>
      <w:r w:rsidR="00F277AE" w:rsidRPr="008B35D8">
        <w:t xml:space="preserve"> and find but then lose employment ca</w:t>
      </w:r>
      <w:r w:rsidR="00F277AE">
        <w:t>n regain access to the program</w:t>
      </w:r>
      <w:r w:rsidR="00F277AE" w:rsidRPr="008B35D8">
        <w:t xml:space="preserve"> within six months of their original re</w:t>
      </w:r>
      <w:r w:rsidR="00FD3467">
        <w:t>trenchment</w:t>
      </w:r>
      <w:r w:rsidR="00F277AE" w:rsidRPr="008B35D8">
        <w:t xml:space="preserve"> from an eligible company.</w:t>
      </w:r>
      <w:r w:rsidR="00E02E3D">
        <w:t xml:space="preserve"> </w:t>
      </w:r>
    </w:p>
    <w:p w14:paraId="3B7E154A" w14:textId="77777777" w:rsidR="00F277AE" w:rsidRPr="008B35D8" w:rsidRDefault="00F277AE" w:rsidP="005B005C">
      <w:pPr>
        <w:pStyle w:val="guidelinetext"/>
      </w:pPr>
      <w:r w:rsidRPr="008B35D8">
        <w:t xml:space="preserve">If there were extenuating circumstances preventing the </w:t>
      </w:r>
      <w:r w:rsidR="00AF1FE1">
        <w:t>participant</w:t>
      </w:r>
      <w:r w:rsidRPr="008B35D8">
        <w:t xml:space="preserve"> from registering within six months, Providers </w:t>
      </w:r>
      <w:r w:rsidRPr="008B35D8">
        <w:rPr>
          <w:b/>
        </w:rPr>
        <w:t>should</w:t>
      </w:r>
      <w:r w:rsidRPr="008B35D8">
        <w:t xml:space="preserve"> contact their local Contract Manager to confirm their eligibility.</w:t>
      </w:r>
    </w:p>
    <w:p w14:paraId="7AF10043" w14:textId="4473EBE0" w:rsidR="00F277AE" w:rsidRPr="008B35D8" w:rsidRDefault="00F277AE" w:rsidP="005B005C">
      <w:pPr>
        <w:pStyle w:val="guidelinetext"/>
      </w:pPr>
      <w:r w:rsidRPr="008B35D8">
        <w:t xml:space="preserve">Notes: </w:t>
      </w:r>
    </w:p>
    <w:p w14:paraId="0AA3F497" w14:textId="5A5DB1A6" w:rsidR="00F277AE" w:rsidRPr="008B35D8" w:rsidRDefault="00F277AE" w:rsidP="005B005C">
      <w:pPr>
        <w:pStyle w:val="guidelinebullet"/>
      </w:pPr>
      <w:r w:rsidRPr="008B35D8">
        <w:t xml:space="preserve">A list of eligible companies/businesses will be available on the ‘Adjustment Packages’ page on the Provider Portal. If a company is not on this list and the Provider would like eligibility to </w:t>
      </w:r>
      <w:proofErr w:type="gramStart"/>
      <w:r w:rsidRPr="008B35D8">
        <w:t>be assessed</w:t>
      </w:r>
      <w:proofErr w:type="gramEnd"/>
      <w:r w:rsidRPr="008B35D8">
        <w:t>, the Provider should contact their local Contract Manager to confirm eligibility</w:t>
      </w:r>
      <w:r w:rsidR="00B91E31">
        <w:t>.</w:t>
      </w:r>
    </w:p>
    <w:p w14:paraId="4EEB0E36" w14:textId="77777777" w:rsidR="007B08DC" w:rsidRDefault="00F277AE" w:rsidP="005B005C">
      <w:pPr>
        <w:pStyle w:val="guidelinebullet"/>
      </w:pPr>
      <w:r w:rsidRPr="008B35D8">
        <w:t xml:space="preserve">Eligible companies/businesses include those companies/businesses that directly supply </w:t>
      </w:r>
      <w:r>
        <w:t xml:space="preserve">ASC </w:t>
      </w:r>
      <w:r w:rsidR="005A3988">
        <w:t xml:space="preserve">Shipbuilding </w:t>
      </w:r>
      <w:r>
        <w:t>Pty Ltd</w:t>
      </w:r>
      <w:r w:rsidRPr="008B35D8">
        <w:t>.</w:t>
      </w:r>
    </w:p>
    <w:p w14:paraId="2A8D00CA" w14:textId="5B06E1E7" w:rsidR="007B08DC" w:rsidRPr="007B08DC" w:rsidRDefault="007B08DC" w:rsidP="005B005C">
      <w:pPr>
        <w:pStyle w:val="guidelinebullet"/>
      </w:pPr>
      <w:r>
        <w:t xml:space="preserve">Participants eligible for the </w:t>
      </w:r>
      <w:r w:rsidRPr="007B08DC">
        <w:t>ASC</w:t>
      </w:r>
      <w:r w:rsidR="0084709A">
        <w:t xml:space="preserve"> Shipbuilding</w:t>
      </w:r>
      <w:r w:rsidRPr="007B08DC">
        <w:t xml:space="preserve"> </w:t>
      </w:r>
      <w:r w:rsidR="00B91E31">
        <w:t>SAP</w:t>
      </w:r>
      <w:r w:rsidRPr="007B08DC">
        <w:t xml:space="preserve"> </w:t>
      </w:r>
      <w:r>
        <w:t>cannot register for support under the Stronger Transitions program.</w:t>
      </w:r>
    </w:p>
    <w:p w14:paraId="7E6410AF" w14:textId="77777777" w:rsidR="005F714A" w:rsidRPr="0010590D" w:rsidRDefault="005F714A" w:rsidP="005F714A">
      <w:pPr>
        <w:pStyle w:val="Heading1"/>
      </w:pPr>
      <w:bookmarkStart w:id="10" w:name="_Toc459888881"/>
      <w:bookmarkStart w:id="11" w:name="_Toc475967058"/>
      <w:bookmarkStart w:id="12" w:name="_Toc488317460"/>
      <w:bookmarkStart w:id="13" w:name="_Toc16167959"/>
      <w:r w:rsidRPr="0010590D">
        <w:t>S</w:t>
      </w:r>
      <w:bookmarkEnd w:id="10"/>
      <w:bookmarkEnd w:id="11"/>
      <w:bookmarkEnd w:id="12"/>
      <w:r w:rsidRPr="0010590D">
        <w:t>tream</w:t>
      </w:r>
      <w:bookmarkEnd w:id="13"/>
    </w:p>
    <w:p w14:paraId="5FE0F877" w14:textId="0B10FEEF" w:rsidR="005F714A" w:rsidRDefault="005F714A" w:rsidP="005F714A">
      <w:pPr>
        <w:pStyle w:val="guidelinetext"/>
      </w:pPr>
      <w:r w:rsidRPr="00D00B07">
        <w:t xml:space="preserve">Eligible </w:t>
      </w:r>
      <w:r w:rsidR="00AF1FE1">
        <w:t>participant</w:t>
      </w:r>
      <w:r w:rsidRPr="00D00B07">
        <w:t xml:space="preserve">s will have immediate access to </w:t>
      </w:r>
      <w:r w:rsidR="00DA475D">
        <w:t>Enhanced Services</w:t>
      </w:r>
      <w:r w:rsidRPr="00D00B07">
        <w:t xml:space="preserve"> unless an </w:t>
      </w:r>
      <w:r w:rsidRPr="00D00B07">
        <w:rPr>
          <w:lang w:val="en-US"/>
        </w:rPr>
        <w:t>ESAt</w:t>
      </w:r>
      <w:r w:rsidRPr="00D00B07" w:rsidDel="00CC55A5">
        <w:t xml:space="preserve"> </w:t>
      </w:r>
      <w:r w:rsidRPr="00D00B07">
        <w:t xml:space="preserve">indicates </w:t>
      </w:r>
      <w:r w:rsidR="00871257">
        <w:t>a different level of</w:t>
      </w:r>
      <w:r w:rsidRPr="00D00B07">
        <w:t xml:space="preserve"> assistance </w:t>
      </w:r>
      <w:proofErr w:type="gramStart"/>
      <w:r w:rsidRPr="00D00B07">
        <w:t>is needed</w:t>
      </w:r>
      <w:proofErr w:type="gramEnd"/>
      <w:r w:rsidR="00EB3EE1">
        <w:t>.</w:t>
      </w:r>
    </w:p>
    <w:p w14:paraId="54A8E6D7" w14:textId="77777777" w:rsidR="005F714A" w:rsidRPr="00973B8B" w:rsidRDefault="005F714A" w:rsidP="00973B8B">
      <w:pPr>
        <w:pStyle w:val="Heading2"/>
      </w:pPr>
      <w:bookmarkStart w:id="14" w:name="_Toc478992179"/>
      <w:bookmarkStart w:id="15" w:name="_Toc16167960"/>
      <w:bookmarkStart w:id="16" w:name="_Toc459888882"/>
      <w:r w:rsidRPr="00973B8B">
        <w:t xml:space="preserve">Conducting Initial Interview and commencing the </w:t>
      </w:r>
      <w:r w:rsidR="00AF1FE1" w:rsidRPr="00973B8B">
        <w:t>participant</w:t>
      </w:r>
      <w:r w:rsidRPr="00973B8B">
        <w:t xml:space="preserve"> in Employment Provider Services</w:t>
      </w:r>
      <w:bookmarkEnd w:id="14"/>
      <w:bookmarkEnd w:id="15"/>
      <w:r w:rsidRPr="00973B8B">
        <w:t xml:space="preserve"> </w:t>
      </w:r>
      <w:bookmarkEnd w:id="16"/>
    </w:p>
    <w:p w14:paraId="6EAC9860" w14:textId="77777777" w:rsidR="005F714A" w:rsidRDefault="005F714A" w:rsidP="005F714A">
      <w:pPr>
        <w:pStyle w:val="guidelinetext"/>
      </w:pPr>
      <w:bookmarkStart w:id="17" w:name="_Toc459888883"/>
      <w:r>
        <w:t xml:space="preserve">The Employment Provider must conduct an initial interview for all </w:t>
      </w:r>
      <w:r w:rsidR="00AF1FE1">
        <w:t>participant</w:t>
      </w:r>
      <w:r>
        <w:t>s who are eligible for support under a SAP.</w:t>
      </w:r>
    </w:p>
    <w:p w14:paraId="6E5E85A5" w14:textId="77777777" w:rsidR="005F714A" w:rsidRDefault="005F714A" w:rsidP="005F714A">
      <w:pPr>
        <w:pStyle w:val="guidelinetext"/>
      </w:pPr>
      <w:r>
        <w:t xml:space="preserve">At the Initial </w:t>
      </w:r>
      <w:proofErr w:type="gramStart"/>
      <w:r>
        <w:t>Interview</w:t>
      </w:r>
      <w:proofErr w:type="gramEnd"/>
      <w:r>
        <w:t xml:space="preserve"> the Employment Provider must explain to the </w:t>
      </w:r>
      <w:r w:rsidR="00AF1FE1">
        <w:t>participant</w:t>
      </w:r>
      <w:r>
        <w:t xml:space="preserve"> the services they will receive. This includes:</w:t>
      </w:r>
    </w:p>
    <w:p w14:paraId="3B3A0500" w14:textId="51E24029" w:rsidR="005F714A" w:rsidRDefault="005F714A" w:rsidP="005F714A">
      <w:pPr>
        <w:pStyle w:val="guidelinebullet"/>
      </w:pPr>
      <w:r>
        <w:t xml:space="preserve">explaining the specific Services that the Employment Provider will offer </w:t>
      </w:r>
      <w:r w:rsidR="0001201F">
        <w:t>them</w:t>
      </w:r>
    </w:p>
    <w:p w14:paraId="3BDEA6CB" w14:textId="77777777" w:rsidR="005F714A" w:rsidRDefault="005F714A" w:rsidP="005F714A">
      <w:pPr>
        <w:pStyle w:val="guidelinebullet"/>
      </w:pPr>
      <w:r>
        <w:t xml:space="preserve">explaining the assistance that the </w:t>
      </w:r>
      <w:r w:rsidR="00AF1FE1">
        <w:t>participant</w:t>
      </w:r>
      <w:r>
        <w:t xml:space="preserve"> can receive under the relevant SAP</w:t>
      </w:r>
    </w:p>
    <w:p w14:paraId="67B192C2" w14:textId="70E1DDA8" w:rsidR="005F714A" w:rsidRDefault="005F714A" w:rsidP="005F714A">
      <w:pPr>
        <w:pStyle w:val="guidelinebullet"/>
      </w:pPr>
      <w:r>
        <w:t xml:space="preserve">providing access to the </w:t>
      </w:r>
      <w:r w:rsidR="0001201F">
        <w:t xml:space="preserve">Employment Provider’s </w:t>
      </w:r>
      <w:r>
        <w:t xml:space="preserve">Service Guarantee </w:t>
      </w:r>
    </w:p>
    <w:p w14:paraId="22581497" w14:textId="77777777" w:rsidR="005F714A" w:rsidRDefault="005F714A" w:rsidP="005F714A">
      <w:pPr>
        <w:pStyle w:val="guidelinebullet"/>
      </w:pPr>
      <w:r>
        <w:t xml:space="preserve">identify the </w:t>
      </w:r>
      <w:r w:rsidR="00AF1FE1">
        <w:t>participant</w:t>
      </w:r>
      <w:r>
        <w:t>’s strengths and any issues they may have finding a job</w:t>
      </w:r>
    </w:p>
    <w:p w14:paraId="281A9EDA" w14:textId="77777777" w:rsidR="005F714A" w:rsidRDefault="005F714A" w:rsidP="005F714A">
      <w:pPr>
        <w:pStyle w:val="guidelinebullet"/>
      </w:pPr>
      <w:r>
        <w:t xml:space="preserve">preparing a Job Plan with the </w:t>
      </w:r>
      <w:r w:rsidR="00AF1FE1">
        <w:t>participant</w:t>
      </w:r>
      <w:r>
        <w:t xml:space="preserve"> which sets out the voluntary activities that a </w:t>
      </w:r>
      <w:r w:rsidR="00AF1FE1">
        <w:t>participant</w:t>
      </w:r>
      <w:r>
        <w:t xml:space="preserve"> agrees to undertake</w:t>
      </w:r>
    </w:p>
    <w:p w14:paraId="204CDB4D" w14:textId="77777777" w:rsidR="005F714A" w:rsidRDefault="005F714A" w:rsidP="005F714A">
      <w:pPr>
        <w:pStyle w:val="guidelinebullet"/>
      </w:pPr>
      <w:r>
        <w:t xml:space="preserve">provide access to Self-help Facilities to enable the </w:t>
      </w:r>
      <w:r w:rsidR="00AF1FE1">
        <w:t>participant</w:t>
      </w:r>
      <w:r>
        <w:t xml:space="preserve"> to undertake job search and prepare a résumé</w:t>
      </w:r>
    </w:p>
    <w:p w14:paraId="3F85E51A" w14:textId="77777777" w:rsidR="005F714A" w:rsidRDefault="005F714A" w:rsidP="005F714A">
      <w:pPr>
        <w:pStyle w:val="guidelinebullet"/>
      </w:pPr>
      <w:r>
        <w:t>provide advice about the best ways to look for and find work</w:t>
      </w:r>
    </w:p>
    <w:p w14:paraId="0EB2DEE8" w14:textId="77777777" w:rsidR="005F714A" w:rsidRDefault="005F714A" w:rsidP="005F714A">
      <w:pPr>
        <w:pStyle w:val="guidelinebullet"/>
      </w:pPr>
      <w:r>
        <w:t>provide advice on the labour market, including employer needs and skill shortage areas and</w:t>
      </w:r>
    </w:p>
    <w:p w14:paraId="7F1E1031" w14:textId="77777777" w:rsidR="005F714A" w:rsidRDefault="005F714A" w:rsidP="005F714A">
      <w:pPr>
        <w:pStyle w:val="guidelinebullet"/>
      </w:pPr>
      <w:proofErr w:type="gramStart"/>
      <w:r>
        <w:t>provide</w:t>
      </w:r>
      <w:proofErr w:type="gramEnd"/>
      <w:r>
        <w:t xml:space="preserve"> access to suitable Vacancies and assistance to apply for jobs where required.</w:t>
      </w:r>
    </w:p>
    <w:p w14:paraId="6667460F" w14:textId="3D56F033" w:rsidR="005F714A" w:rsidRDefault="00AF1FE1" w:rsidP="005F714A">
      <w:pPr>
        <w:pStyle w:val="guidelinetext"/>
      </w:pPr>
      <w:r>
        <w:t>Participant</w:t>
      </w:r>
      <w:r w:rsidR="005F714A">
        <w:t xml:space="preserve">s who are eligible for support under a SAP are automatically </w:t>
      </w:r>
      <w:r w:rsidR="00447D6A">
        <w:t>commenced</w:t>
      </w:r>
      <w:r w:rsidR="005F714A">
        <w:t xml:space="preserve"> once the Employment Provider records attendance at the Initial Interview and they have an approved Job Plan. Once the </w:t>
      </w:r>
      <w:r>
        <w:t>participant</w:t>
      </w:r>
      <w:r w:rsidR="005F714A">
        <w:t xml:space="preserve"> </w:t>
      </w:r>
      <w:proofErr w:type="gramStart"/>
      <w:r w:rsidR="005F714A">
        <w:t xml:space="preserve">is </w:t>
      </w:r>
      <w:r w:rsidR="00447D6A">
        <w:t>commenced</w:t>
      </w:r>
      <w:proofErr w:type="gramEnd"/>
      <w:r w:rsidR="005F714A">
        <w:t xml:space="preserve">, the Employment Provider must deliver Employment Provider Services to the SAP </w:t>
      </w:r>
      <w:r>
        <w:t>participant</w:t>
      </w:r>
      <w:r w:rsidR="005F714A">
        <w:t xml:space="preserve"> as a Fully Eligible Participant in accordance with the Deed.</w:t>
      </w:r>
      <w:r w:rsidR="005F714A" w:rsidRPr="00832BA0">
        <w:t xml:space="preserve"> </w:t>
      </w:r>
    </w:p>
    <w:p w14:paraId="22F78B90" w14:textId="77777777" w:rsidR="005F714A" w:rsidRDefault="005F714A" w:rsidP="005F714A">
      <w:pPr>
        <w:pStyle w:val="Heading1"/>
      </w:pPr>
      <w:bookmarkStart w:id="18" w:name="_Toc478992180"/>
      <w:bookmarkStart w:id="19" w:name="_Toc16167961"/>
      <w:bookmarkEnd w:id="17"/>
      <w:r>
        <w:lastRenderedPageBreak/>
        <w:t>Information technology requirements</w:t>
      </w:r>
      <w:bookmarkEnd w:id="18"/>
      <w:bookmarkEnd w:id="19"/>
    </w:p>
    <w:p w14:paraId="0DB1CC30" w14:textId="5E76C2B7" w:rsidR="005F714A" w:rsidRPr="00734E3A" w:rsidRDefault="00C51D98" w:rsidP="005F714A">
      <w:pPr>
        <w:pStyle w:val="Systemstep"/>
        <w:ind w:left="1418" w:hanging="1418"/>
      </w:pPr>
      <w:r w:rsidRPr="00C51D98">
        <w:rPr>
          <w:b/>
          <w:spacing w:val="1"/>
        </w:rPr>
        <w:t>System Step:</w:t>
      </w:r>
      <w:r>
        <w:rPr>
          <w:spacing w:val="1"/>
        </w:rPr>
        <w:t xml:space="preserve"> </w:t>
      </w:r>
      <w:r w:rsidR="005F714A" w:rsidRPr="00734E3A">
        <w:rPr>
          <w:spacing w:val="1"/>
        </w:rPr>
        <w:t>P</w:t>
      </w:r>
      <w:r w:rsidR="005F714A" w:rsidRPr="00734E3A">
        <w:t>r</w:t>
      </w:r>
      <w:r w:rsidR="005F714A" w:rsidRPr="00734E3A">
        <w:rPr>
          <w:spacing w:val="-1"/>
        </w:rPr>
        <w:t>o</w:t>
      </w:r>
      <w:r w:rsidR="005F714A" w:rsidRPr="00734E3A">
        <w:rPr>
          <w:spacing w:val="1"/>
        </w:rPr>
        <w:t>v</w:t>
      </w:r>
      <w:r w:rsidR="005F714A" w:rsidRPr="00734E3A">
        <w:t>i</w:t>
      </w:r>
      <w:r w:rsidR="005F714A" w:rsidRPr="00734E3A">
        <w:rPr>
          <w:spacing w:val="-1"/>
        </w:rPr>
        <w:t>d</w:t>
      </w:r>
      <w:r w:rsidR="005F714A" w:rsidRPr="00734E3A">
        <w:rPr>
          <w:spacing w:val="1"/>
        </w:rPr>
        <w:t>e</w:t>
      </w:r>
      <w:r w:rsidR="005F714A" w:rsidRPr="00734E3A">
        <w:t>rs</w:t>
      </w:r>
      <w:r w:rsidR="005F714A" w:rsidRPr="00734E3A">
        <w:rPr>
          <w:spacing w:val="-2"/>
        </w:rPr>
        <w:t xml:space="preserve"> </w:t>
      </w:r>
      <w:r w:rsidR="005F714A" w:rsidRPr="00734E3A">
        <w:rPr>
          <w:bCs/>
        </w:rPr>
        <w:t>m</w:t>
      </w:r>
      <w:r w:rsidR="005F714A" w:rsidRPr="00734E3A">
        <w:rPr>
          <w:bCs/>
          <w:spacing w:val="-1"/>
        </w:rPr>
        <w:t>u</w:t>
      </w:r>
      <w:r w:rsidR="005F714A" w:rsidRPr="00734E3A">
        <w:rPr>
          <w:bCs/>
          <w:spacing w:val="1"/>
        </w:rPr>
        <w:t>s</w:t>
      </w:r>
      <w:r w:rsidR="005F714A" w:rsidRPr="00734E3A">
        <w:rPr>
          <w:bCs/>
        </w:rPr>
        <w:t>t</w:t>
      </w:r>
      <w:r w:rsidR="005F714A" w:rsidRPr="00734E3A">
        <w:rPr>
          <w:bCs/>
          <w:spacing w:val="-2"/>
        </w:rPr>
        <w:t xml:space="preserve"> </w:t>
      </w:r>
      <w:r w:rsidR="005F714A" w:rsidRPr="00734E3A">
        <w:t>a</w:t>
      </w:r>
      <w:r w:rsidR="005F714A" w:rsidRPr="00734E3A">
        <w:rPr>
          <w:spacing w:val="-1"/>
        </w:rPr>
        <w:t>pp</w:t>
      </w:r>
      <w:r w:rsidR="005F714A" w:rsidRPr="00734E3A">
        <w:t>ly</w:t>
      </w:r>
      <w:r w:rsidR="005F714A" w:rsidRPr="00734E3A">
        <w:rPr>
          <w:spacing w:val="-1"/>
        </w:rPr>
        <w:t xml:space="preserve"> </w:t>
      </w:r>
      <w:r w:rsidR="005F714A" w:rsidRPr="00734E3A">
        <w:t>t</w:t>
      </w:r>
      <w:r w:rsidR="005F714A" w:rsidRPr="00734E3A">
        <w:rPr>
          <w:spacing w:val="-1"/>
        </w:rPr>
        <w:t>h</w:t>
      </w:r>
      <w:r w:rsidR="005F714A" w:rsidRPr="00734E3A">
        <w:t>e relevant</w:t>
      </w:r>
      <w:r w:rsidR="005F714A" w:rsidRPr="00734E3A">
        <w:rPr>
          <w:spacing w:val="1"/>
        </w:rPr>
        <w:t xml:space="preserve"> </w:t>
      </w:r>
      <w:r w:rsidR="005F714A" w:rsidRPr="00734E3A">
        <w:rPr>
          <w:spacing w:val="-1"/>
        </w:rPr>
        <w:t>S</w:t>
      </w:r>
      <w:r w:rsidR="005F714A" w:rsidRPr="00734E3A">
        <w:t>tr</w:t>
      </w:r>
      <w:r w:rsidR="005F714A" w:rsidRPr="00734E3A">
        <w:rPr>
          <w:spacing w:val="-1"/>
        </w:rPr>
        <w:t>u</w:t>
      </w:r>
      <w:r w:rsidR="005F714A" w:rsidRPr="00734E3A">
        <w:rPr>
          <w:spacing w:val="-2"/>
        </w:rPr>
        <w:t>c</w:t>
      </w:r>
      <w:r w:rsidR="005F714A" w:rsidRPr="00734E3A">
        <w:t>t</w:t>
      </w:r>
      <w:r w:rsidR="005F714A" w:rsidRPr="00734E3A">
        <w:rPr>
          <w:spacing w:val="-1"/>
        </w:rPr>
        <w:t>u</w:t>
      </w:r>
      <w:r w:rsidR="005F714A" w:rsidRPr="00734E3A">
        <w:t>ral Adjustment</w:t>
      </w:r>
      <w:r w:rsidR="005F714A" w:rsidRPr="00734E3A">
        <w:rPr>
          <w:spacing w:val="1"/>
        </w:rPr>
        <w:t xml:space="preserve"> </w:t>
      </w:r>
      <w:r w:rsidR="005F714A" w:rsidRPr="00734E3A">
        <w:rPr>
          <w:spacing w:val="-1"/>
        </w:rPr>
        <w:t>P</w:t>
      </w:r>
      <w:r w:rsidR="005F714A" w:rsidRPr="00734E3A">
        <w:t>r</w:t>
      </w:r>
      <w:r w:rsidR="005F714A" w:rsidRPr="00734E3A">
        <w:rPr>
          <w:spacing w:val="1"/>
        </w:rPr>
        <w:t>o</w:t>
      </w:r>
      <w:r w:rsidR="005F714A" w:rsidRPr="00734E3A">
        <w:rPr>
          <w:spacing w:val="-1"/>
        </w:rPr>
        <w:t>g</w:t>
      </w:r>
      <w:r w:rsidR="005F714A" w:rsidRPr="00734E3A">
        <w:t>r</w:t>
      </w:r>
      <w:r w:rsidR="005F714A" w:rsidRPr="00734E3A">
        <w:rPr>
          <w:spacing w:val="-3"/>
        </w:rPr>
        <w:t>a</w:t>
      </w:r>
      <w:r w:rsidR="005F714A" w:rsidRPr="00734E3A">
        <w:rPr>
          <w:spacing w:val="-1"/>
        </w:rPr>
        <w:t>m</w:t>
      </w:r>
      <w:r w:rsidR="005F714A" w:rsidRPr="00734E3A">
        <w:rPr>
          <w:spacing w:val="1"/>
        </w:rPr>
        <w:t xml:space="preserve"> </w:t>
      </w:r>
      <w:r w:rsidR="005F714A" w:rsidRPr="00734E3A">
        <w:rPr>
          <w:spacing w:val="-1"/>
        </w:rPr>
        <w:t>S</w:t>
      </w:r>
      <w:r w:rsidR="005F714A" w:rsidRPr="00734E3A">
        <w:rPr>
          <w:spacing w:val="-3"/>
        </w:rPr>
        <w:t>p</w:t>
      </w:r>
      <w:r w:rsidR="005F714A" w:rsidRPr="00734E3A">
        <w:rPr>
          <w:spacing w:val="1"/>
        </w:rPr>
        <w:t>e</w:t>
      </w:r>
      <w:r w:rsidR="005F714A" w:rsidRPr="00734E3A">
        <w:t xml:space="preserve">cial Placement Indicator in the Special Client Type field to the record of any </w:t>
      </w:r>
      <w:r w:rsidR="00AF1FE1">
        <w:t>participant</w:t>
      </w:r>
      <w:r w:rsidR="005F714A" w:rsidRPr="00734E3A">
        <w:t xml:space="preserve"> w</w:t>
      </w:r>
      <w:r w:rsidR="005F714A" w:rsidRPr="00734E3A">
        <w:rPr>
          <w:spacing w:val="-1"/>
        </w:rPr>
        <w:t>h</w:t>
      </w:r>
      <w:r w:rsidR="005F714A" w:rsidRPr="00734E3A">
        <w:t>o</w:t>
      </w:r>
      <w:r w:rsidR="005F714A" w:rsidRPr="00734E3A">
        <w:rPr>
          <w:spacing w:val="2"/>
        </w:rPr>
        <w:t xml:space="preserve"> </w:t>
      </w:r>
      <w:r w:rsidR="005F714A" w:rsidRPr="00734E3A">
        <w:t>is</w:t>
      </w:r>
      <w:r w:rsidR="005F714A" w:rsidRPr="00734E3A">
        <w:rPr>
          <w:spacing w:val="-2"/>
        </w:rPr>
        <w:t xml:space="preserve"> </w:t>
      </w:r>
      <w:r w:rsidR="005F714A" w:rsidRPr="00734E3A">
        <w:rPr>
          <w:spacing w:val="1"/>
        </w:rPr>
        <w:t>e</w:t>
      </w:r>
      <w:r w:rsidR="005F714A" w:rsidRPr="00734E3A">
        <w:t>li</w:t>
      </w:r>
      <w:r w:rsidR="005F714A" w:rsidRPr="00734E3A">
        <w:rPr>
          <w:spacing w:val="-1"/>
        </w:rPr>
        <w:t>g</w:t>
      </w:r>
      <w:r w:rsidR="005F714A" w:rsidRPr="00734E3A">
        <w:t>i</w:t>
      </w:r>
      <w:r w:rsidR="005F714A" w:rsidRPr="00734E3A">
        <w:rPr>
          <w:spacing w:val="-1"/>
        </w:rPr>
        <w:t>b</w:t>
      </w:r>
      <w:r w:rsidR="005F714A" w:rsidRPr="00734E3A">
        <w:t>le</w:t>
      </w:r>
      <w:r w:rsidR="005F714A" w:rsidRPr="00734E3A">
        <w:rPr>
          <w:spacing w:val="1"/>
        </w:rPr>
        <w:t xml:space="preserve"> </w:t>
      </w:r>
      <w:r w:rsidR="005F714A" w:rsidRPr="00734E3A">
        <w:rPr>
          <w:spacing w:val="-3"/>
        </w:rPr>
        <w:t>f</w:t>
      </w:r>
      <w:r w:rsidR="005F714A" w:rsidRPr="00734E3A">
        <w:rPr>
          <w:spacing w:val="1"/>
        </w:rPr>
        <w:t>o</w:t>
      </w:r>
      <w:r w:rsidR="005F714A" w:rsidRPr="00734E3A">
        <w:t>r a SAP.</w:t>
      </w:r>
      <w:r w:rsidR="00A83393">
        <w:t xml:space="preserve"> There </w:t>
      </w:r>
      <w:r w:rsidR="00B91E31">
        <w:t>is</w:t>
      </w:r>
      <w:r w:rsidR="00A83393">
        <w:t xml:space="preserve"> a Special Placement Indicator for ASC </w:t>
      </w:r>
      <w:r w:rsidR="005A3988">
        <w:t xml:space="preserve">Shipbuilding </w:t>
      </w:r>
      <w:r w:rsidR="00A83393">
        <w:t>Pty Ltd and supply chain workers and another for partners.</w:t>
      </w:r>
    </w:p>
    <w:p w14:paraId="78F2FBBD" w14:textId="57B84756" w:rsidR="005F714A" w:rsidRDefault="00C51D98" w:rsidP="005F714A">
      <w:pPr>
        <w:pStyle w:val="Systemstep"/>
        <w:ind w:left="1418" w:hanging="1418"/>
      </w:pPr>
      <w:r w:rsidRPr="00C51D98">
        <w:rPr>
          <w:b/>
          <w:spacing w:val="1"/>
        </w:rPr>
        <w:t>System Step:</w:t>
      </w:r>
      <w:r>
        <w:rPr>
          <w:spacing w:val="1"/>
        </w:rPr>
        <w:t xml:space="preserve"> </w:t>
      </w:r>
      <w:r w:rsidR="005F714A" w:rsidRPr="00734E3A">
        <w:t>If t</w:t>
      </w:r>
      <w:r w:rsidR="005F714A" w:rsidRPr="00734E3A">
        <w:rPr>
          <w:spacing w:val="-1"/>
        </w:rPr>
        <w:t>h</w:t>
      </w:r>
      <w:r w:rsidR="005F714A" w:rsidRPr="00734E3A">
        <w:t>e</w:t>
      </w:r>
      <w:r w:rsidR="005F714A" w:rsidRPr="00734E3A">
        <w:rPr>
          <w:spacing w:val="1"/>
        </w:rPr>
        <w:t xml:space="preserve"> </w:t>
      </w:r>
      <w:r w:rsidR="00AF1FE1">
        <w:rPr>
          <w:spacing w:val="-2"/>
        </w:rPr>
        <w:t>participant</w:t>
      </w:r>
      <w:r w:rsidR="005F714A" w:rsidRPr="00734E3A">
        <w:rPr>
          <w:spacing w:val="-2"/>
        </w:rPr>
        <w:t xml:space="preserve"> </w:t>
      </w:r>
      <w:proofErr w:type="gramStart"/>
      <w:r w:rsidR="005F714A" w:rsidRPr="00734E3A">
        <w:t>is</w:t>
      </w:r>
      <w:r w:rsidR="005F714A" w:rsidRPr="00734E3A">
        <w:rPr>
          <w:spacing w:val="1"/>
        </w:rPr>
        <w:t xml:space="preserve"> </w:t>
      </w:r>
      <w:r w:rsidR="005F714A" w:rsidRPr="00734E3A">
        <w:rPr>
          <w:spacing w:val="-3"/>
        </w:rPr>
        <w:t>r</w:t>
      </w:r>
      <w:r w:rsidR="005F714A" w:rsidRPr="00734E3A">
        <w:t>eferred</w:t>
      </w:r>
      <w:proofErr w:type="gramEnd"/>
      <w:r w:rsidR="005F714A" w:rsidRPr="00734E3A">
        <w:rPr>
          <w:spacing w:val="-2"/>
        </w:rPr>
        <w:t xml:space="preserve"> </w:t>
      </w:r>
      <w:r w:rsidR="005F714A" w:rsidRPr="00734E3A">
        <w:t>fr</w:t>
      </w:r>
      <w:r w:rsidR="005F714A" w:rsidRPr="00734E3A">
        <w:rPr>
          <w:spacing w:val="-1"/>
        </w:rPr>
        <w:t>o</w:t>
      </w:r>
      <w:r w:rsidR="005F714A" w:rsidRPr="00734E3A">
        <w:t xml:space="preserve">m </w:t>
      </w:r>
      <w:r w:rsidR="005F714A" w:rsidRPr="00734E3A">
        <w:rPr>
          <w:spacing w:val="1"/>
        </w:rPr>
        <w:t>D</w:t>
      </w:r>
      <w:r w:rsidR="005F714A" w:rsidRPr="00734E3A">
        <w:rPr>
          <w:spacing w:val="-1"/>
        </w:rPr>
        <w:t>HS</w:t>
      </w:r>
      <w:r w:rsidR="005F714A" w:rsidRPr="00734E3A">
        <w:t>,</w:t>
      </w:r>
      <w:r w:rsidR="005F714A" w:rsidRPr="00734E3A">
        <w:rPr>
          <w:spacing w:val="1"/>
        </w:rPr>
        <w:t xml:space="preserve"> P</w:t>
      </w:r>
      <w:r w:rsidR="005F714A" w:rsidRPr="00734E3A">
        <w:rPr>
          <w:spacing w:val="-3"/>
        </w:rPr>
        <w:t>r</w:t>
      </w:r>
      <w:r w:rsidR="005F714A" w:rsidRPr="00734E3A">
        <w:rPr>
          <w:spacing w:val="-1"/>
        </w:rPr>
        <w:t>o</w:t>
      </w:r>
      <w:r w:rsidR="005F714A" w:rsidRPr="00734E3A">
        <w:rPr>
          <w:spacing w:val="1"/>
        </w:rPr>
        <w:t>v</w:t>
      </w:r>
      <w:r w:rsidR="005F714A" w:rsidRPr="00734E3A">
        <w:t>i</w:t>
      </w:r>
      <w:r w:rsidR="005F714A" w:rsidRPr="00734E3A">
        <w:rPr>
          <w:spacing w:val="-1"/>
        </w:rPr>
        <w:t>d</w:t>
      </w:r>
      <w:r w:rsidR="005F714A" w:rsidRPr="00734E3A">
        <w:rPr>
          <w:spacing w:val="1"/>
        </w:rPr>
        <w:t>e</w:t>
      </w:r>
      <w:r w:rsidR="005F714A" w:rsidRPr="00734E3A">
        <w:t>rs</w:t>
      </w:r>
      <w:r w:rsidR="005F714A" w:rsidRPr="00734E3A">
        <w:rPr>
          <w:spacing w:val="-2"/>
        </w:rPr>
        <w:t xml:space="preserve"> </w:t>
      </w:r>
      <w:r w:rsidR="005F714A" w:rsidRPr="00734E3A">
        <w:rPr>
          <w:bCs/>
        </w:rPr>
        <w:t>m</w:t>
      </w:r>
      <w:r w:rsidR="005F714A" w:rsidRPr="00734E3A">
        <w:rPr>
          <w:bCs/>
          <w:spacing w:val="-1"/>
        </w:rPr>
        <w:t>u</w:t>
      </w:r>
      <w:r w:rsidR="005F714A" w:rsidRPr="00734E3A">
        <w:rPr>
          <w:bCs/>
          <w:spacing w:val="1"/>
        </w:rPr>
        <w:t>s</w:t>
      </w:r>
      <w:r w:rsidR="005F714A" w:rsidRPr="00734E3A">
        <w:rPr>
          <w:bCs/>
        </w:rPr>
        <w:t>t</w:t>
      </w:r>
      <w:r w:rsidR="005F714A" w:rsidRPr="00734E3A">
        <w:rPr>
          <w:bCs/>
          <w:spacing w:val="-4"/>
        </w:rPr>
        <w:t xml:space="preserve"> </w:t>
      </w:r>
      <w:r w:rsidR="005F714A" w:rsidRPr="00734E3A">
        <w:t>c</w:t>
      </w:r>
      <w:r w:rsidR="005F714A" w:rsidRPr="00734E3A">
        <w:rPr>
          <w:spacing w:val="1"/>
        </w:rPr>
        <w:t>o</w:t>
      </w:r>
      <w:r w:rsidR="005F714A" w:rsidRPr="00734E3A">
        <w:rPr>
          <w:spacing w:val="-1"/>
        </w:rPr>
        <w:t>n</w:t>
      </w:r>
      <w:r w:rsidR="005F714A" w:rsidRPr="00734E3A">
        <w:t>fi</w:t>
      </w:r>
      <w:r w:rsidR="005F714A" w:rsidRPr="00734E3A">
        <w:rPr>
          <w:spacing w:val="-3"/>
        </w:rPr>
        <w:t>r</w:t>
      </w:r>
      <w:r w:rsidR="005F714A" w:rsidRPr="00734E3A">
        <w:t>m</w:t>
      </w:r>
      <w:r w:rsidR="005F714A" w:rsidRPr="00734E3A">
        <w:rPr>
          <w:spacing w:val="2"/>
        </w:rPr>
        <w:t xml:space="preserve"> </w:t>
      </w:r>
      <w:r w:rsidR="005F714A" w:rsidRPr="00734E3A">
        <w:t>t</w:t>
      </w:r>
      <w:r w:rsidR="005F714A" w:rsidRPr="00734E3A">
        <w:rPr>
          <w:spacing w:val="-1"/>
        </w:rPr>
        <w:t>h</w:t>
      </w:r>
      <w:r w:rsidR="005F714A" w:rsidRPr="00734E3A">
        <w:t>e</w:t>
      </w:r>
      <w:r w:rsidR="005F714A" w:rsidRPr="00734E3A">
        <w:rPr>
          <w:spacing w:val="-1"/>
        </w:rPr>
        <w:t xml:space="preserve"> </w:t>
      </w:r>
      <w:r w:rsidR="005F714A" w:rsidRPr="00734E3A">
        <w:t>stat</w:t>
      </w:r>
      <w:r w:rsidR="005F714A" w:rsidRPr="00734E3A">
        <w:rPr>
          <w:spacing w:val="-1"/>
        </w:rPr>
        <w:t>u</w:t>
      </w:r>
      <w:r w:rsidR="005F714A" w:rsidRPr="00734E3A">
        <w:t>s</w:t>
      </w:r>
      <w:r w:rsidR="005F714A" w:rsidRPr="00734E3A">
        <w:rPr>
          <w:spacing w:val="-2"/>
        </w:rPr>
        <w:t xml:space="preserve"> </w:t>
      </w:r>
      <w:r w:rsidR="005F714A" w:rsidRPr="00734E3A">
        <w:rPr>
          <w:spacing w:val="1"/>
        </w:rPr>
        <w:t>o</w:t>
      </w:r>
      <w:r w:rsidR="005F714A" w:rsidRPr="00734E3A">
        <w:t>f</w:t>
      </w:r>
      <w:r w:rsidR="005F714A" w:rsidRPr="00734E3A">
        <w:rPr>
          <w:spacing w:val="-2"/>
        </w:rPr>
        <w:t xml:space="preserve"> </w:t>
      </w:r>
      <w:r w:rsidR="005F714A" w:rsidRPr="00734E3A">
        <w:t>t</w:t>
      </w:r>
      <w:r w:rsidR="005F714A" w:rsidRPr="00734E3A">
        <w:rPr>
          <w:spacing w:val="-1"/>
        </w:rPr>
        <w:t>h</w:t>
      </w:r>
      <w:r w:rsidR="005F714A" w:rsidRPr="00734E3A">
        <w:t>e</w:t>
      </w:r>
      <w:r w:rsidR="005F714A" w:rsidRPr="00734E3A">
        <w:rPr>
          <w:spacing w:val="1"/>
        </w:rPr>
        <w:t xml:space="preserve"> </w:t>
      </w:r>
      <w:r w:rsidR="00AF1FE1">
        <w:rPr>
          <w:spacing w:val="-2"/>
        </w:rPr>
        <w:t>participant</w:t>
      </w:r>
      <w:r w:rsidR="005F714A" w:rsidRPr="00734E3A">
        <w:t>’s</w:t>
      </w:r>
      <w:r w:rsidR="005F714A" w:rsidRPr="00734E3A">
        <w:rPr>
          <w:spacing w:val="1"/>
        </w:rPr>
        <w:t xml:space="preserve"> </w:t>
      </w:r>
      <w:r w:rsidR="005F714A" w:rsidRPr="00734E3A">
        <w:rPr>
          <w:spacing w:val="-3"/>
        </w:rPr>
        <w:t>r</w:t>
      </w:r>
      <w:r w:rsidR="005F714A" w:rsidRPr="00734E3A">
        <w:rPr>
          <w:spacing w:val="1"/>
        </w:rPr>
        <w:t>e</w:t>
      </w:r>
      <w:r w:rsidR="005F714A" w:rsidRPr="00734E3A">
        <w:rPr>
          <w:spacing w:val="-1"/>
        </w:rPr>
        <w:t>g</w:t>
      </w:r>
      <w:r w:rsidR="005F714A" w:rsidRPr="00734E3A">
        <w:t>istra</w:t>
      </w:r>
      <w:r w:rsidR="005F714A" w:rsidRPr="00734E3A">
        <w:rPr>
          <w:spacing w:val="1"/>
        </w:rPr>
        <w:t>t</w:t>
      </w:r>
      <w:r w:rsidR="005F714A" w:rsidRPr="00734E3A">
        <w:rPr>
          <w:spacing w:val="-3"/>
        </w:rPr>
        <w:t>i</w:t>
      </w:r>
      <w:r w:rsidR="005F714A" w:rsidRPr="00734E3A">
        <w:rPr>
          <w:spacing w:val="1"/>
        </w:rPr>
        <w:t>o</w:t>
      </w:r>
      <w:r w:rsidR="005F714A" w:rsidRPr="00734E3A">
        <w:t>n a</w:t>
      </w:r>
      <w:r w:rsidR="005F714A" w:rsidRPr="00734E3A">
        <w:rPr>
          <w:spacing w:val="-1"/>
        </w:rPr>
        <w:t>n</w:t>
      </w:r>
      <w:r w:rsidR="005F714A" w:rsidRPr="00734E3A">
        <w:t>d a</w:t>
      </w:r>
      <w:r w:rsidR="005F714A" w:rsidRPr="00734E3A">
        <w:rPr>
          <w:spacing w:val="-2"/>
        </w:rPr>
        <w:t>t</w:t>
      </w:r>
      <w:r w:rsidR="005F714A" w:rsidRPr="00734E3A">
        <w:t>tach t</w:t>
      </w:r>
      <w:r w:rsidR="005F714A" w:rsidRPr="00734E3A">
        <w:rPr>
          <w:spacing w:val="-1"/>
        </w:rPr>
        <w:t>h</w:t>
      </w:r>
      <w:r w:rsidR="005F714A" w:rsidRPr="00734E3A">
        <w:t>e</w:t>
      </w:r>
      <w:r w:rsidR="005F714A" w:rsidRPr="00734E3A">
        <w:rPr>
          <w:spacing w:val="-1"/>
        </w:rPr>
        <w:t xml:space="preserve"> Sp</w:t>
      </w:r>
      <w:r w:rsidR="005F714A" w:rsidRPr="00734E3A">
        <w:rPr>
          <w:spacing w:val="1"/>
        </w:rPr>
        <w:t>e</w:t>
      </w:r>
      <w:r w:rsidR="005F714A" w:rsidRPr="00734E3A">
        <w:t>cial</w:t>
      </w:r>
      <w:r w:rsidR="005F714A" w:rsidRPr="00734E3A">
        <w:rPr>
          <w:spacing w:val="-2"/>
        </w:rPr>
        <w:t xml:space="preserve"> </w:t>
      </w:r>
      <w:r w:rsidR="005F714A" w:rsidRPr="00734E3A">
        <w:rPr>
          <w:spacing w:val="1"/>
        </w:rPr>
        <w:t>P</w:t>
      </w:r>
      <w:r w:rsidR="005F714A" w:rsidRPr="00734E3A">
        <w:t>lac</w:t>
      </w:r>
      <w:r w:rsidR="005F714A" w:rsidRPr="00734E3A">
        <w:rPr>
          <w:spacing w:val="-2"/>
        </w:rPr>
        <w:t>e</w:t>
      </w:r>
      <w:r w:rsidR="005F714A" w:rsidRPr="00734E3A">
        <w:rPr>
          <w:spacing w:val="-1"/>
        </w:rPr>
        <w:t>m</w:t>
      </w:r>
      <w:r w:rsidR="005F714A" w:rsidRPr="00734E3A">
        <w:rPr>
          <w:spacing w:val="1"/>
        </w:rPr>
        <w:t>e</w:t>
      </w:r>
      <w:r w:rsidR="005F714A" w:rsidRPr="00734E3A">
        <w:rPr>
          <w:spacing w:val="-1"/>
        </w:rPr>
        <w:t>n</w:t>
      </w:r>
      <w:r w:rsidR="005F714A" w:rsidRPr="00734E3A">
        <w:t>t</w:t>
      </w:r>
      <w:r w:rsidR="005F714A" w:rsidRPr="00734E3A">
        <w:rPr>
          <w:spacing w:val="-1"/>
        </w:rPr>
        <w:t xml:space="preserve"> </w:t>
      </w:r>
      <w:r w:rsidR="005F714A" w:rsidRPr="00734E3A">
        <w:t>I</w:t>
      </w:r>
      <w:r w:rsidR="005F714A" w:rsidRPr="00734E3A">
        <w:rPr>
          <w:spacing w:val="-1"/>
        </w:rPr>
        <w:t>nd</w:t>
      </w:r>
      <w:r w:rsidR="005F714A" w:rsidRPr="00734E3A">
        <w:t>icat</w:t>
      </w:r>
      <w:r w:rsidR="005F714A" w:rsidRPr="00734E3A">
        <w:rPr>
          <w:spacing w:val="1"/>
        </w:rPr>
        <w:t>o</w:t>
      </w:r>
      <w:r w:rsidR="005F714A" w:rsidRPr="00734E3A">
        <w:t>r.</w:t>
      </w:r>
      <w:bookmarkStart w:id="20" w:name="_Toc478992181"/>
    </w:p>
    <w:p w14:paraId="1CB08B9B" w14:textId="77777777" w:rsidR="005F714A" w:rsidRDefault="005F714A" w:rsidP="005F714A">
      <w:pPr>
        <w:pStyle w:val="Heading1"/>
      </w:pPr>
      <w:bookmarkStart w:id="21" w:name="_Toc16167962"/>
      <w:r>
        <w:t xml:space="preserve">Servicing </w:t>
      </w:r>
      <w:r w:rsidR="00AF1FE1">
        <w:t>participant</w:t>
      </w:r>
      <w:r>
        <w:t>s</w:t>
      </w:r>
      <w:bookmarkEnd w:id="20"/>
      <w:bookmarkEnd w:id="21"/>
      <w:r>
        <w:t xml:space="preserve"> </w:t>
      </w:r>
    </w:p>
    <w:p w14:paraId="3BE87C38" w14:textId="213D06DE" w:rsidR="004D71A0" w:rsidRPr="005B005C" w:rsidRDefault="0001201F" w:rsidP="005B005C">
      <w:pPr>
        <w:pStyle w:val="guidelinetext"/>
      </w:pPr>
      <w:r>
        <w:t xml:space="preserve">ASC </w:t>
      </w:r>
      <w:r w:rsidR="004D71A0" w:rsidRPr="005B005C">
        <w:t xml:space="preserve">SAP </w:t>
      </w:r>
      <w:r w:rsidR="00AF1FE1" w:rsidRPr="005B005C">
        <w:t>participant</w:t>
      </w:r>
      <w:r w:rsidR="004D71A0" w:rsidRPr="005B005C">
        <w:t>s may be eligible for pre-retrenchment assis</w:t>
      </w:r>
      <w:r w:rsidR="00384D06" w:rsidRPr="005B005C">
        <w:t>tance. Employment Providers should</w:t>
      </w:r>
      <w:r w:rsidR="004D71A0" w:rsidRPr="005B005C">
        <w:t xml:space="preserve"> check if SAP </w:t>
      </w:r>
      <w:r w:rsidR="00AF1FE1" w:rsidRPr="005B005C">
        <w:t>participant</w:t>
      </w:r>
      <w:r w:rsidR="004D71A0" w:rsidRPr="005B005C">
        <w:t>s have accessed pre-retrenchment</w:t>
      </w:r>
      <w:r w:rsidR="001D232D" w:rsidRPr="005B005C">
        <w:t xml:space="preserve"> assistance</w:t>
      </w:r>
      <w:r w:rsidR="004D71A0" w:rsidRPr="005B005C">
        <w:t xml:space="preserve"> to avoid duplication and ensure complementary servicing.</w:t>
      </w:r>
    </w:p>
    <w:p w14:paraId="60F2520C" w14:textId="36B6CF1B" w:rsidR="005F714A" w:rsidRPr="005B005C" w:rsidRDefault="005F714A" w:rsidP="005B005C">
      <w:pPr>
        <w:pStyle w:val="guidelinetext"/>
      </w:pPr>
      <w:r w:rsidRPr="005B005C">
        <w:t xml:space="preserve">Employment Providers must continue to provide Services to the </w:t>
      </w:r>
      <w:r w:rsidR="00AF1FE1" w:rsidRPr="005B005C">
        <w:t>participant</w:t>
      </w:r>
      <w:r w:rsidRPr="005B005C">
        <w:t xml:space="preserve"> registered under a SAP until they Exit. Though these </w:t>
      </w:r>
      <w:r w:rsidR="00AF1FE1" w:rsidRPr="005B005C">
        <w:t>participant</w:t>
      </w:r>
      <w:r w:rsidRPr="005B005C">
        <w:t xml:space="preserve">s do not have Mutual Obligation Requirements, the Employment Provider is required to deliver Services </w:t>
      </w:r>
      <w:proofErr w:type="gramStart"/>
      <w:r w:rsidRPr="005B005C">
        <w:t xml:space="preserve">to the </w:t>
      </w:r>
      <w:r w:rsidR="00AF1FE1" w:rsidRPr="005B005C">
        <w:t>participant</w:t>
      </w:r>
      <w:r w:rsidRPr="005B005C">
        <w:t xml:space="preserve"> as a Fully Eligible Participant with voluntary requirements in accordance with the </w:t>
      </w:r>
      <w:r w:rsidR="00AF1FE1" w:rsidRPr="005B005C">
        <w:t>participant</w:t>
      </w:r>
      <w:r w:rsidRPr="005B005C">
        <w:t xml:space="preserve">’s Job Plan, Stream of Service, the Deed, the Employment Provider’s Service </w:t>
      </w:r>
      <w:r w:rsidR="0001201F">
        <w:t>Guarantee</w:t>
      </w:r>
      <w:r w:rsidRPr="005B005C">
        <w:t xml:space="preserve"> and the tender response</w:t>
      </w:r>
      <w:proofErr w:type="gramEnd"/>
      <w:r w:rsidRPr="005B005C">
        <w:t xml:space="preserve">. </w:t>
      </w:r>
    </w:p>
    <w:p w14:paraId="4B42912B" w14:textId="5294AB5A" w:rsidR="005F714A" w:rsidRPr="005B005C" w:rsidRDefault="005F714A" w:rsidP="005B005C">
      <w:pPr>
        <w:pStyle w:val="guidelinetext"/>
      </w:pPr>
      <w:r w:rsidRPr="005B005C">
        <w:t xml:space="preserve">The provider must ensure that the </w:t>
      </w:r>
      <w:r w:rsidR="00AF1FE1" w:rsidRPr="005B005C">
        <w:t>participant</w:t>
      </w:r>
      <w:r w:rsidRPr="005B005C">
        <w:t xml:space="preserve"> </w:t>
      </w:r>
      <w:proofErr w:type="gramStart"/>
      <w:r w:rsidRPr="005B005C">
        <w:t>is provided</w:t>
      </w:r>
      <w:proofErr w:type="gramEnd"/>
      <w:r w:rsidRPr="005B005C">
        <w:t xml:space="preserve"> appropriate assistance to undertake activities to help them find and keep employment depending on the </w:t>
      </w:r>
      <w:r w:rsidR="00AF1FE1" w:rsidRPr="005B005C">
        <w:t>participant</w:t>
      </w:r>
      <w:r w:rsidRPr="005B005C">
        <w:t xml:space="preserve">’s individual circumstances, skills and the labour market. This may include monitoring the SAP </w:t>
      </w:r>
      <w:r w:rsidR="00AF1FE1" w:rsidRPr="005B005C">
        <w:t>participant</w:t>
      </w:r>
      <w:r w:rsidRPr="005B005C">
        <w:t xml:space="preserve">’s job search, placing them in appropriate activities such as training and monitoring their participation, holding Appointments with them to monitor their progress, or assisting them to access interventions to address any non-vocational barriers. </w:t>
      </w:r>
    </w:p>
    <w:p w14:paraId="53C7ED4B" w14:textId="58E724CF" w:rsidR="005F714A" w:rsidRPr="005B005C" w:rsidRDefault="005F714A" w:rsidP="005B005C">
      <w:pPr>
        <w:pStyle w:val="guidelinetext"/>
      </w:pPr>
      <w:r w:rsidRPr="005B005C">
        <w:t xml:space="preserve">Although SAP </w:t>
      </w:r>
      <w:r w:rsidR="00AF1FE1" w:rsidRPr="005B005C">
        <w:t>participant</w:t>
      </w:r>
      <w:r w:rsidRPr="005B005C">
        <w:t xml:space="preserve">s </w:t>
      </w:r>
      <w:r w:rsidR="00B91E31">
        <w:t>may</w:t>
      </w:r>
      <w:r w:rsidR="00B91E31" w:rsidRPr="005B005C">
        <w:t xml:space="preserve"> </w:t>
      </w:r>
      <w:r w:rsidRPr="005B005C">
        <w:t xml:space="preserve">not have an Annual Activity Requirement, </w:t>
      </w:r>
      <w:r w:rsidR="00AF1FE1" w:rsidRPr="005B005C">
        <w:t>participant</w:t>
      </w:r>
      <w:r w:rsidRPr="005B005C">
        <w:t xml:space="preserve">s who are eligible for support under a SAP </w:t>
      </w:r>
      <w:proofErr w:type="gramStart"/>
      <w:r w:rsidRPr="005B005C">
        <w:t>may be placed</w:t>
      </w:r>
      <w:proofErr w:type="gramEnd"/>
      <w:r w:rsidRPr="005B005C">
        <w:t xml:space="preserve"> into Work for the Dole. This </w:t>
      </w:r>
      <w:proofErr w:type="gramStart"/>
      <w:r w:rsidRPr="005B005C">
        <w:t xml:space="preserve">must be specified in the </w:t>
      </w:r>
      <w:r w:rsidR="00AF1FE1" w:rsidRPr="005B005C">
        <w:t>participant</w:t>
      </w:r>
      <w:r w:rsidRPr="005B005C">
        <w:t>’s Job Plan and agreed to by the Employment Provider</w:t>
      </w:r>
      <w:proofErr w:type="gramEnd"/>
      <w:r w:rsidRPr="005B005C">
        <w:t xml:space="preserve">. </w:t>
      </w:r>
    </w:p>
    <w:p w14:paraId="37E74BCF" w14:textId="545A194C" w:rsidR="005F714A" w:rsidRDefault="005F714A" w:rsidP="005B005C">
      <w:pPr>
        <w:pStyle w:val="guidelinetext"/>
      </w:pPr>
      <w:r w:rsidRPr="005B005C">
        <w:t xml:space="preserve">Note: In placing </w:t>
      </w:r>
      <w:r w:rsidR="00AF1FE1" w:rsidRPr="005B005C">
        <w:t>participant</w:t>
      </w:r>
      <w:r w:rsidRPr="005B005C">
        <w:t xml:space="preserve">s into Activities, including Work for the Dole, the Employment Provider must give priority to Fully Eligible Participants (Mutual Obligation) over other </w:t>
      </w:r>
      <w:r w:rsidR="00AF1FE1" w:rsidRPr="005B005C">
        <w:t>participant</w:t>
      </w:r>
      <w:r w:rsidRPr="005B005C">
        <w:t>s</w:t>
      </w:r>
      <w:r w:rsidR="00822564">
        <w:t xml:space="preserve">. </w:t>
      </w:r>
    </w:p>
    <w:p w14:paraId="14553553" w14:textId="78857FDD" w:rsidR="002F118E" w:rsidRPr="00427DF1" w:rsidRDefault="002F118E" w:rsidP="00427DF1">
      <w:pPr>
        <w:pStyle w:val="Heading1"/>
      </w:pPr>
      <w:bookmarkStart w:id="22" w:name="_Toc16167963"/>
      <w:r w:rsidRPr="00427DF1">
        <w:t>Mutual Obligation Requirements for SAP participants</w:t>
      </w:r>
      <w:bookmarkEnd w:id="22"/>
    </w:p>
    <w:p w14:paraId="2C77EB10" w14:textId="73A9AE04" w:rsidR="002F118E" w:rsidRPr="00427DF1" w:rsidRDefault="002F118E" w:rsidP="00427DF1">
      <w:pPr>
        <w:pStyle w:val="guidelinetext"/>
        <w:rPr>
          <w:rFonts w:eastAsia="Calibri" w:cstheme="minorHAnsi"/>
        </w:rPr>
      </w:pPr>
      <w:r w:rsidRPr="00427DF1">
        <w:t xml:space="preserve">Depending on their </w:t>
      </w:r>
      <w:proofErr w:type="gramStart"/>
      <w:r w:rsidRPr="00427DF1">
        <w:t>circumstances</w:t>
      </w:r>
      <w:proofErr w:type="gramEnd"/>
      <w:r w:rsidRPr="00427DF1">
        <w:t xml:space="preserve"> a SAP participant may be subject to Mutual Obligation Requirements. </w:t>
      </w:r>
      <w:r w:rsidRPr="00F178AE">
        <w:t xml:space="preserve">Where a SAP participant has Mutual Obligation Requirements, they will be </w:t>
      </w:r>
      <w:r w:rsidRPr="000D3C16">
        <w:t>subject to the Targeted Compliance Framework. Providers must service participants in accordance with</w:t>
      </w:r>
      <w:r w:rsidRPr="000D3C16">
        <w:rPr>
          <w:sz w:val="32"/>
          <w:szCs w:val="32"/>
        </w:rPr>
        <w:t xml:space="preserve"> </w:t>
      </w:r>
      <w:r w:rsidRPr="000D3C16">
        <w:t>relevant Guidelines</w:t>
      </w:r>
      <w:r w:rsidRPr="000D3C16">
        <w:rPr>
          <w:rFonts w:ascii="Calibri" w:eastAsia="Calibri" w:hAnsi="Calibri" w:cs="Times New Roman"/>
        </w:rPr>
        <w:t xml:space="preserve"> </w:t>
      </w:r>
      <w:r w:rsidRPr="000D3C16">
        <w:rPr>
          <w:rFonts w:eastAsia="Calibri" w:cstheme="minorHAnsi"/>
        </w:rPr>
        <w:t xml:space="preserve">including the NEST </w:t>
      </w:r>
      <w:r w:rsidR="00F178AE" w:rsidRPr="00E066CF">
        <w:rPr>
          <w:rFonts w:eastAsia="Calibri" w:cstheme="minorHAnsi"/>
        </w:rPr>
        <w:t>Targeted Compliance Framework: Mutual Obligation Failures Guideline</w:t>
      </w:r>
      <w:r w:rsidRPr="000D3C16">
        <w:rPr>
          <w:rFonts w:eastAsia="Calibri" w:cstheme="minorHAnsi"/>
        </w:rPr>
        <w:t xml:space="preserve"> and the NEST </w:t>
      </w:r>
      <w:r w:rsidRPr="00E066CF">
        <w:rPr>
          <w:rFonts w:eastAsia="Calibri" w:cstheme="minorHAnsi"/>
        </w:rPr>
        <w:t>Job Plan and Mutual Obligation Requirements Guideline</w:t>
      </w:r>
      <w:r w:rsidRPr="000D3C16">
        <w:rPr>
          <w:rFonts w:eastAsia="Calibri" w:cstheme="minorHAnsi"/>
        </w:rPr>
        <w:t>.</w:t>
      </w:r>
    </w:p>
    <w:p w14:paraId="3F541DD0" w14:textId="77777777" w:rsidR="005F714A" w:rsidRDefault="005F714A" w:rsidP="005F714A">
      <w:pPr>
        <w:pStyle w:val="Heading1"/>
      </w:pPr>
      <w:bookmarkStart w:id="23" w:name="_Toc16167964"/>
      <w:r>
        <w:t>Payments</w:t>
      </w:r>
      <w:bookmarkEnd w:id="23"/>
    </w:p>
    <w:p w14:paraId="190897B2" w14:textId="77777777" w:rsidR="005F714A" w:rsidRDefault="00AF1FE1" w:rsidP="00C51D98">
      <w:pPr>
        <w:pStyle w:val="guidelinetext"/>
      </w:pPr>
      <w:r>
        <w:t>Participant</w:t>
      </w:r>
      <w:r w:rsidR="005F714A">
        <w:t>s who are eligible for support under a SAP will attract Payments and Employment Fund credits. This includes:</w:t>
      </w:r>
    </w:p>
    <w:p w14:paraId="79B0470D" w14:textId="3DF72CA2" w:rsidR="005F714A" w:rsidRPr="00832BA0" w:rsidRDefault="00822564" w:rsidP="005F714A">
      <w:pPr>
        <w:pStyle w:val="guidelinebullet"/>
      </w:pPr>
      <w:r>
        <w:t>Engagement and Progress Fees</w:t>
      </w:r>
      <w:r w:rsidR="005F714A" w:rsidRPr="00832BA0">
        <w:t xml:space="preserve"> </w:t>
      </w:r>
      <w:r>
        <w:t xml:space="preserve">for Enhanced Services per </w:t>
      </w:r>
      <w:r w:rsidR="005F714A" w:rsidRPr="00832BA0">
        <w:t>Period of Service</w:t>
      </w:r>
    </w:p>
    <w:p w14:paraId="7AA2B12F" w14:textId="77777777" w:rsidR="005F714A" w:rsidRPr="00832BA0" w:rsidRDefault="005F714A" w:rsidP="005F714A">
      <w:pPr>
        <w:pStyle w:val="guidelinebullet"/>
      </w:pPr>
      <w:r w:rsidRPr="00832BA0">
        <w:lastRenderedPageBreak/>
        <w:t>Outcome Payments payable where they commence in eligible Employment and meet the requirements for a 4 Week, 12 Week, or 26 Week Outcome and</w:t>
      </w:r>
    </w:p>
    <w:p w14:paraId="4E7454D4" w14:textId="1EE07A02" w:rsidR="005F714A" w:rsidRDefault="005F714A" w:rsidP="005F714A">
      <w:pPr>
        <w:pStyle w:val="guidelinebullet"/>
      </w:pPr>
      <w:proofErr w:type="gramStart"/>
      <w:r w:rsidRPr="00832BA0">
        <w:t>an</w:t>
      </w:r>
      <w:proofErr w:type="gramEnd"/>
      <w:r w:rsidRPr="00832BA0">
        <w:t xml:space="preserve"> Employment Fund credit (including an a</w:t>
      </w:r>
      <w:r>
        <w:t>dditional SAP credit—see below)</w:t>
      </w:r>
      <w:r w:rsidR="00B91E31">
        <w:t>.</w:t>
      </w:r>
    </w:p>
    <w:p w14:paraId="5FE7337D" w14:textId="77777777" w:rsidR="005F714A" w:rsidRDefault="005F714A" w:rsidP="005F714A">
      <w:pPr>
        <w:pStyle w:val="Heading1"/>
      </w:pPr>
      <w:bookmarkStart w:id="24" w:name="_Toc16167965"/>
      <w:r>
        <w:t>Managing structural adjustment credits</w:t>
      </w:r>
      <w:bookmarkEnd w:id="24"/>
    </w:p>
    <w:p w14:paraId="0993C2E1" w14:textId="3BC66FB9" w:rsidR="00822564" w:rsidRDefault="00C96560" w:rsidP="00822564">
      <w:pPr>
        <w:pStyle w:val="guidelinetext"/>
      </w:pPr>
      <w:r>
        <w:t>Providers receive credits into their Employment Fund notional bank balance</w:t>
      </w:r>
      <w:r w:rsidRPr="00E31F93">
        <w:t xml:space="preserve"> </w:t>
      </w:r>
      <w:r>
        <w:t>at the Provider Site level. The amount credited is in line with Table 1 and Table 2, Annexure E1 of the New Employment Services Trial Deed 2019</w:t>
      </w:r>
      <w:r>
        <w:softHyphen/>
        <w:t>-22.</w:t>
      </w:r>
    </w:p>
    <w:p w14:paraId="43AF2085" w14:textId="4B1D94E1" w:rsidR="00583282" w:rsidRPr="008B35D8" w:rsidRDefault="00583282" w:rsidP="005B005C">
      <w:pPr>
        <w:pStyle w:val="guidelinetext"/>
      </w:pPr>
      <w:r w:rsidRPr="008B35D8">
        <w:t xml:space="preserve">Under </w:t>
      </w:r>
      <w:r w:rsidR="00871257">
        <w:t xml:space="preserve">the </w:t>
      </w:r>
      <w:r>
        <w:t>ASC</w:t>
      </w:r>
      <w:r w:rsidR="00DE08E2" w:rsidRPr="00DE08E2">
        <w:t xml:space="preserve"> </w:t>
      </w:r>
      <w:r w:rsidR="00DE08E2">
        <w:t>Shipbuilding SAP</w:t>
      </w:r>
      <w:r w:rsidRPr="008B35D8">
        <w:t xml:space="preserve">, the Employment Fund </w:t>
      </w:r>
      <w:proofErr w:type="gramStart"/>
      <w:r w:rsidRPr="008B35D8">
        <w:t>will be credited</w:t>
      </w:r>
      <w:proofErr w:type="gramEnd"/>
      <w:r w:rsidRPr="008B35D8">
        <w:t xml:space="preserve"> with a total of </w:t>
      </w:r>
      <w:r w:rsidRPr="00A83393">
        <w:t>$</w:t>
      </w:r>
      <w:r w:rsidR="00C96560" w:rsidRPr="00A83393">
        <w:t>2</w:t>
      </w:r>
      <w:r w:rsidR="00C96560">
        <w:t>4</w:t>
      </w:r>
      <w:r w:rsidR="00C96560" w:rsidRPr="00A83393">
        <w:t>00</w:t>
      </w:r>
      <w:r w:rsidRPr="008B35D8">
        <w:t>. This comprises:</w:t>
      </w:r>
    </w:p>
    <w:p w14:paraId="307F6D8D" w14:textId="1F54EE2E" w:rsidR="00583282" w:rsidRPr="008B35D8" w:rsidRDefault="00871257" w:rsidP="005B005C">
      <w:pPr>
        <w:pStyle w:val="guidelinebullet"/>
      </w:pPr>
      <w:r>
        <w:t>An Enhanced Services</w:t>
      </w:r>
      <w:r w:rsidR="00583282" w:rsidRPr="008B35D8">
        <w:t xml:space="preserve"> credit will be made to the General Account upon the Stream Participant’s initial Commencement in </w:t>
      </w:r>
      <w:r w:rsidR="00DA475D">
        <w:t>Enhanced Services</w:t>
      </w:r>
      <w:r w:rsidR="00583282" w:rsidRPr="008B35D8">
        <w:t>: $</w:t>
      </w:r>
      <w:r w:rsidR="00C96560">
        <w:t>1,250</w:t>
      </w:r>
    </w:p>
    <w:p w14:paraId="239A8EE5" w14:textId="77777777" w:rsidR="00583282" w:rsidRPr="008B35D8" w:rsidRDefault="00583282" w:rsidP="005B005C">
      <w:pPr>
        <w:pStyle w:val="guidelinebullet"/>
      </w:pPr>
      <w:r w:rsidRPr="008B35D8">
        <w:t>Additional</w:t>
      </w:r>
      <w:r w:rsidR="000E3727">
        <w:t xml:space="preserve"> Structural Adjustment Program</w:t>
      </w:r>
      <w:r w:rsidRPr="008B35D8">
        <w:t xml:space="preserve"> (SAP) Employment Fund credits </w:t>
      </w:r>
      <w:proofErr w:type="gramStart"/>
      <w:r w:rsidRPr="008B35D8">
        <w:t>will also be made</w:t>
      </w:r>
      <w:proofErr w:type="gramEnd"/>
      <w:r w:rsidRPr="008B35D8">
        <w:t xml:space="preserve"> as a one-off credit to the General Account into a separate SAP fund: $1150.</w:t>
      </w:r>
    </w:p>
    <w:p w14:paraId="7B68A468" w14:textId="77777777" w:rsidR="00583282" w:rsidRPr="008B35D8" w:rsidRDefault="00583282" w:rsidP="005B005C">
      <w:pPr>
        <w:pStyle w:val="guidelinetext"/>
      </w:pPr>
      <w:r w:rsidRPr="008B35D8">
        <w:t>Notes:</w:t>
      </w:r>
    </w:p>
    <w:p w14:paraId="23BF9360" w14:textId="414A05FE" w:rsidR="00583282" w:rsidRDefault="00E20E72" w:rsidP="005E0B50">
      <w:pPr>
        <w:pStyle w:val="guidelinebullet"/>
      </w:pPr>
      <w:r>
        <w:t xml:space="preserve">Providers can only use SAP credits for participants assisted through a SAP or the Stronger Transitions package. </w:t>
      </w:r>
      <w:r w:rsidR="00583282" w:rsidRPr="008B35D8">
        <w:t>The Department’s IT Systems display</w:t>
      </w:r>
      <w:r>
        <w:t>s</w:t>
      </w:r>
      <w:r w:rsidR="00583282" w:rsidRPr="008B35D8">
        <w:t xml:space="preserve"> the SAP credit</w:t>
      </w:r>
      <w:r>
        <w:t xml:space="preserve"> balance</w:t>
      </w:r>
      <w:r w:rsidR="00583282" w:rsidRPr="008B35D8">
        <w:t xml:space="preserve"> separately</w:t>
      </w:r>
      <w:r>
        <w:t xml:space="preserve"> to the General Account credit balance. </w:t>
      </w:r>
      <w:r w:rsidR="00583282" w:rsidRPr="008B35D8">
        <w:t xml:space="preserve">Providers </w:t>
      </w:r>
      <w:proofErr w:type="gramStart"/>
      <w:r w:rsidR="00583282" w:rsidRPr="008B35D8">
        <w:t>are expected</w:t>
      </w:r>
      <w:proofErr w:type="gramEnd"/>
      <w:r w:rsidR="00583282" w:rsidRPr="008B35D8">
        <w:t xml:space="preserve"> to manage their SAP balance</w:t>
      </w:r>
      <w:r w:rsidR="00871257">
        <w:t>.</w:t>
      </w:r>
      <w:r w:rsidR="00583282">
        <w:t xml:space="preserve"> </w:t>
      </w:r>
    </w:p>
    <w:p w14:paraId="4ED46460" w14:textId="66E3928F" w:rsidR="0001201F" w:rsidRDefault="0001201F" w:rsidP="00B942CA">
      <w:pPr>
        <w:pStyle w:val="guidelinebullet"/>
      </w:pPr>
      <w:r>
        <w:t xml:space="preserve">Where a SAP participant transfers from jobactive and Commences into the NEST, SAP credits in respect of the participant, </w:t>
      </w:r>
      <w:proofErr w:type="gramStart"/>
      <w:r>
        <w:t>are allocated</w:t>
      </w:r>
      <w:proofErr w:type="gramEnd"/>
      <w:r>
        <w:t xml:space="preserve"> in line with New Employment Services Trial (NEST) - Structural Adjustment Programmes. </w:t>
      </w:r>
    </w:p>
    <w:p w14:paraId="15DB1DDD" w14:textId="77777777" w:rsidR="00C96560" w:rsidRDefault="00C96560" w:rsidP="00C96560">
      <w:pPr>
        <w:pStyle w:val="guidelinebullet"/>
        <w:numPr>
          <w:ilvl w:val="0"/>
          <w:numId w:val="0"/>
        </w:numPr>
        <w:ind w:left="1440"/>
      </w:pPr>
    </w:p>
    <w:p w14:paraId="49531BB5" w14:textId="457ADF73" w:rsidR="00C96560" w:rsidRDefault="00C96560" w:rsidP="00C96560">
      <w:pPr>
        <w:pStyle w:val="guidelinebullet"/>
        <w:numPr>
          <w:ilvl w:val="0"/>
          <w:numId w:val="0"/>
        </w:numPr>
        <w:ind w:left="1440"/>
      </w:pPr>
      <w:r>
        <w:t xml:space="preserve">For more information, please refer </w:t>
      </w:r>
      <w:proofErr w:type="gramStart"/>
      <w:r>
        <w:t>to</w:t>
      </w:r>
      <w:proofErr w:type="gramEnd"/>
      <w:r>
        <w:t>:</w:t>
      </w:r>
    </w:p>
    <w:p w14:paraId="0A3D165B" w14:textId="3F773403" w:rsidR="0001201F" w:rsidRDefault="00E20E72" w:rsidP="002F118E">
      <w:pPr>
        <w:pStyle w:val="guidelinebullet"/>
      </w:pPr>
      <w:r w:rsidRPr="00E066CF">
        <w:t>Using the Employment Fund General Account Guideline</w:t>
      </w:r>
      <w:r w:rsidR="002F732F">
        <w:t xml:space="preserve">, </w:t>
      </w:r>
    </w:p>
    <w:p w14:paraId="07859F26" w14:textId="5D09B37D" w:rsidR="005F714A" w:rsidRDefault="0001201F" w:rsidP="00583282">
      <w:pPr>
        <w:pStyle w:val="Heading1"/>
      </w:pPr>
      <w:r w:rsidDel="0001201F">
        <w:t xml:space="preserve"> </w:t>
      </w:r>
      <w:bookmarkStart w:id="25" w:name="_Toc16167966"/>
      <w:r w:rsidR="005F714A">
        <w:t>Transferring of SAP Employment Fund credits</w:t>
      </w:r>
      <w:bookmarkEnd w:id="25"/>
    </w:p>
    <w:p w14:paraId="2C371D0B" w14:textId="7585D135" w:rsidR="005F714A" w:rsidRDefault="00E20E72" w:rsidP="005B005C">
      <w:pPr>
        <w:pStyle w:val="guidelinetext"/>
      </w:pPr>
      <w:r>
        <w:t xml:space="preserve">SAP </w:t>
      </w:r>
      <w:r w:rsidR="0001201F">
        <w:t xml:space="preserve">Employment Fund </w:t>
      </w:r>
      <w:r>
        <w:t>c</w:t>
      </w:r>
      <w:r w:rsidR="005F714A" w:rsidRPr="00F84D08">
        <w:t xml:space="preserve">redits </w:t>
      </w:r>
      <w:proofErr w:type="gramStart"/>
      <w:r w:rsidR="005F714A" w:rsidRPr="00F84D08">
        <w:t>can be transferred</w:t>
      </w:r>
      <w:proofErr w:type="gramEnd"/>
      <w:r w:rsidR="005F714A" w:rsidRPr="00F84D08">
        <w:t xml:space="preserve"> between a </w:t>
      </w:r>
      <w:r w:rsidR="0001201F">
        <w:t xml:space="preserve">Trial </w:t>
      </w:r>
      <w:r w:rsidR="005F714A" w:rsidRPr="00F84D08">
        <w:t>Provider’s individual Sites</w:t>
      </w:r>
      <w:r w:rsidR="005F714A">
        <w:t>,</w:t>
      </w:r>
      <w:r w:rsidR="005F714A" w:rsidRPr="00F84D08">
        <w:t xml:space="preserve"> and when a </w:t>
      </w:r>
      <w:r w:rsidR="005F714A">
        <w:t xml:space="preserve">SAP </w:t>
      </w:r>
      <w:r w:rsidR="00AF1FE1">
        <w:t>participant</w:t>
      </w:r>
      <w:r w:rsidR="005F714A" w:rsidRPr="00740730">
        <w:t xml:space="preserve"> </w:t>
      </w:r>
      <w:r w:rsidR="005F714A" w:rsidRPr="00F84D08">
        <w:t xml:space="preserve">transfers to another </w:t>
      </w:r>
      <w:r w:rsidR="0001201F">
        <w:t xml:space="preserve">Trial </w:t>
      </w:r>
      <w:r w:rsidR="005F714A" w:rsidRPr="00F84D08">
        <w:t>Provider.</w:t>
      </w:r>
    </w:p>
    <w:p w14:paraId="5961F73A" w14:textId="77777777" w:rsidR="005F714A" w:rsidRDefault="005F714A" w:rsidP="005F714A">
      <w:pPr>
        <w:pStyle w:val="Heading2"/>
        <w:keepNext w:val="0"/>
        <w:keepLines w:val="0"/>
      </w:pPr>
      <w:bookmarkStart w:id="26" w:name="_Toc16167967"/>
      <w:r>
        <w:t>Transferring Credits between Sites</w:t>
      </w:r>
      <w:bookmarkEnd w:id="26"/>
    </w:p>
    <w:p w14:paraId="1E5649CF" w14:textId="3D190ED5" w:rsidR="005F714A" w:rsidRDefault="005F714A" w:rsidP="005B005C">
      <w:pPr>
        <w:pStyle w:val="guidelinetext"/>
      </w:pPr>
      <w:r w:rsidRPr="002124AE">
        <w:t xml:space="preserve">A </w:t>
      </w:r>
      <w:r w:rsidR="0001201F">
        <w:t xml:space="preserve">Trial </w:t>
      </w:r>
      <w:r w:rsidRPr="002124AE">
        <w:t>Provider can transfer</w:t>
      </w:r>
      <w:r w:rsidR="00E20E72">
        <w:t xml:space="preserve"> SAP</w:t>
      </w:r>
      <w:r w:rsidRPr="002124AE">
        <w:t xml:space="preserve"> credits between any of its Sites within or across any Employment Region unless:</w:t>
      </w:r>
    </w:p>
    <w:p w14:paraId="00BF3F1C" w14:textId="77777777" w:rsidR="00E20E72" w:rsidRDefault="00E20E72" w:rsidP="00E20E72">
      <w:pPr>
        <w:pStyle w:val="guidelinebullet"/>
      </w:pPr>
      <w:r>
        <w:t>the SAP credit transfer is from a NEST Site to a jobactive Site</w:t>
      </w:r>
    </w:p>
    <w:p w14:paraId="30313781" w14:textId="7AFE4960" w:rsidR="00E20E72" w:rsidRPr="002124AE" w:rsidRDefault="00E20E72" w:rsidP="002F118E">
      <w:pPr>
        <w:pStyle w:val="guidelinebullet"/>
      </w:pPr>
      <w:r>
        <w:t>the SAP credit transfer is from a jobactive site to a NEST Site</w:t>
      </w:r>
    </w:p>
    <w:p w14:paraId="6F5A4697" w14:textId="77777777" w:rsidR="005F714A" w:rsidRPr="005B005C" w:rsidRDefault="005F714A" w:rsidP="00B942CA">
      <w:pPr>
        <w:pStyle w:val="guidelinebullet"/>
        <w:spacing w:before="0"/>
      </w:pPr>
      <w:r w:rsidRPr="005B005C">
        <w:t>the Department has quarantined or reserved those credits for a particular purpose</w:t>
      </w:r>
    </w:p>
    <w:p w14:paraId="7552F820" w14:textId="77777777" w:rsidR="005F714A" w:rsidRPr="00B817C3" w:rsidRDefault="005F714A" w:rsidP="00B942CA">
      <w:pPr>
        <w:pStyle w:val="guidelinetext"/>
        <w:spacing w:before="0"/>
      </w:pPr>
      <w:proofErr w:type="gramStart"/>
      <w:r w:rsidRPr="00B817C3">
        <w:t>or</w:t>
      </w:r>
      <w:proofErr w:type="gramEnd"/>
    </w:p>
    <w:p w14:paraId="0B05EBC6" w14:textId="77777777" w:rsidR="00A83393" w:rsidRPr="005B005C" w:rsidRDefault="005F714A" w:rsidP="005B005C">
      <w:pPr>
        <w:pStyle w:val="guidelinebullet"/>
      </w:pPr>
      <w:proofErr w:type="gramStart"/>
      <w:r w:rsidRPr="005B005C">
        <w:t>the</w:t>
      </w:r>
      <w:proofErr w:type="gramEnd"/>
      <w:r w:rsidRPr="005B005C">
        <w:t xml:space="preserve"> Department has placed limits on or restricted a Provider’s ability to transfer credits between its Sites.</w:t>
      </w:r>
    </w:p>
    <w:p w14:paraId="7D32C00D" w14:textId="77777777" w:rsidR="005F714A" w:rsidRDefault="005F714A" w:rsidP="005F714A">
      <w:pPr>
        <w:pStyle w:val="Heading2"/>
        <w:keepNext w:val="0"/>
        <w:keepLines w:val="0"/>
      </w:pPr>
      <w:bookmarkStart w:id="27" w:name="_Toc16167968"/>
      <w:r>
        <w:t>Transferring Credits to another Provider</w:t>
      </w:r>
      <w:bookmarkEnd w:id="27"/>
    </w:p>
    <w:p w14:paraId="794AA1CB" w14:textId="71BB0289" w:rsidR="0001201F" w:rsidRDefault="005F714A" w:rsidP="005B005C">
      <w:pPr>
        <w:pStyle w:val="guidelinetext"/>
      </w:pPr>
      <w:r w:rsidRPr="005B005C">
        <w:t xml:space="preserve">When a SAP </w:t>
      </w:r>
      <w:r w:rsidR="00AF1FE1" w:rsidRPr="005B005C">
        <w:t>participant</w:t>
      </w:r>
      <w:r w:rsidRPr="005B005C">
        <w:t xml:space="preserve"> </w:t>
      </w:r>
      <w:proofErr w:type="gramStart"/>
      <w:r w:rsidRPr="005B005C">
        <w:t>is transferred</w:t>
      </w:r>
      <w:proofErr w:type="gramEnd"/>
      <w:r w:rsidRPr="005B005C">
        <w:t xml:space="preserve"> to a different </w:t>
      </w:r>
      <w:r w:rsidR="0001201F">
        <w:t xml:space="preserve">Trial </w:t>
      </w:r>
      <w:r w:rsidRPr="005B005C">
        <w:t xml:space="preserve">Provider the transfer of SAP credits will be negotiated between the relinquishing and receiving </w:t>
      </w:r>
      <w:r w:rsidR="0001201F">
        <w:t xml:space="preserve">Trial </w:t>
      </w:r>
      <w:r w:rsidRPr="005B005C">
        <w:t>Providers, consistent with arrangements for the general Employment Fund pool.</w:t>
      </w:r>
      <w:r w:rsidR="00E20E72">
        <w:t xml:space="preserve"> </w:t>
      </w:r>
    </w:p>
    <w:p w14:paraId="1EFEAA9C" w14:textId="0C94FE84" w:rsidR="005F714A" w:rsidRDefault="00E20E72" w:rsidP="005B005C">
      <w:pPr>
        <w:pStyle w:val="guidelinetext"/>
      </w:pPr>
      <w:r>
        <w:lastRenderedPageBreak/>
        <w:t xml:space="preserve">A </w:t>
      </w:r>
      <w:r w:rsidR="0001201F">
        <w:t>Trial P</w:t>
      </w:r>
      <w:r>
        <w:t xml:space="preserve">rovider cannot transfer SAP credits to another Provider if: </w:t>
      </w:r>
    </w:p>
    <w:p w14:paraId="3F4C9F79" w14:textId="77777777" w:rsidR="00E20E72" w:rsidRDefault="00E20E72" w:rsidP="00E20E72">
      <w:pPr>
        <w:pStyle w:val="guidelinebullet"/>
      </w:pPr>
      <w:r>
        <w:t>the SAP credit transfer is from a NEST Site to a jobactive Site</w:t>
      </w:r>
    </w:p>
    <w:p w14:paraId="798ECAA2" w14:textId="77777777" w:rsidR="00E20E72" w:rsidRDefault="00E20E72" w:rsidP="00E20E72">
      <w:pPr>
        <w:pStyle w:val="guidelinebullet"/>
      </w:pPr>
      <w:r>
        <w:t>the SAP credit transfer is from a jobactive Site to a NEST Site</w:t>
      </w:r>
    </w:p>
    <w:p w14:paraId="76009558" w14:textId="77777777" w:rsidR="00E20E72" w:rsidRDefault="00E20E72" w:rsidP="00E20E72">
      <w:pPr>
        <w:pStyle w:val="guidelinebullet"/>
      </w:pPr>
      <w:r>
        <w:t>the SAP credit transfer is from an Enhanced Services Site to a Digital Services Site</w:t>
      </w:r>
    </w:p>
    <w:p w14:paraId="0F6E51C6" w14:textId="77777777" w:rsidR="00E20E72" w:rsidRDefault="00E20E72" w:rsidP="00E20E72">
      <w:pPr>
        <w:pStyle w:val="guidelinetext"/>
      </w:pPr>
      <w:proofErr w:type="gramStart"/>
      <w:r>
        <w:t>or</w:t>
      </w:r>
      <w:proofErr w:type="gramEnd"/>
    </w:p>
    <w:p w14:paraId="1643D5B3" w14:textId="77777777" w:rsidR="00E20E72" w:rsidRDefault="00E20E72" w:rsidP="00E20E72">
      <w:pPr>
        <w:pStyle w:val="guidelinebullet"/>
      </w:pPr>
      <w:proofErr w:type="gramStart"/>
      <w:r>
        <w:t>the</w:t>
      </w:r>
      <w:proofErr w:type="gramEnd"/>
      <w:r>
        <w:t xml:space="preserve"> SAP credit transfer is from a Digital Services Site to an Enhanced Services Site.</w:t>
      </w:r>
    </w:p>
    <w:p w14:paraId="1734C040" w14:textId="77777777" w:rsidR="005F714A" w:rsidRDefault="005F714A" w:rsidP="005F714A">
      <w:pPr>
        <w:pStyle w:val="Heading2"/>
        <w:keepNext w:val="0"/>
        <w:keepLines w:val="0"/>
      </w:pPr>
      <w:bookmarkStart w:id="28" w:name="_Toc16167969"/>
      <w:r>
        <w:t>Transferring Credits due to Site Closure or Reduction of Business Share</w:t>
      </w:r>
      <w:bookmarkEnd w:id="28"/>
    </w:p>
    <w:p w14:paraId="5DC00362" w14:textId="77777777" w:rsidR="005F714A" w:rsidRPr="00F47427" w:rsidRDefault="005F714A" w:rsidP="005B005C">
      <w:pPr>
        <w:pStyle w:val="guidelinetext"/>
      </w:pPr>
      <w:r>
        <w:t>T</w:t>
      </w:r>
      <w:r w:rsidRPr="00F47427">
        <w:t xml:space="preserve">he Department may restrict </w:t>
      </w:r>
      <w:r>
        <w:t>a</w:t>
      </w:r>
      <w:r w:rsidRPr="00F47427">
        <w:t xml:space="preserve"> Provider from transferring </w:t>
      </w:r>
      <w:r>
        <w:t xml:space="preserve">SAP </w:t>
      </w:r>
      <w:r w:rsidRPr="00F47427">
        <w:t xml:space="preserve">credits between its Sites </w:t>
      </w:r>
      <w:r>
        <w:t>w</w:t>
      </w:r>
      <w:r w:rsidRPr="00F47427">
        <w:t xml:space="preserve">hen a Site </w:t>
      </w:r>
      <w:proofErr w:type="gramStart"/>
      <w:r w:rsidRPr="00F47427">
        <w:t>is being closed</w:t>
      </w:r>
      <w:proofErr w:type="gramEnd"/>
      <w:r w:rsidRPr="00F47427">
        <w:t xml:space="preserve"> or the Business Share of that Site is being reduced and </w:t>
      </w:r>
      <w:r>
        <w:t xml:space="preserve">SAP participants </w:t>
      </w:r>
      <w:r w:rsidRPr="00F47427">
        <w:t xml:space="preserve">are being </w:t>
      </w:r>
      <w:r>
        <w:t>transferred to another Provider</w:t>
      </w:r>
      <w:r w:rsidRPr="00F47427">
        <w:t>.</w:t>
      </w:r>
    </w:p>
    <w:p w14:paraId="2A4EAE49" w14:textId="77777777" w:rsidR="005F714A" w:rsidRPr="00A37677" w:rsidRDefault="005F714A" w:rsidP="005B005C">
      <w:pPr>
        <w:pStyle w:val="guidelinetext"/>
      </w:pPr>
      <w:r w:rsidRPr="00F47427">
        <w:t xml:space="preserve">The </w:t>
      </w:r>
      <w:r w:rsidRPr="00A37677">
        <w:t xml:space="preserve">Department will determine the total amount of </w:t>
      </w:r>
      <w:r>
        <w:t xml:space="preserve">SAP </w:t>
      </w:r>
      <w:r w:rsidRPr="00A37677">
        <w:t xml:space="preserve">credits to </w:t>
      </w:r>
      <w:proofErr w:type="gramStart"/>
      <w:r w:rsidRPr="00A37677">
        <w:t>be transferred</w:t>
      </w:r>
      <w:proofErr w:type="gramEnd"/>
      <w:r w:rsidRPr="00A37677">
        <w:t xml:space="preserve"> from the reduced or closed Site to the gaining Provider’s Site.</w:t>
      </w:r>
    </w:p>
    <w:p w14:paraId="2780F0DA" w14:textId="47BB0BAF" w:rsidR="005F714A" w:rsidRPr="00F47427" w:rsidRDefault="005F714A" w:rsidP="005B005C">
      <w:pPr>
        <w:pStyle w:val="guidelinetext"/>
      </w:pPr>
      <w:r w:rsidRPr="00A37677">
        <w:t xml:space="preserve">For more information on transfers, refer to the </w:t>
      </w:r>
      <w:r w:rsidRPr="002F118E">
        <w:t>Transfers</w:t>
      </w:r>
      <w:r w:rsidR="00727025" w:rsidRPr="002F118E">
        <w:t xml:space="preserve"> (New Employment Services Trial</w:t>
      </w:r>
      <w:r w:rsidR="00727025">
        <w:t xml:space="preserve"> </w:t>
      </w:r>
      <w:r w:rsidR="00727025" w:rsidRPr="002F118E">
        <w:t>(NEST)</w:t>
      </w:r>
    </w:p>
    <w:p w14:paraId="18A495DE" w14:textId="77777777" w:rsidR="005F714A" w:rsidRPr="00714053" w:rsidRDefault="005F714A" w:rsidP="005F714A">
      <w:pPr>
        <w:pStyle w:val="Heading1"/>
      </w:pPr>
      <w:bookmarkStart w:id="29" w:name="_Toc16167970"/>
      <w:r>
        <w:t>Further information</w:t>
      </w:r>
      <w:bookmarkEnd w:id="29"/>
    </w:p>
    <w:p w14:paraId="7D1621BD" w14:textId="4682D60D" w:rsidR="00C51D98" w:rsidRPr="00C51D98" w:rsidRDefault="005F714A" w:rsidP="00C51D98">
      <w:pPr>
        <w:pStyle w:val="guidelinetext"/>
        <w:rPr>
          <w:rStyle w:val="Hyperlink"/>
          <w:color w:val="auto"/>
          <w:u w:val="none"/>
        </w:rPr>
      </w:pPr>
      <w:r w:rsidRPr="005B005C">
        <w:t xml:space="preserve">Providers who have any questions about the program should contact their local Contract Manager or email </w:t>
      </w:r>
      <w:r w:rsidR="00727025" w:rsidRPr="00E066CF">
        <w:t>industryadjustment@employment.gov.au</w:t>
      </w:r>
      <w:r w:rsidR="00C51D98" w:rsidRPr="00C51D98">
        <w:rPr>
          <w:rStyle w:val="Hyperlink"/>
          <w:color w:val="auto"/>
          <w:u w:val="none"/>
        </w:rPr>
        <w:t>.</w:t>
      </w:r>
    </w:p>
    <w:p w14:paraId="5519436C" w14:textId="77777777" w:rsidR="005F714A" w:rsidRDefault="005F714A" w:rsidP="005F714A">
      <w:pPr>
        <w:pStyle w:val="Heading1"/>
        <w:numPr>
          <w:ilvl w:val="0"/>
          <w:numId w:val="0"/>
        </w:numPr>
      </w:pPr>
      <w:bookmarkStart w:id="30" w:name="_Toc16167971"/>
      <w:r>
        <w:t>Summary of required Documentary Evidence</w:t>
      </w:r>
      <w:bookmarkEnd w:id="30"/>
    </w:p>
    <w:p w14:paraId="453C7880" w14:textId="637580A9" w:rsidR="00A83393" w:rsidRDefault="005F714A" w:rsidP="009449A2">
      <w:pPr>
        <w:pStyle w:val="guidelinetext"/>
      </w:pPr>
      <w:r w:rsidRPr="008B35D8">
        <w:t>Evidence of re</w:t>
      </w:r>
      <w:r w:rsidR="00FD3467">
        <w:t>trenchment</w:t>
      </w:r>
      <w:r w:rsidRPr="008B35D8">
        <w:t xml:space="preserve"> can include a retrenchment letter, certificate of separation or other documentation endorsed by their employer.</w:t>
      </w:r>
      <w:r w:rsidR="00C83AAB">
        <w:t xml:space="preserve"> </w:t>
      </w:r>
      <w:r w:rsidR="00AF1FE1">
        <w:t>Participant</w:t>
      </w:r>
      <w:r w:rsidRPr="008B35D8">
        <w:t>s do not need to have left work before receiving assistance, but they need to have evidence of re</w:t>
      </w:r>
      <w:r w:rsidR="00FD3467">
        <w:t>trenchment</w:t>
      </w:r>
      <w:r w:rsidRPr="008B35D8">
        <w:t xml:space="preserve"> from an eligible company that includes their exit date.</w:t>
      </w:r>
    </w:p>
    <w:p w14:paraId="3BE7A06A" w14:textId="77777777" w:rsidR="005F714A" w:rsidRPr="008B35D8" w:rsidRDefault="005F714A" w:rsidP="005B005C">
      <w:pPr>
        <w:pStyle w:val="guidelinetext"/>
      </w:pPr>
      <w:r w:rsidRPr="008B35D8">
        <w:t xml:space="preserve">A partner and a retrenched worker will be considered to be in a relationship if they are legally married; in a registered relationship (whether of the same sex or a different sex); or in a de facto relationship (whether of the same sex or a different sex). Evidence of partnership and/or cohabitation can include at least one of the following: </w:t>
      </w:r>
    </w:p>
    <w:p w14:paraId="4001DB26" w14:textId="77777777" w:rsidR="005F714A" w:rsidRPr="008B35D8" w:rsidRDefault="009449A2" w:rsidP="009449A2">
      <w:pPr>
        <w:pStyle w:val="docev"/>
      </w:pPr>
      <w:r w:rsidRPr="009449A2">
        <w:rPr>
          <w:b/>
        </w:rPr>
        <w:t xml:space="preserve">Documentary evidence: </w:t>
      </w:r>
      <w:r w:rsidR="005F714A" w:rsidRPr="008B35D8">
        <w:t xml:space="preserve">current evidence of living together (example: lease agreements, joint local authority registration under the same address, mortgage documents, council rate notices, utility bills) </w:t>
      </w:r>
    </w:p>
    <w:p w14:paraId="22411613" w14:textId="77777777" w:rsidR="005F714A" w:rsidRPr="008B35D8" w:rsidRDefault="009449A2" w:rsidP="009449A2">
      <w:pPr>
        <w:pStyle w:val="docev"/>
      </w:pPr>
      <w:r w:rsidRPr="00E8532A">
        <w:rPr>
          <w:b/>
        </w:rPr>
        <w:t>Documentary evidence</w:t>
      </w:r>
      <w:r>
        <w:rPr>
          <w:b/>
        </w:rPr>
        <w:t xml:space="preserve">: </w:t>
      </w:r>
      <w:r w:rsidR="005F714A" w:rsidRPr="008B35D8">
        <w:t xml:space="preserve">marriage certificate or evidence that the relationship has been declared to any relevant government bodies (example: Centrelink or the Australian Taxation Office) </w:t>
      </w:r>
    </w:p>
    <w:p w14:paraId="1EF20E19" w14:textId="4C5A11FA" w:rsidR="009449A2" w:rsidRPr="002F732F" w:rsidRDefault="009449A2" w:rsidP="00B942CA">
      <w:pPr>
        <w:pStyle w:val="docev"/>
        <w:rPr>
          <w:sz w:val="20"/>
        </w:rPr>
      </w:pPr>
      <w:r w:rsidRPr="002F732F">
        <w:rPr>
          <w:b/>
        </w:rPr>
        <w:t xml:space="preserve">Documentary evidence: </w:t>
      </w:r>
      <w:r w:rsidR="005F714A" w:rsidRPr="008B35D8">
        <w:t>evidence of joint financial obligations (example: insurance policies, joint ba</w:t>
      </w:r>
      <w:r>
        <w:t>nk account statements).</w:t>
      </w:r>
      <w:r>
        <w:br w:type="page"/>
      </w:r>
    </w:p>
    <w:p w14:paraId="47138C74" w14:textId="77777777" w:rsidR="003F4BF8" w:rsidRDefault="003F4BF8" w:rsidP="003F4BF8">
      <w:pPr>
        <w:pStyle w:val="guidelinechanges"/>
      </w:pPr>
    </w:p>
    <w:p w14:paraId="540020E5" w14:textId="77777777" w:rsidR="003F4BF8" w:rsidRDefault="003F4BF8" w:rsidP="003F4BF8">
      <w:pPr>
        <w:sectPr w:rsidR="003F4BF8" w:rsidSect="00984892">
          <w:type w:val="continuous"/>
          <w:pgSz w:w="11906" w:h="16838"/>
          <w:pgMar w:top="120" w:right="1440" w:bottom="1440" w:left="1440" w:header="142" w:footer="708" w:gutter="0"/>
          <w:cols w:space="708"/>
          <w:titlePg/>
          <w:docGrid w:linePitch="360"/>
        </w:sectPr>
      </w:pPr>
    </w:p>
    <w:p w14:paraId="42B3857A" w14:textId="77777777" w:rsidR="002E01F5" w:rsidRDefault="002E01F5" w:rsidP="002E01F5">
      <w:pPr>
        <w:pBdr>
          <w:top w:val="single" w:sz="4" w:space="1" w:color="auto"/>
        </w:pBdr>
        <w:ind w:right="-23"/>
        <w:rPr>
          <w:sz w:val="20"/>
        </w:rPr>
      </w:pPr>
      <w:r w:rsidRPr="008A194F">
        <w:rPr>
          <w:sz w:val="20"/>
        </w:rPr>
        <w:t>All capitalised terms</w:t>
      </w:r>
      <w:r>
        <w:rPr>
          <w:sz w:val="20"/>
        </w:rPr>
        <w:t xml:space="preserve"> in this guideline</w:t>
      </w:r>
      <w:r w:rsidRPr="008A194F">
        <w:rPr>
          <w:sz w:val="20"/>
        </w:rPr>
        <w:t xml:space="preserve"> have the same meaning as in the </w:t>
      </w:r>
      <w:r>
        <w:rPr>
          <w:sz w:val="20"/>
        </w:rPr>
        <w:t>New Employment Services Trial Deed 2019 - 2022</w:t>
      </w:r>
      <w:r w:rsidRPr="008A194F">
        <w:rPr>
          <w:sz w:val="20"/>
        </w:rPr>
        <w:t xml:space="preserve"> (the Deed). </w:t>
      </w:r>
    </w:p>
    <w:p w14:paraId="7C146359" w14:textId="72B14C6E" w:rsidR="002E01F5" w:rsidRPr="008A194F" w:rsidRDefault="002E01F5" w:rsidP="002E01F5">
      <w:pPr>
        <w:pBdr>
          <w:top w:val="single" w:sz="4" w:space="1" w:color="auto"/>
        </w:pBdr>
        <w:ind w:right="-23"/>
        <w:rPr>
          <w:sz w:val="20"/>
        </w:rPr>
      </w:pPr>
      <w:r w:rsidRPr="009D46C5">
        <w:rPr>
          <w:sz w:val="20"/>
        </w:rPr>
        <w:t xml:space="preserve">In this guideline, references to </w:t>
      </w:r>
      <w:r>
        <w:rPr>
          <w:sz w:val="20"/>
        </w:rPr>
        <w:t>Provider</w:t>
      </w:r>
      <w:r w:rsidRPr="009D46C5">
        <w:rPr>
          <w:sz w:val="20"/>
        </w:rPr>
        <w:t xml:space="preserve"> mean</w:t>
      </w:r>
      <w:r w:rsidR="00DD40DA">
        <w:rPr>
          <w:sz w:val="20"/>
        </w:rPr>
        <w:t>s</w:t>
      </w:r>
      <w:r w:rsidRPr="009D46C5">
        <w:rPr>
          <w:sz w:val="20"/>
        </w:rPr>
        <w:t xml:space="preserve"> a </w:t>
      </w:r>
      <w:r w:rsidRPr="00D4116B">
        <w:rPr>
          <w:sz w:val="20"/>
        </w:rPr>
        <w:t xml:space="preserve">New Employment Services Trial </w:t>
      </w:r>
      <w:r>
        <w:rPr>
          <w:sz w:val="20"/>
        </w:rPr>
        <w:t>Provider</w:t>
      </w:r>
      <w:r w:rsidRPr="009D46C5">
        <w:rPr>
          <w:sz w:val="20"/>
        </w:rPr>
        <w:t xml:space="preserve">, and references to </w:t>
      </w:r>
      <w:r>
        <w:rPr>
          <w:sz w:val="20"/>
        </w:rPr>
        <w:t>Participan</w:t>
      </w:r>
      <w:r w:rsidRPr="009D46C5">
        <w:rPr>
          <w:sz w:val="20"/>
        </w:rPr>
        <w:t>ts mean</w:t>
      </w:r>
      <w:r w:rsidR="00DD40DA">
        <w:rPr>
          <w:sz w:val="20"/>
        </w:rPr>
        <w:t>s</w:t>
      </w:r>
      <w:r w:rsidRPr="009D46C5">
        <w:rPr>
          <w:sz w:val="20"/>
        </w:rPr>
        <w:t xml:space="preserve"> </w:t>
      </w:r>
      <w:r>
        <w:rPr>
          <w:sz w:val="20"/>
        </w:rPr>
        <w:t>Enhanced or Supported Services</w:t>
      </w:r>
      <w:r w:rsidRPr="009D46C5">
        <w:rPr>
          <w:sz w:val="20"/>
        </w:rPr>
        <w:t xml:space="preserve"> </w:t>
      </w:r>
      <w:r>
        <w:rPr>
          <w:sz w:val="20"/>
        </w:rPr>
        <w:t>Participan</w:t>
      </w:r>
      <w:r w:rsidRPr="009D46C5">
        <w:rPr>
          <w:sz w:val="20"/>
        </w:rPr>
        <w:t xml:space="preserve">ts as defined in the Deed. </w:t>
      </w:r>
    </w:p>
    <w:p w14:paraId="699BE8EF" w14:textId="5C43FE03" w:rsidR="003F4BF8" w:rsidRPr="005922DC" w:rsidRDefault="002E01F5" w:rsidP="0053211F">
      <w:pPr>
        <w:rPr>
          <w:sz w:val="20"/>
        </w:rPr>
      </w:pPr>
      <w:r w:rsidRPr="008A194F">
        <w:rPr>
          <w:sz w:val="20"/>
        </w:rPr>
        <w:t xml:space="preserve">This Guideline is not a stand-alone document and does not contain the entirety of Employment Services Providers’ obligations. It </w:t>
      </w:r>
      <w:proofErr w:type="gramStart"/>
      <w:r w:rsidRPr="008A194F">
        <w:rPr>
          <w:sz w:val="20"/>
        </w:rPr>
        <w:t>must be read</w:t>
      </w:r>
      <w:proofErr w:type="gramEnd"/>
      <w:r w:rsidRPr="008A194F">
        <w:rPr>
          <w:sz w:val="20"/>
        </w:rPr>
        <w:t xml:space="preserve"> in conjunction with the Deed and any relevant Guidelines or reference material issued by Department of </w:t>
      </w:r>
      <w:r>
        <w:rPr>
          <w:sz w:val="20"/>
        </w:rPr>
        <w:t>Employment, Skills, Small and Family Business</w:t>
      </w:r>
      <w:r w:rsidRPr="008A194F">
        <w:rPr>
          <w:sz w:val="20"/>
        </w:rPr>
        <w:t xml:space="preserve"> under or in connection with the Deed.</w:t>
      </w:r>
    </w:p>
    <w:sectPr w:rsidR="003F4BF8" w:rsidRPr="005922DC" w:rsidSect="00D36EEA">
      <w:type w:val="continuous"/>
      <w:pgSz w:w="11906" w:h="16838"/>
      <w:pgMar w:top="120" w:right="1440" w:bottom="1440"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F64270" w14:textId="77777777" w:rsidR="00233AA7" w:rsidRDefault="00233AA7" w:rsidP="008A194F">
      <w:pPr>
        <w:spacing w:before="0"/>
      </w:pPr>
      <w:r>
        <w:separator/>
      </w:r>
    </w:p>
  </w:endnote>
  <w:endnote w:type="continuationSeparator" w:id="0">
    <w:p w14:paraId="1E3D5C95" w14:textId="77777777" w:rsidR="00233AA7" w:rsidRDefault="00233AA7" w:rsidP="008A194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4897A" w14:textId="5556802B" w:rsidR="008A194F" w:rsidRPr="001F19A3" w:rsidRDefault="005922DC" w:rsidP="00E112A1">
    <w:pPr>
      <w:pStyle w:val="Footer"/>
      <w:pBdr>
        <w:top w:val="single" w:sz="4" w:space="1" w:color="767171" w:themeColor="background2" w:themeShade="80"/>
      </w:pBdr>
      <w:rPr>
        <w:sz w:val="20"/>
        <w:szCs w:val="20"/>
      </w:rPr>
    </w:pPr>
    <w:r w:rsidRPr="001F19A3">
      <w:rPr>
        <w:sz w:val="20"/>
        <w:szCs w:val="20"/>
      </w:rPr>
      <w:t>Effective from:</w:t>
    </w:r>
    <w:r w:rsidR="00427DF1">
      <w:rPr>
        <w:sz w:val="20"/>
        <w:szCs w:val="20"/>
      </w:rPr>
      <w:t xml:space="preserve"> </w:t>
    </w:r>
    <w:r w:rsidR="00B47BB2" w:rsidRPr="00B47BB2">
      <w:rPr>
        <w:sz w:val="20"/>
        <w:szCs w:val="20"/>
      </w:rPr>
      <w:t>4 Nov</w:t>
    </w:r>
    <w:r w:rsidR="00427DF1" w:rsidRPr="00B47BB2">
      <w:rPr>
        <w:sz w:val="20"/>
        <w:szCs w:val="20"/>
      </w:rPr>
      <w:t xml:space="preserve"> 19</w:t>
    </w:r>
    <w:r w:rsidR="004B7969" w:rsidRPr="001F19A3">
      <w:rPr>
        <w:sz w:val="20"/>
        <w:szCs w:val="20"/>
      </w:rPr>
      <w:tab/>
    </w:r>
    <w:r w:rsidR="00427DF1" w:rsidRPr="000D3C16">
      <w:rPr>
        <w:sz w:val="20"/>
        <w:szCs w:val="20"/>
      </w:rPr>
      <w:t>TRIM ID:</w:t>
    </w:r>
    <w:r w:rsidR="000D3C16">
      <w:rPr>
        <w:sz w:val="20"/>
        <w:szCs w:val="20"/>
      </w:rPr>
      <w:t xml:space="preserve"> D19/1842869</w:t>
    </w:r>
    <w:r w:rsidR="004B7969" w:rsidRPr="001F19A3">
      <w:rPr>
        <w:sz w:val="20"/>
        <w:szCs w:val="20"/>
      </w:rPr>
      <w:tab/>
      <w:t xml:space="preserve">Page </w:t>
    </w:r>
    <w:r w:rsidR="004B7969" w:rsidRPr="001F19A3">
      <w:rPr>
        <w:sz w:val="20"/>
        <w:szCs w:val="20"/>
      </w:rPr>
      <w:fldChar w:fldCharType="begin"/>
    </w:r>
    <w:r w:rsidR="004B7969" w:rsidRPr="001F19A3">
      <w:rPr>
        <w:sz w:val="20"/>
        <w:szCs w:val="20"/>
      </w:rPr>
      <w:instrText xml:space="preserve"> PAGE   \* MERGEFORMAT </w:instrText>
    </w:r>
    <w:r w:rsidR="004B7969" w:rsidRPr="001F19A3">
      <w:rPr>
        <w:sz w:val="20"/>
        <w:szCs w:val="20"/>
      </w:rPr>
      <w:fldChar w:fldCharType="separate"/>
    </w:r>
    <w:r w:rsidR="00E066CF">
      <w:rPr>
        <w:noProof/>
        <w:sz w:val="20"/>
        <w:szCs w:val="20"/>
      </w:rPr>
      <w:t>2</w:t>
    </w:r>
    <w:r w:rsidR="004B7969" w:rsidRPr="001F19A3">
      <w:rPr>
        <w:sz w:val="20"/>
        <w:szCs w:val="20"/>
      </w:rPr>
      <w:fldChar w:fldCharType="end"/>
    </w:r>
    <w:r w:rsidR="004B7969" w:rsidRPr="001F19A3">
      <w:rPr>
        <w:sz w:val="20"/>
        <w:szCs w:val="20"/>
      </w:rPr>
      <w:t xml:space="preserve"> of </w:t>
    </w:r>
    <w:r w:rsidR="004B7969" w:rsidRPr="001F19A3">
      <w:rPr>
        <w:sz w:val="20"/>
        <w:szCs w:val="20"/>
      </w:rPr>
      <w:fldChar w:fldCharType="begin"/>
    </w:r>
    <w:r w:rsidR="004B7969" w:rsidRPr="001F19A3">
      <w:rPr>
        <w:sz w:val="20"/>
        <w:szCs w:val="20"/>
      </w:rPr>
      <w:instrText xml:space="preserve"> NUMPAGES   \* MERGEFORMAT </w:instrText>
    </w:r>
    <w:r w:rsidR="004B7969" w:rsidRPr="001F19A3">
      <w:rPr>
        <w:sz w:val="20"/>
        <w:szCs w:val="20"/>
      </w:rPr>
      <w:fldChar w:fldCharType="separate"/>
    </w:r>
    <w:r w:rsidR="00E066CF">
      <w:rPr>
        <w:noProof/>
        <w:sz w:val="20"/>
        <w:szCs w:val="20"/>
      </w:rPr>
      <w:t>8</w:t>
    </w:r>
    <w:r w:rsidR="004B7969" w:rsidRPr="001F19A3">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EC6B9" w14:textId="77777777" w:rsidR="009449A2" w:rsidRDefault="009449A2" w:rsidP="009449A2">
    <w:pPr>
      <w:pStyle w:val="Footer"/>
      <w:tabs>
        <w:tab w:val="clear" w:pos="4513"/>
        <w:tab w:val="clear" w:pos="9026"/>
        <w:tab w:val="left" w:pos="366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4AC861" w14:textId="77777777" w:rsidR="00233AA7" w:rsidRDefault="00233AA7" w:rsidP="008A194F">
      <w:pPr>
        <w:spacing w:before="0"/>
      </w:pPr>
      <w:r>
        <w:separator/>
      </w:r>
    </w:p>
  </w:footnote>
  <w:footnote w:type="continuationSeparator" w:id="0">
    <w:p w14:paraId="580A2B6A" w14:textId="77777777" w:rsidR="00233AA7" w:rsidRDefault="00233AA7" w:rsidP="008A194F">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377086" w14:textId="07CD9486" w:rsidR="004B7969" w:rsidRPr="00427DF1" w:rsidRDefault="00123AD1" w:rsidP="00123AD1">
    <w:pPr>
      <w:pStyle w:val="Header"/>
      <w:pBdr>
        <w:bottom w:val="single" w:sz="4" w:space="1" w:color="767171" w:themeColor="background2" w:themeShade="80"/>
      </w:pBdr>
      <w:tabs>
        <w:tab w:val="clear" w:pos="4513"/>
      </w:tabs>
      <w:ind w:left="-426"/>
      <w:rPr>
        <w:color w:val="808080" w:themeColor="background1" w:themeShade="80"/>
      </w:rPr>
    </w:pPr>
    <w:r w:rsidRPr="00123AD1">
      <w:rPr>
        <w:color w:val="000000" w:themeColor="text1"/>
      </w:rPr>
      <w:t xml:space="preserve">New Employment Services Trial </w:t>
    </w:r>
    <w:r w:rsidR="009449A2" w:rsidRPr="00123AD1">
      <w:rPr>
        <w:color w:val="000000" w:themeColor="text1"/>
      </w:rPr>
      <w:t>G</w:t>
    </w:r>
    <w:r w:rsidR="004B7969" w:rsidRPr="00123AD1">
      <w:rPr>
        <w:color w:val="000000" w:themeColor="text1"/>
      </w:rPr>
      <w:t>uideline</w:t>
    </w:r>
    <w:r w:rsidR="00427DF1">
      <w:tab/>
    </w:r>
    <w:r w:rsidR="009449A2" w:rsidRPr="00427DF1">
      <w:rPr>
        <w:b/>
        <w:color w:val="808080" w:themeColor="background1" w:themeShade="80"/>
      </w:rPr>
      <w:t>ASC Shipbuilding Structural Adjustment Programme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46A45"/>
    <w:multiLevelType w:val="hybridMultilevel"/>
    <w:tmpl w:val="3D9E57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904EC9"/>
    <w:multiLevelType w:val="hybridMultilevel"/>
    <w:tmpl w:val="A53A4DE8"/>
    <w:lvl w:ilvl="0" w:tplc="0C090001">
      <w:start w:val="1"/>
      <w:numFmt w:val="bullet"/>
      <w:lvlText w:val=""/>
      <w:lvlJc w:val="left"/>
      <w:pPr>
        <w:ind w:left="2160" w:hanging="360"/>
      </w:pPr>
      <w:rPr>
        <w:rFonts w:ascii="Symbol" w:hAnsi="Symbol" w:hint="default"/>
      </w:rPr>
    </w:lvl>
    <w:lvl w:ilvl="1" w:tplc="EBB8AED6">
      <w:numFmt w:val="bullet"/>
      <w:lvlText w:val="-"/>
      <w:lvlJc w:val="left"/>
      <w:pPr>
        <w:ind w:left="2880" w:hanging="360"/>
      </w:pPr>
      <w:rPr>
        <w:rFonts w:ascii="Garamond" w:eastAsiaTheme="minorHAnsi" w:hAnsi="Garamond" w:cs="Garamond"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 w15:restartNumberingAfterBreak="0">
    <w:nsid w:val="099420F3"/>
    <w:multiLevelType w:val="hybridMultilevel"/>
    <w:tmpl w:val="13F2671A"/>
    <w:lvl w:ilvl="0" w:tplc="B6BCD580">
      <w:numFmt w:val="bullet"/>
      <w:lvlText w:val="•"/>
      <w:lvlJc w:val="left"/>
      <w:pPr>
        <w:ind w:left="1080" w:hanging="72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440DE5"/>
    <w:multiLevelType w:val="hybridMultilevel"/>
    <w:tmpl w:val="573C05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F835EC"/>
    <w:multiLevelType w:val="hybridMultilevel"/>
    <w:tmpl w:val="78548D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D5228BB"/>
    <w:multiLevelType w:val="hybridMultilevel"/>
    <w:tmpl w:val="D50A5F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07724D"/>
    <w:multiLevelType w:val="multilevel"/>
    <w:tmpl w:val="4FF289A8"/>
    <w:lvl w:ilvl="0">
      <w:start w:val="1"/>
      <w:numFmt w:val="bullet"/>
      <w:pStyle w:val="ListBullet"/>
      <w:lvlText w:val=""/>
      <w:lvlJc w:val="left"/>
      <w:pPr>
        <w:tabs>
          <w:tab w:val="num" w:pos="720"/>
        </w:tabs>
        <w:ind w:left="720" w:hanging="360"/>
      </w:pPr>
      <w:rPr>
        <w:rFonts w:ascii="Symbol" w:hAnsi="Symbol" w:hint="default"/>
        <w:sz w:val="22"/>
      </w:rPr>
    </w:lvl>
    <w:lvl w:ilvl="1">
      <w:start w:val="1"/>
      <w:numFmt w:val="bullet"/>
      <w:pStyle w:val="ListBullet2"/>
      <w:lvlText w:val=""/>
      <w:lvlJc w:val="left"/>
      <w:pPr>
        <w:tabs>
          <w:tab w:val="num" w:pos="1440"/>
        </w:tabs>
        <w:ind w:left="1440" w:hanging="360"/>
      </w:pPr>
      <w:rPr>
        <w:rFonts w:ascii="Symbol" w:hAnsi="Symbol" w:hint="default"/>
      </w:rPr>
    </w:lvl>
    <w:lvl w:ilvl="2">
      <w:start w:val="1"/>
      <w:numFmt w:val="bullet"/>
      <w:pStyle w:val="ListBullet3"/>
      <w:lvlText w:val="o"/>
      <w:lvlJc w:val="left"/>
      <w:pPr>
        <w:tabs>
          <w:tab w:val="num" w:pos="2160"/>
        </w:tabs>
        <w:ind w:left="2160" w:hanging="360"/>
      </w:pPr>
      <w:rPr>
        <w:rFonts w:ascii="Courier New" w:hAnsi="Courier New" w:hint="default"/>
        <w:color w:val="auto"/>
      </w:rPr>
    </w:lvl>
    <w:lvl w:ilvl="3">
      <w:start w:val="1"/>
      <w:numFmt w:val="lowerLetter"/>
      <w:lvlText w:val="%4)"/>
      <w:lvlJc w:val="left"/>
      <w:pPr>
        <w:tabs>
          <w:tab w:val="num" w:pos="2880"/>
        </w:tabs>
        <w:ind w:left="2880" w:hanging="360"/>
      </w:pPr>
      <w:rPr>
        <w:rFonts w:hint="default"/>
        <w:color w:val="auto"/>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8B3749"/>
    <w:multiLevelType w:val="hybridMultilevel"/>
    <w:tmpl w:val="76A2C7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820482A"/>
    <w:multiLevelType w:val="hybridMultilevel"/>
    <w:tmpl w:val="63CE6928"/>
    <w:lvl w:ilvl="0" w:tplc="B6BCD580">
      <w:numFmt w:val="bullet"/>
      <w:lvlText w:val="•"/>
      <w:lvlJc w:val="left"/>
      <w:pPr>
        <w:ind w:left="1080" w:hanging="72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9A86B75"/>
    <w:multiLevelType w:val="hybridMultilevel"/>
    <w:tmpl w:val="5212FCF4"/>
    <w:lvl w:ilvl="0" w:tplc="B6BCD580">
      <w:numFmt w:val="bullet"/>
      <w:lvlText w:val="•"/>
      <w:lvlJc w:val="left"/>
      <w:pPr>
        <w:ind w:left="1080" w:hanging="72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9E64D8B"/>
    <w:multiLevelType w:val="hybridMultilevel"/>
    <w:tmpl w:val="4A16B2B0"/>
    <w:lvl w:ilvl="0" w:tplc="B6BCD580">
      <w:numFmt w:val="bullet"/>
      <w:lvlText w:val="•"/>
      <w:lvlJc w:val="left"/>
      <w:pPr>
        <w:ind w:left="1080" w:hanging="72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C1E6E11"/>
    <w:multiLevelType w:val="hybridMultilevel"/>
    <w:tmpl w:val="4B4892C6"/>
    <w:lvl w:ilvl="0" w:tplc="B6BCD580">
      <w:numFmt w:val="bullet"/>
      <w:lvlText w:val="•"/>
      <w:lvlJc w:val="left"/>
      <w:pPr>
        <w:ind w:left="1080" w:hanging="72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8CA0A8D"/>
    <w:multiLevelType w:val="hybridMultilevel"/>
    <w:tmpl w:val="D1CE8B5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3" w15:restartNumberingAfterBreak="0">
    <w:nsid w:val="2EEE1009"/>
    <w:multiLevelType w:val="hybridMultilevel"/>
    <w:tmpl w:val="CC429C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FED5127"/>
    <w:multiLevelType w:val="hybridMultilevel"/>
    <w:tmpl w:val="336E59C2"/>
    <w:lvl w:ilvl="0" w:tplc="0C09000F">
      <w:start w:val="1"/>
      <w:numFmt w:val="decimal"/>
      <w:lvlText w:val="%1."/>
      <w:lvlJc w:val="left"/>
      <w:pPr>
        <w:ind w:left="1800" w:hanging="360"/>
      </w:pPr>
      <w:rPr>
        <w:rFonts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5" w15:restartNumberingAfterBreak="0">
    <w:nsid w:val="31704A0E"/>
    <w:multiLevelType w:val="hybridMultilevel"/>
    <w:tmpl w:val="F22C3D9A"/>
    <w:lvl w:ilvl="0" w:tplc="CBC023C8">
      <w:start w:val="1"/>
      <w:numFmt w:val="bullet"/>
      <w:pStyle w:val="docev"/>
      <w:lvlText w:val=""/>
      <w:lvlJc w:val="left"/>
      <w:pPr>
        <w:ind w:left="720" w:hanging="360"/>
      </w:pPr>
      <w:rPr>
        <w:rFonts w:ascii="Wingdings" w:hAnsi="Wingdings" w:hint="default"/>
        <w:b w:val="0"/>
        <w:i w:val="0"/>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1B111CA"/>
    <w:multiLevelType w:val="hybridMultilevel"/>
    <w:tmpl w:val="2EE8C472"/>
    <w:lvl w:ilvl="0" w:tplc="E9AE60E4">
      <w:start w:val="1"/>
      <w:numFmt w:val="bullet"/>
      <w:pStyle w:val="WHS"/>
      <w:lvlText w:val=""/>
      <w:lvlJc w:val="left"/>
      <w:pPr>
        <w:ind w:left="360" w:hanging="360"/>
      </w:pPr>
      <w:rPr>
        <w:rFonts w:ascii="Webdings" w:hAnsi="Webdings" w:hint="default"/>
        <w:b/>
        <w:i w:val="0"/>
        <w:color w:val="FF0000"/>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B1C7082"/>
    <w:multiLevelType w:val="hybridMultilevel"/>
    <w:tmpl w:val="E1C4D8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CBE0F25"/>
    <w:multiLevelType w:val="hybridMultilevel"/>
    <w:tmpl w:val="669854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2870554"/>
    <w:multiLevelType w:val="hybridMultilevel"/>
    <w:tmpl w:val="54DAA4F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0" w15:restartNumberingAfterBreak="0">
    <w:nsid w:val="42F62422"/>
    <w:multiLevelType w:val="hybridMultilevel"/>
    <w:tmpl w:val="B1F6D9A4"/>
    <w:lvl w:ilvl="0" w:tplc="B6BCD580">
      <w:numFmt w:val="bullet"/>
      <w:lvlText w:val="•"/>
      <w:lvlJc w:val="left"/>
      <w:pPr>
        <w:ind w:left="1080" w:hanging="72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4106D3F"/>
    <w:multiLevelType w:val="hybridMultilevel"/>
    <w:tmpl w:val="CCC6566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4D6A1243"/>
    <w:multiLevelType w:val="hybridMultilevel"/>
    <w:tmpl w:val="9B00EE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E376089"/>
    <w:multiLevelType w:val="hybridMultilevel"/>
    <w:tmpl w:val="84482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E5B2BA1"/>
    <w:multiLevelType w:val="hybridMultilevel"/>
    <w:tmpl w:val="E2D0DAE0"/>
    <w:lvl w:ilvl="0" w:tplc="B6BCD580">
      <w:numFmt w:val="bullet"/>
      <w:lvlText w:val="•"/>
      <w:lvlJc w:val="left"/>
      <w:pPr>
        <w:ind w:left="1080" w:hanging="72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5DF1F44"/>
    <w:multiLevelType w:val="hybridMultilevel"/>
    <w:tmpl w:val="7DF6EBC4"/>
    <w:lvl w:ilvl="0" w:tplc="EFA64B3A">
      <w:start w:val="1"/>
      <w:numFmt w:val="bullet"/>
      <w:pStyle w:val="Systemstep"/>
      <w:lvlText w:val=""/>
      <w:lvlJc w:val="left"/>
      <w:pPr>
        <w:ind w:left="360" w:hanging="360"/>
      </w:pPr>
      <w:rPr>
        <w:rFonts w:ascii="Wingdings" w:hAnsi="Wingdings" w:hint="default"/>
        <w:b w:val="0"/>
        <w:i w:val="0"/>
        <w:sz w:val="28"/>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6" w15:restartNumberingAfterBreak="0">
    <w:nsid w:val="5E3A3090"/>
    <w:multiLevelType w:val="hybridMultilevel"/>
    <w:tmpl w:val="5286541A"/>
    <w:lvl w:ilvl="0" w:tplc="FF00279E">
      <w:start w:val="1"/>
      <w:numFmt w:val="decimal"/>
      <w:pStyle w:val="Heading1"/>
      <w:lvlText w:val="%1."/>
      <w:lvlJc w:val="left"/>
      <w:pPr>
        <w:ind w:left="1495"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62FE0328"/>
    <w:multiLevelType w:val="hybridMultilevel"/>
    <w:tmpl w:val="7D7EC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43802B4"/>
    <w:multiLevelType w:val="hybridMultilevel"/>
    <w:tmpl w:val="BBC61534"/>
    <w:lvl w:ilvl="0" w:tplc="B6BCD580">
      <w:numFmt w:val="bullet"/>
      <w:lvlText w:val="•"/>
      <w:lvlJc w:val="left"/>
      <w:pPr>
        <w:ind w:left="1080" w:hanging="72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B3B0208"/>
    <w:multiLevelType w:val="hybridMultilevel"/>
    <w:tmpl w:val="2DE078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C5704E7"/>
    <w:multiLevelType w:val="hybridMultilevel"/>
    <w:tmpl w:val="BE2E88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07A3DD2"/>
    <w:multiLevelType w:val="hybridMultilevel"/>
    <w:tmpl w:val="A6E87CB6"/>
    <w:lvl w:ilvl="0" w:tplc="B6BCD580">
      <w:numFmt w:val="bullet"/>
      <w:lvlText w:val="•"/>
      <w:lvlJc w:val="left"/>
      <w:pPr>
        <w:ind w:left="1080" w:hanging="72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633666B"/>
    <w:multiLevelType w:val="hybridMultilevel"/>
    <w:tmpl w:val="BEB82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8B62DCF"/>
    <w:multiLevelType w:val="hybridMultilevel"/>
    <w:tmpl w:val="44725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A4573A0"/>
    <w:multiLevelType w:val="hybridMultilevel"/>
    <w:tmpl w:val="3D58B0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C727836"/>
    <w:multiLevelType w:val="hybridMultilevel"/>
    <w:tmpl w:val="99FA8804"/>
    <w:lvl w:ilvl="0" w:tplc="29EEE73C">
      <w:start w:val="1"/>
      <w:numFmt w:val="bullet"/>
      <w:pStyle w:val="guidelinebullet"/>
      <w:lvlText w:val=""/>
      <w:lvlJc w:val="left"/>
      <w:pPr>
        <w:ind w:left="1800" w:hanging="360"/>
      </w:pPr>
      <w:rPr>
        <w:rFonts w:ascii="Symbol" w:hAnsi="Symbol" w:hint="default"/>
      </w:rPr>
    </w:lvl>
    <w:lvl w:ilvl="1" w:tplc="0C090005">
      <w:start w:val="1"/>
      <w:numFmt w:val="bullet"/>
      <w:lvlText w:val=""/>
      <w:lvlJc w:val="left"/>
      <w:pPr>
        <w:ind w:left="2520" w:hanging="360"/>
      </w:pPr>
      <w:rPr>
        <w:rFonts w:ascii="Wingdings" w:hAnsi="Wingdings"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6" w15:restartNumberingAfterBreak="0">
    <w:nsid w:val="7D8E00ED"/>
    <w:multiLevelType w:val="hybridMultilevel"/>
    <w:tmpl w:val="F97820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5"/>
  </w:num>
  <w:num w:numId="2">
    <w:abstractNumId w:val="29"/>
  </w:num>
  <w:num w:numId="3">
    <w:abstractNumId w:val="18"/>
  </w:num>
  <w:num w:numId="4">
    <w:abstractNumId w:val="23"/>
  </w:num>
  <w:num w:numId="5">
    <w:abstractNumId w:val="21"/>
  </w:num>
  <w:num w:numId="6">
    <w:abstractNumId w:val="3"/>
  </w:num>
  <w:num w:numId="7">
    <w:abstractNumId w:val="17"/>
  </w:num>
  <w:num w:numId="8">
    <w:abstractNumId w:val="0"/>
  </w:num>
  <w:num w:numId="9">
    <w:abstractNumId w:val="22"/>
  </w:num>
  <w:num w:numId="10">
    <w:abstractNumId w:val="33"/>
  </w:num>
  <w:num w:numId="11">
    <w:abstractNumId w:val="32"/>
  </w:num>
  <w:num w:numId="12">
    <w:abstractNumId w:val="11"/>
  </w:num>
  <w:num w:numId="13">
    <w:abstractNumId w:val="28"/>
  </w:num>
  <w:num w:numId="14">
    <w:abstractNumId w:val="2"/>
  </w:num>
  <w:num w:numId="15">
    <w:abstractNumId w:val="20"/>
  </w:num>
  <w:num w:numId="16">
    <w:abstractNumId w:val="24"/>
  </w:num>
  <w:num w:numId="17">
    <w:abstractNumId w:val="9"/>
  </w:num>
  <w:num w:numId="18">
    <w:abstractNumId w:val="31"/>
  </w:num>
  <w:num w:numId="19">
    <w:abstractNumId w:val="8"/>
  </w:num>
  <w:num w:numId="20">
    <w:abstractNumId w:val="10"/>
  </w:num>
  <w:num w:numId="21">
    <w:abstractNumId w:val="14"/>
  </w:num>
  <w:num w:numId="22">
    <w:abstractNumId w:val="26"/>
  </w:num>
  <w:num w:numId="23">
    <w:abstractNumId w:val="19"/>
  </w:num>
  <w:num w:numId="24">
    <w:abstractNumId w:val="12"/>
  </w:num>
  <w:num w:numId="25">
    <w:abstractNumId w:val="26"/>
    <w:lvlOverride w:ilvl="0">
      <w:startOverride w:val="1"/>
    </w:lvlOverride>
  </w:num>
  <w:num w:numId="26">
    <w:abstractNumId w:val="1"/>
  </w:num>
  <w:num w:numId="27">
    <w:abstractNumId w:val="25"/>
  </w:num>
  <w:num w:numId="28">
    <w:abstractNumId w:val="30"/>
  </w:num>
  <w:num w:numId="29">
    <w:abstractNumId w:val="15"/>
  </w:num>
  <w:num w:numId="30">
    <w:abstractNumId w:val="16"/>
  </w:num>
  <w:num w:numId="31">
    <w:abstractNumId w:val="26"/>
  </w:num>
  <w:num w:numId="32">
    <w:abstractNumId w:val="6"/>
  </w:num>
  <w:num w:numId="33">
    <w:abstractNumId w:val="27"/>
  </w:num>
  <w:num w:numId="34">
    <w:abstractNumId w:val="5"/>
  </w:num>
  <w:num w:numId="35">
    <w:abstractNumId w:val="13"/>
  </w:num>
  <w:num w:numId="36">
    <w:abstractNumId w:val="6"/>
  </w:num>
  <w:num w:numId="37">
    <w:abstractNumId w:val="6"/>
  </w:num>
  <w:num w:numId="38">
    <w:abstractNumId w:val="36"/>
  </w:num>
  <w:num w:numId="39">
    <w:abstractNumId w:val="34"/>
  </w:num>
  <w:num w:numId="40">
    <w:abstractNumId w:val="4"/>
  </w:num>
  <w:num w:numId="41">
    <w:abstractNumId w:val="7"/>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95B"/>
    <w:rsid w:val="00011157"/>
    <w:rsid w:val="0001201F"/>
    <w:rsid w:val="000365A0"/>
    <w:rsid w:val="00043E67"/>
    <w:rsid w:val="00046EF2"/>
    <w:rsid w:val="00072B6D"/>
    <w:rsid w:val="000A415B"/>
    <w:rsid w:val="000D3C16"/>
    <w:rsid w:val="000E3727"/>
    <w:rsid w:val="000F5823"/>
    <w:rsid w:val="00101FC4"/>
    <w:rsid w:val="00110014"/>
    <w:rsid w:val="00114C63"/>
    <w:rsid w:val="001151C0"/>
    <w:rsid w:val="00123AD1"/>
    <w:rsid w:val="00125E3D"/>
    <w:rsid w:val="00126361"/>
    <w:rsid w:val="00146FF3"/>
    <w:rsid w:val="0016228E"/>
    <w:rsid w:val="001637F4"/>
    <w:rsid w:val="00170B9A"/>
    <w:rsid w:val="0017288F"/>
    <w:rsid w:val="00173894"/>
    <w:rsid w:val="001846C2"/>
    <w:rsid w:val="0019586C"/>
    <w:rsid w:val="001D15D4"/>
    <w:rsid w:val="001D232D"/>
    <w:rsid w:val="001E42D0"/>
    <w:rsid w:val="001F19A3"/>
    <w:rsid w:val="00213D42"/>
    <w:rsid w:val="0021796A"/>
    <w:rsid w:val="00233239"/>
    <w:rsid w:val="00233AA7"/>
    <w:rsid w:val="002450E1"/>
    <w:rsid w:val="00264CD7"/>
    <w:rsid w:val="0026667F"/>
    <w:rsid w:val="0027592B"/>
    <w:rsid w:val="00285B11"/>
    <w:rsid w:val="002903AA"/>
    <w:rsid w:val="002B5948"/>
    <w:rsid w:val="002C042A"/>
    <w:rsid w:val="002D1607"/>
    <w:rsid w:val="002E01F5"/>
    <w:rsid w:val="002E6FDB"/>
    <w:rsid w:val="002F118E"/>
    <w:rsid w:val="002F732F"/>
    <w:rsid w:val="00300D2A"/>
    <w:rsid w:val="00303543"/>
    <w:rsid w:val="003065FC"/>
    <w:rsid w:val="00323D1E"/>
    <w:rsid w:val="003338FD"/>
    <w:rsid w:val="003344A0"/>
    <w:rsid w:val="00361292"/>
    <w:rsid w:val="00377AF4"/>
    <w:rsid w:val="00381C14"/>
    <w:rsid w:val="0038206E"/>
    <w:rsid w:val="003826F2"/>
    <w:rsid w:val="00384D06"/>
    <w:rsid w:val="003A0E59"/>
    <w:rsid w:val="003B0840"/>
    <w:rsid w:val="003C4C88"/>
    <w:rsid w:val="003E376D"/>
    <w:rsid w:val="003F3648"/>
    <w:rsid w:val="003F4BF8"/>
    <w:rsid w:val="00401056"/>
    <w:rsid w:val="00414EC1"/>
    <w:rsid w:val="00427DF1"/>
    <w:rsid w:val="00433192"/>
    <w:rsid w:val="00447D6A"/>
    <w:rsid w:val="004850AB"/>
    <w:rsid w:val="00493B19"/>
    <w:rsid w:val="004B68DD"/>
    <w:rsid w:val="004B7969"/>
    <w:rsid w:val="004C5158"/>
    <w:rsid w:val="004D534B"/>
    <w:rsid w:val="004D71A0"/>
    <w:rsid w:val="004F1037"/>
    <w:rsid w:val="004F35DD"/>
    <w:rsid w:val="004F3AE4"/>
    <w:rsid w:val="0053211F"/>
    <w:rsid w:val="005621AA"/>
    <w:rsid w:val="0057309F"/>
    <w:rsid w:val="00583282"/>
    <w:rsid w:val="0058684F"/>
    <w:rsid w:val="005922DC"/>
    <w:rsid w:val="005A3988"/>
    <w:rsid w:val="005A5605"/>
    <w:rsid w:val="005B005C"/>
    <w:rsid w:val="005B3D76"/>
    <w:rsid w:val="005B6810"/>
    <w:rsid w:val="005D6F7B"/>
    <w:rsid w:val="005D72CD"/>
    <w:rsid w:val="005E3856"/>
    <w:rsid w:val="005F5FD4"/>
    <w:rsid w:val="005F714A"/>
    <w:rsid w:val="00636801"/>
    <w:rsid w:val="0068370E"/>
    <w:rsid w:val="006A3A0A"/>
    <w:rsid w:val="006D5BD9"/>
    <w:rsid w:val="006E6AD6"/>
    <w:rsid w:val="006E7872"/>
    <w:rsid w:val="006F63C9"/>
    <w:rsid w:val="00702568"/>
    <w:rsid w:val="00707670"/>
    <w:rsid w:val="00714931"/>
    <w:rsid w:val="00727025"/>
    <w:rsid w:val="007270A0"/>
    <w:rsid w:val="007278B0"/>
    <w:rsid w:val="007334B5"/>
    <w:rsid w:val="00733501"/>
    <w:rsid w:val="007514DF"/>
    <w:rsid w:val="00752BB4"/>
    <w:rsid w:val="007753B1"/>
    <w:rsid w:val="00781B14"/>
    <w:rsid w:val="007843D0"/>
    <w:rsid w:val="007A1B89"/>
    <w:rsid w:val="007A5388"/>
    <w:rsid w:val="007B08DC"/>
    <w:rsid w:val="007C5162"/>
    <w:rsid w:val="007D323D"/>
    <w:rsid w:val="007E2927"/>
    <w:rsid w:val="007F045A"/>
    <w:rsid w:val="007F5670"/>
    <w:rsid w:val="00822564"/>
    <w:rsid w:val="00830572"/>
    <w:rsid w:val="008316A7"/>
    <w:rsid w:val="00837E53"/>
    <w:rsid w:val="0084322B"/>
    <w:rsid w:val="0084709A"/>
    <w:rsid w:val="008569A8"/>
    <w:rsid w:val="00857DB0"/>
    <w:rsid w:val="00871257"/>
    <w:rsid w:val="008723D9"/>
    <w:rsid w:val="0087795B"/>
    <w:rsid w:val="008909AE"/>
    <w:rsid w:val="00894CC5"/>
    <w:rsid w:val="008A194F"/>
    <w:rsid w:val="008A5AF4"/>
    <w:rsid w:val="008B21A1"/>
    <w:rsid w:val="0091596F"/>
    <w:rsid w:val="009230AD"/>
    <w:rsid w:val="009449A2"/>
    <w:rsid w:val="0095437E"/>
    <w:rsid w:val="00957E54"/>
    <w:rsid w:val="00973B8B"/>
    <w:rsid w:val="00981AD7"/>
    <w:rsid w:val="00984892"/>
    <w:rsid w:val="009B3153"/>
    <w:rsid w:val="009B57BA"/>
    <w:rsid w:val="009C02DE"/>
    <w:rsid w:val="009D37C2"/>
    <w:rsid w:val="009D3D61"/>
    <w:rsid w:val="009D6EB6"/>
    <w:rsid w:val="009E129B"/>
    <w:rsid w:val="009E4337"/>
    <w:rsid w:val="009F39A1"/>
    <w:rsid w:val="00A159C7"/>
    <w:rsid w:val="00A17967"/>
    <w:rsid w:val="00A33E67"/>
    <w:rsid w:val="00A51EE1"/>
    <w:rsid w:val="00A561B1"/>
    <w:rsid w:val="00A83393"/>
    <w:rsid w:val="00A95A40"/>
    <w:rsid w:val="00A97BC9"/>
    <w:rsid w:val="00AA2DD3"/>
    <w:rsid w:val="00AB28D3"/>
    <w:rsid w:val="00AF1FE1"/>
    <w:rsid w:val="00AF2D71"/>
    <w:rsid w:val="00AF3729"/>
    <w:rsid w:val="00AF57E5"/>
    <w:rsid w:val="00AF69B8"/>
    <w:rsid w:val="00B1402E"/>
    <w:rsid w:val="00B47BB2"/>
    <w:rsid w:val="00B55F92"/>
    <w:rsid w:val="00B61164"/>
    <w:rsid w:val="00B661F6"/>
    <w:rsid w:val="00B8506E"/>
    <w:rsid w:val="00B91E31"/>
    <w:rsid w:val="00B939B1"/>
    <w:rsid w:val="00B942CA"/>
    <w:rsid w:val="00BC07CD"/>
    <w:rsid w:val="00BD0AE3"/>
    <w:rsid w:val="00BD6385"/>
    <w:rsid w:val="00C0503A"/>
    <w:rsid w:val="00C24B4F"/>
    <w:rsid w:val="00C25B23"/>
    <w:rsid w:val="00C51D98"/>
    <w:rsid w:val="00C611D0"/>
    <w:rsid w:val="00C67EED"/>
    <w:rsid w:val="00C70FEA"/>
    <w:rsid w:val="00C760F0"/>
    <w:rsid w:val="00C83AAB"/>
    <w:rsid w:val="00C925FE"/>
    <w:rsid w:val="00C93623"/>
    <w:rsid w:val="00C96560"/>
    <w:rsid w:val="00CA1832"/>
    <w:rsid w:val="00CB06B4"/>
    <w:rsid w:val="00CB1E81"/>
    <w:rsid w:val="00CB3F5B"/>
    <w:rsid w:val="00CB716D"/>
    <w:rsid w:val="00CD1F5A"/>
    <w:rsid w:val="00CD466B"/>
    <w:rsid w:val="00CD5AEB"/>
    <w:rsid w:val="00D17855"/>
    <w:rsid w:val="00D32672"/>
    <w:rsid w:val="00D36EEA"/>
    <w:rsid w:val="00D37BCA"/>
    <w:rsid w:val="00D4618D"/>
    <w:rsid w:val="00D911DD"/>
    <w:rsid w:val="00D94392"/>
    <w:rsid w:val="00DA475D"/>
    <w:rsid w:val="00DB5CDC"/>
    <w:rsid w:val="00DD0BE2"/>
    <w:rsid w:val="00DD20C0"/>
    <w:rsid w:val="00DD40DA"/>
    <w:rsid w:val="00DE08E2"/>
    <w:rsid w:val="00DE35A4"/>
    <w:rsid w:val="00DF47FB"/>
    <w:rsid w:val="00DF70F2"/>
    <w:rsid w:val="00E02E3D"/>
    <w:rsid w:val="00E066CF"/>
    <w:rsid w:val="00E112A1"/>
    <w:rsid w:val="00E12AFD"/>
    <w:rsid w:val="00E20E72"/>
    <w:rsid w:val="00E31387"/>
    <w:rsid w:val="00E764F2"/>
    <w:rsid w:val="00E811CD"/>
    <w:rsid w:val="00E8532A"/>
    <w:rsid w:val="00E94C12"/>
    <w:rsid w:val="00EA1998"/>
    <w:rsid w:val="00EB3EE1"/>
    <w:rsid w:val="00EC451B"/>
    <w:rsid w:val="00EC571C"/>
    <w:rsid w:val="00ED23AF"/>
    <w:rsid w:val="00ED492E"/>
    <w:rsid w:val="00EE4455"/>
    <w:rsid w:val="00EE7969"/>
    <w:rsid w:val="00F00E3F"/>
    <w:rsid w:val="00F07F1D"/>
    <w:rsid w:val="00F07FCD"/>
    <w:rsid w:val="00F178AE"/>
    <w:rsid w:val="00F24D71"/>
    <w:rsid w:val="00F2573A"/>
    <w:rsid w:val="00F26C74"/>
    <w:rsid w:val="00F277AE"/>
    <w:rsid w:val="00F46AEF"/>
    <w:rsid w:val="00F5481C"/>
    <w:rsid w:val="00F65934"/>
    <w:rsid w:val="00F902B2"/>
    <w:rsid w:val="00F958A9"/>
    <w:rsid w:val="00FA4B4D"/>
    <w:rsid w:val="00FC0563"/>
    <w:rsid w:val="00FD3467"/>
    <w:rsid w:val="00FF1B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3474F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592B"/>
    <w:pPr>
      <w:keepNext/>
      <w:keepLines/>
      <w:numPr>
        <w:numId w:val="22"/>
      </w:numPr>
      <w:pBdr>
        <w:top w:val="single" w:sz="4" w:space="1" w:color="5B9BD5" w:themeColor="accent1"/>
      </w:pBdr>
      <w:spacing w:before="240"/>
      <w:ind w:left="36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376D"/>
    <w:pPr>
      <w:keepNext/>
      <w:keepLines/>
      <w:spacing w:before="2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376D"/>
    <w:pPr>
      <w:keepNext/>
      <w:keepLines/>
      <w:spacing w:before="240"/>
      <w:ind w:left="72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92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46F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FF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E376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E376D"/>
    <w:rPr>
      <w:rFonts w:asciiTheme="majorHAnsi" w:eastAsiaTheme="majorEastAsia" w:hAnsiTheme="majorHAnsi" w:cstheme="majorBidi"/>
      <w:color w:val="1F4D78" w:themeColor="accent1" w:themeShade="7F"/>
      <w:sz w:val="24"/>
      <w:szCs w:val="24"/>
    </w:rPr>
  </w:style>
  <w:style w:type="paragraph" w:styleId="ListParagraph">
    <w:name w:val="List Paragraph"/>
    <w:aliases w:val="Recommendation,Bullet Point,List Paragraph1,List Paragraph11,L,Bullet points,Content descriptions,Body Bullets 1,Bullet point,CV text,Table text,F5 List Paragraph,Dot pt,List Paragraph111,Medium Grid 1 - Accent 21,Numbered Paragraph,Main"/>
    <w:basedOn w:val="Normal"/>
    <w:link w:val="ListParagraphChar"/>
    <w:uiPriority w:val="34"/>
    <w:qFormat/>
    <w:rsid w:val="00146FF3"/>
    <w:pPr>
      <w:ind w:left="720"/>
      <w:contextualSpacing/>
    </w:pPr>
  </w:style>
  <w:style w:type="paragraph" w:styleId="TOCHeading">
    <w:name w:val="TOC Heading"/>
    <w:basedOn w:val="Normal"/>
    <w:next w:val="Normal"/>
    <w:uiPriority w:val="39"/>
    <w:unhideWhenUsed/>
    <w:qFormat/>
    <w:rsid w:val="002450E1"/>
    <w:rPr>
      <w:color w:val="5B9BD5" w:themeColor="accent1"/>
      <w:lang w:val="en-US"/>
    </w:rPr>
  </w:style>
  <w:style w:type="paragraph" w:styleId="TOC1">
    <w:name w:val="toc 1"/>
    <w:basedOn w:val="Normal"/>
    <w:next w:val="Normal"/>
    <w:autoRedefine/>
    <w:uiPriority w:val="39"/>
    <w:unhideWhenUsed/>
    <w:rsid w:val="0095437E"/>
    <w:rPr>
      <w:rFonts w:cstheme="minorHAnsi"/>
      <w:bCs/>
      <w:iCs/>
      <w:szCs w:val="24"/>
    </w:rPr>
  </w:style>
  <w:style w:type="paragraph" w:styleId="TOC3">
    <w:name w:val="toc 3"/>
    <w:basedOn w:val="Normal"/>
    <w:next w:val="Normal"/>
    <w:autoRedefine/>
    <w:uiPriority w:val="39"/>
    <w:unhideWhenUsed/>
    <w:rsid w:val="00733501"/>
    <w:pPr>
      <w:spacing w:before="0"/>
      <w:ind w:left="440"/>
    </w:pPr>
    <w:rPr>
      <w:rFonts w:cstheme="minorHAnsi"/>
      <w:sz w:val="20"/>
      <w:szCs w:val="20"/>
    </w:rPr>
  </w:style>
  <w:style w:type="paragraph" w:styleId="TOC2">
    <w:name w:val="toc 2"/>
    <w:basedOn w:val="Normal"/>
    <w:next w:val="Normal"/>
    <w:autoRedefine/>
    <w:uiPriority w:val="39"/>
    <w:unhideWhenUsed/>
    <w:rsid w:val="0095437E"/>
    <w:pPr>
      <w:ind w:left="220"/>
    </w:pPr>
    <w:rPr>
      <w:rFonts w:cstheme="minorHAnsi"/>
      <w:bCs/>
    </w:rPr>
  </w:style>
  <w:style w:type="character" w:styleId="Hyperlink">
    <w:name w:val="Hyperlink"/>
    <w:basedOn w:val="DefaultParagraphFont"/>
    <w:uiPriority w:val="99"/>
    <w:unhideWhenUsed/>
    <w:rsid w:val="007753B1"/>
    <w:rPr>
      <w:color w:val="0563C1" w:themeColor="hyperlink"/>
      <w:u w:val="single"/>
    </w:rPr>
  </w:style>
  <w:style w:type="paragraph" w:customStyle="1" w:styleId="guidelinetext">
    <w:name w:val="guideline text"/>
    <w:basedOn w:val="Normal"/>
    <w:link w:val="guidelinetextChar"/>
    <w:qFormat/>
    <w:rsid w:val="00A561B1"/>
    <w:pPr>
      <w:spacing w:line="264" w:lineRule="auto"/>
      <w:ind w:left="1440"/>
    </w:pPr>
  </w:style>
  <w:style w:type="paragraph" w:customStyle="1" w:styleId="guidelinebullet">
    <w:name w:val="guideline bullet"/>
    <w:basedOn w:val="ListParagraph"/>
    <w:link w:val="guidelinebulletChar"/>
    <w:qFormat/>
    <w:rsid w:val="00A561B1"/>
    <w:pPr>
      <w:numPr>
        <w:numId w:val="1"/>
      </w:numPr>
      <w:spacing w:before="60"/>
      <w:contextualSpacing w:val="0"/>
    </w:pPr>
  </w:style>
  <w:style w:type="character" w:customStyle="1" w:styleId="guidelinetextChar">
    <w:name w:val="guideline text Char"/>
    <w:basedOn w:val="DefaultParagraphFont"/>
    <w:link w:val="guidelinetext"/>
    <w:rsid w:val="00A561B1"/>
  </w:style>
  <w:style w:type="paragraph" w:customStyle="1" w:styleId="guidelinedeedref">
    <w:name w:val="guideline deed ref"/>
    <w:basedOn w:val="Normal"/>
    <w:link w:val="guidelinedeedrefChar"/>
    <w:qFormat/>
    <w:rsid w:val="005B3D76"/>
    <w:pPr>
      <w:ind w:left="1440"/>
    </w:pPr>
    <w:rPr>
      <w:rFonts w:ascii="Garamond" w:hAnsi="Garamond"/>
      <w:sz w:val="20"/>
    </w:rPr>
  </w:style>
  <w:style w:type="character" w:customStyle="1" w:styleId="ListParagraphChar">
    <w:name w:val="List Paragraph Char"/>
    <w:aliases w:val="Recommendation Char,Bullet Point Char,List Paragraph1 Char,List Paragraph11 Char,L Char,Bullet points Char,Content descriptions Char,Body Bullets 1 Char,Bullet point Char,CV text Char,Table text Char,F5 List Paragraph Char,Main Char"/>
    <w:basedOn w:val="DefaultParagraphFont"/>
    <w:link w:val="ListParagraph"/>
    <w:uiPriority w:val="34"/>
    <w:rsid w:val="005B3D76"/>
  </w:style>
  <w:style w:type="character" w:customStyle="1" w:styleId="guidelinebulletChar">
    <w:name w:val="guideline bullet Char"/>
    <w:basedOn w:val="ListParagraphChar"/>
    <w:link w:val="guidelinebullet"/>
    <w:rsid w:val="00A561B1"/>
  </w:style>
  <w:style w:type="character" w:customStyle="1" w:styleId="guidelinedeedrefChar">
    <w:name w:val="guideline deed ref Char"/>
    <w:basedOn w:val="DefaultParagraphFont"/>
    <w:link w:val="guidelinedeedref"/>
    <w:rsid w:val="005B3D76"/>
    <w:rPr>
      <w:rFonts w:ascii="Garamond" w:hAnsi="Garamond"/>
      <w:sz w:val="20"/>
    </w:rPr>
  </w:style>
  <w:style w:type="paragraph" w:styleId="Header">
    <w:name w:val="header"/>
    <w:basedOn w:val="Normal"/>
    <w:link w:val="HeaderChar"/>
    <w:uiPriority w:val="99"/>
    <w:unhideWhenUsed/>
    <w:rsid w:val="008A194F"/>
    <w:pPr>
      <w:tabs>
        <w:tab w:val="center" w:pos="4513"/>
        <w:tab w:val="right" w:pos="9026"/>
      </w:tabs>
    </w:pPr>
  </w:style>
  <w:style w:type="character" w:customStyle="1" w:styleId="HeaderChar">
    <w:name w:val="Header Char"/>
    <w:basedOn w:val="DefaultParagraphFont"/>
    <w:link w:val="Header"/>
    <w:uiPriority w:val="99"/>
    <w:rsid w:val="008A194F"/>
  </w:style>
  <w:style w:type="paragraph" w:styleId="Footer">
    <w:name w:val="footer"/>
    <w:basedOn w:val="Normal"/>
    <w:link w:val="FooterChar"/>
    <w:uiPriority w:val="99"/>
    <w:unhideWhenUsed/>
    <w:rsid w:val="008A194F"/>
    <w:pPr>
      <w:tabs>
        <w:tab w:val="center" w:pos="4513"/>
        <w:tab w:val="right" w:pos="9026"/>
      </w:tabs>
    </w:pPr>
  </w:style>
  <w:style w:type="character" w:customStyle="1" w:styleId="FooterChar">
    <w:name w:val="Footer Char"/>
    <w:basedOn w:val="DefaultParagraphFont"/>
    <w:link w:val="Footer"/>
    <w:uiPriority w:val="99"/>
    <w:rsid w:val="008A194F"/>
  </w:style>
  <w:style w:type="paragraph" w:customStyle="1" w:styleId="TableHeadingCentred">
    <w:name w:val="Table Heading Centred"/>
    <w:basedOn w:val="Normal"/>
    <w:rsid w:val="008A194F"/>
    <w:pPr>
      <w:spacing w:before="60" w:after="60"/>
      <w:jc w:val="center"/>
    </w:pPr>
    <w:rPr>
      <w:rFonts w:ascii="Calibri" w:eastAsia="Times New Roman" w:hAnsi="Calibri" w:cs="Arial"/>
      <w:b/>
      <w:bCs/>
      <w:color w:val="FFFFFF"/>
      <w:szCs w:val="24"/>
      <w:lang w:eastAsia="en-AU"/>
    </w:rPr>
  </w:style>
  <w:style w:type="paragraph" w:customStyle="1" w:styleId="guidelineintro">
    <w:name w:val="guideline intro"/>
    <w:basedOn w:val="Normal"/>
    <w:link w:val="guidelineintroChar"/>
    <w:rsid w:val="006A3A0A"/>
    <w:pPr>
      <w:ind w:left="1440"/>
    </w:pPr>
    <w:rPr>
      <w:sz w:val="28"/>
    </w:rPr>
  </w:style>
  <w:style w:type="paragraph" w:customStyle="1" w:styleId="guidelinechanges">
    <w:name w:val="guideline changes"/>
    <w:basedOn w:val="Normal"/>
    <w:link w:val="guidelinechangesChar"/>
    <w:qFormat/>
    <w:rsid w:val="00D911DD"/>
    <w:pPr>
      <w:spacing w:before="60"/>
    </w:pPr>
    <w:rPr>
      <w:sz w:val="20"/>
    </w:rPr>
  </w:style>
  <w:style w:type="character" w:customStyle="1" w:styleId="guidelineintroChar">
    <w:name w:val="guideline intro Char"/>
    <w:basedOn w:val="DefaultParagraphFont"/>
    <w:link w:val="guidelineintro"/>
    <w:rsid w:val="006A3A0A"/>
    <w:rPr>
      <w:sz w:val="28"/>
    </w:rPr>
  </w:style>
  <w:style w:type="paragraph" w:customStyle="1" w:styleId="guidelinedocinfo">
    <w:name w:val="guideline doc info"/>
    <w:basedOn w:val="Heading2"/>
    <w:link w:val="guidelinedocinfoChar"/>
    <w:qFormat/>
    <w:rsid w:val="00285B11"/>
    <w:pPr>
      <w:pBdr>
        <w:top w:val="single" w:sz="4" w:space="1" w:color="767171" w:themeColor="background2" w:themeShade="80"/>
      </w:pBdr>
    </w:pPr>
    <w:rPr>
      <w:rFonts w:asciiTheme="minorHAnsi" w:hAnsiTheme="minorHAnsi"/>
      <w:color w:val="767171" w:themeColor="background2" w:themeShade="80"/>
    </w:rPr>
  </w:style>
  <w:style w:type="character" w:customStyle="1" w:styleId="guidelinechangesChar">
    <w:name w:val="guideline changes Char"/>
    <w:basedOn w:val="DefaultParagraphFont"/>
    <w:link w:val="guidelinechanges"/>
    <w:rsid w:val="00D911DD"/>
    <w:rPr>
      <w:sz w:val="20"/>
    </w:rPr>
  </w:style>
  <w:style w:type="character" w:customStyle="1" w:styleId="guidelinedocinfoChar">
    <w:name w:val="guideline doc info Char"/>
    <w:basedOn w:val="DefaultParagraphFont"/>
    <w:link w:val="guidelinedocinfo"/>
    <w:rsid w:val="00285B11"/>
    <w:rPr>
      <w:rFonts w:eastAsiaTheme="majorEastAsia" w:cstheme="majorBidi"/>
      <w:color w:val="767171" w:themeColor="background2" w:themeShade="80"/>
      <w:sz w:val="26"/>
      <w:szCs w:val="26"/>
    </w:rPr>
  </w:style>
  <w:style w:type="paragraph" w:customStyle="1" w:styleId="Systemstep">
    <w:name w:val="System step"/>
    <w:basedOn w:val="guidelinetext"/>
    <w:link w:val="SystemstepChar"/>
    <w:qFormat/>
    <w:rsid w:val="00AF57E5"/>
    <w:pPr>
      <w:numPr>
        <w:numId w:val="27"/>
      </w:numPr>
      <w:ind w:left="357" w:hanging="357"/>
    </w:pPr>
  </w:style>
  <w:style w:type="table" w:styleId="TableGrid">
    <w:name w:val="Table Grid"/>
    <w:basedOn w:val="TableNormal"/>
    <w:uiPriority w:val="59"/>
    <w:rsid w:val="002D1607"/>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ystemstepChar">
    <w:name w:val="System step Char"/>
    <w:basedOn w:val="guidelinetextChar"/>
    <w:link w:val="Systemstep"/>
    <w:rsid w:val="00A159C7"/>
  </w:style>
  <w:style w:type="paragraph" w:customStyle="1" w:styleId="tabletext">
    <w:name w:val="table text"/>
    <w:basedOn w:val="guidelinetext"/>
    <w:link w:val="tabletextChar"/>
    <w:qFormat/>
    <w:rsid w:val="002D1607"/>
    <w:pPr>
      <w:spacing w:before="0"/>
      <w:ind w:left="0"/>
    </w:pPr>
    <w:rPr>
      <w:sz w:val="20"/>
      <w:szCs w:val="20"/>
    </w:rPr>
  </w:style>
  <w:style w:type="character" w:customStyle="1" w:styleId="tabletextChar">
    <w:name w:val="table text Char"/>
    <w:basedOn w:val="guidelinetextChar"/>
    <w:link w:val="tabletext"/>
    <w:rsid w:val="002D1607"/>
    <w:rPr>
      <w:sz w:val="20"/>
      <w:szCs w:val="20"/>
    </w:rPr>
  </w:style>
  <w:style w:type="character" w:styleId="CommentReference">
    <w:name w:val="annotation reference"/>
    <w:basedOn w:val="DefaultParagraphFont"/>
    <w:uiPriority w:val="99"/>
    <w:semiHidden/>
    <w:unhideWhenUsed/>
    <w:rsid w:val="002E6FDB"/>
    <w:rPr>
      <w:sz w:val="16"/>
      <w:szCs w:val="16"/>
    </w:rPr>
  </w:style>
  <w:style w:type="paragraph" w:styleId="CommentText">
    <w:name w:val="annotation text"/>
    <w:basedOn w:val="Normal"/>
    <w:link w:val="CommentTextChar"/>
    <w:uiPriority w:val="99"/>
    <w:unhideWhenUsed/>
    <w:rsid w:val="002E6FDB"/>
    <w:rPr>
      <w:sz w:val="20"/>
      <w:szCs w:val="20"/>
    </w:rPr>
  </w:style>
  <w:style w:type="character" w:customStyle="1" w:styleId="CommentTextChar">
    <w:name w:val="Comment Text Char"/>
    <w:basedOn w:val="DefaultParagraphFont"/>
    <w:link w:val="CommentText"/>
    <w:uiPriority w:val="99"/>
    <w:rsid w:val="002E6FDB"/>
    <w:rPr>
      <w:sz w:val="20"/>
      <w:szCs w:val="20"/>
    </w:rPr>
  </w:style>
  <w:style w:type="paragraph" w:styleId="CommentSubject">
    <w:name w:val="annotation subject"/>
    <w:basedOn w:val="CommentText"/>
    <w:next w:val="CommentText"/>
    <w:link w:val="CommentSubjectChar"/>
    <w:uiPriority w:val="99"/>
    <w:semiHidden/>
    <w:unhideWhenUsed/>
    <w:rsid w:val="002E6FDB"/>
    <w:rPr>
      <w:b/>
      <w:bCs/>
    </w:rPr>
  </w:style>
  <w:style w:type="character" w:customStyle="1" w:styleId="CommentSubjectChar">
    <w:name w:val="Comment Subject Char"/>
    <w:basedOn w:val="CommentTextChar"/>
    <w:link w:val="CommentSubject"/>
    <w:uiPriority w:val="99"/>
    <w:semiHidden/>
    <w:rsid w:val="002E6FDB"/>
    <w:rPr>
      <w:b/>
      <w:bCs/>
      <w:sz w:val="20"/>
      <w:szCs w:val="20"/>
    </w:rPr>
  </w:style>
  <w:style w:type="paragraph" w:styleId="BalloonText">
    <w:name w:val="Balloon Text"/>
    <w:basedOn w:val="Normal"/>
    <w:link w:val="BalloonTextChar"/>
    <w:uiPriority w:val="99"/>
    <w:semiHidden/>
    <w:unhideWhenUsed/>
    <w:rsid w:val="002E6FD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6FDB"/>
    <w:rPr>
      <w:rFonts w:ascii="Segoe UI" w:hAnsi="Segoe UI" w:cs="Segoe UI"/>
      <w:sz w:val="18"/>
      <w:szCs w:val="18"/>
    </w:rPr>
  </w:style>
  <w:style w:type="paragraph" w:customStyle="1" w:styleId="docev">
    <w:name w:val="doc ev"/>
    <w:basedOn w:val="guidelinetext"/>
    <w:link w:val="docevChar"/>
    <w:qFormat/>
    <w:rsid w:val="00CD466B"/>
    <w:pPr>
      <w:numPr>
        <w:numId w:val="29"/>
      </w:numPr>
      <w:ind w:left="1418" w:hanging="1418"/>
    </w:pPr>
  </w:style>
  <w:style w:type="paragraph" w:customStyle="1" w:styleId="WHS">
    <w:name w:val="WHS"/>
    <w:basedOn w:val="guidelinetext"/>
    <w:link w:val="WHSChar"/>
    <w:qFormat/>
    <w:rsid w:val="00AF57E5"/>
    <w:pPr>
      <w:numPr>
        <w:numId w:val="30"/>
      </w:numPr>
      <w:ind w:left="1418" w:hanging="1418"/>
    </w:pPr>
  </w:style>
  <w:style w:type="character" w:customStyle="1" w:styleId="docevChar">
    <w:name w:val="doc ev Char"/>
    <w:basedOn w:val="SystemstepChar"/>
    <w:link w:val="docev"/>
    <w:rsid w:val="00CD466B"/>
  </w:style>
  <w:style w:type="character" w:customStyle="1" w:styleId="WHSChar">
    <w:name w:val="WHS Char"/>
    <w:basedOn w:val="SystemstepChar"/>
    <w:link w:val="WHS"/>
    <w:rsid w:val="00A159C7"/>
  </w:style>
  <w:style w:type="paragraph" w:customStyle="1" w:styleId="Frontpagesub-heading">
    <w:name w:val="Front page sub-heading"/>
    <w:basedOn w:val="Heading3"/>
    <w:link w:val="Frontpagesub-headingChar"/>
    <w:qFormat/>
    <w:rsid w:val="00285B11"/>
    <w:pPr>
      <w:ind w:left="0"/>
    </w:pPr>
    <w:rPr>
      <w:rFonts w:asciiTheme="minorHAnsi" w:hAnsiTheme="minorHAnsi"/>
      <w:b/>
      <w:color w:val="auto"/>
      <w:sz w:val="20"/>
    </w:rPr>
  </w:style>
  <w:style w:type="character" w:customStyle="1" w:styleId="Frontpagesub-headingChar">
    <w:name w:val="Front page sub-heading Char"/>
    <w:basedOn w:val="Heading3Char"/>
    <w:link w:val="Frontpagesub-heading"/>
    <w:rsid w:val="00285B11"/>
    <w:rPr>
      <w:rFonts w:asciiTheme="majorHAnsi" w:eastAsiaTheme="majorEastAsia" w:hAnsiTheme="majorHAnsi" w:cstheme="majorBidi"/>
      <w:b/>
      <w:color w:val="1F4D78" w:themeColor="accent1" w:themeShade="7F"/>
      <w:sz w:val="20"/>
      <w:szCs w:val="24"/>
    </w:rPr>
  </w:style>
  <w:style w:type="paragraph" w:styleId="TOC4">
    <w:name w:val="toc 4"/>
    <w:basedOn w:val="Normal"/>
    <w:next w:val="Normal"/>
    <w:autoRedefine/>
    <w:uiPriority w:val="39"/>
    <w:unhideWhenUsed/>
    <w:rsid w:val="00CD5AEB"/>
    <w:pPr>
      <w:spacing w:before="0"/>
      <w:ind w:left="660"/>
    </w:pPr>
    <w:rPr>
      <w:rFonts w:cstheme="minorHAnsi"/>
      <w:sz w:val="20"/>
      <w:szCs w:val="20"/>
    </w:rPr>
  </w:style>
  <w:style w:type="paragraph" w:styleId="TOC5">
    <w:name w:val="toc 5"/>
    <w:basedOn w:val="Normal"/>
    <w:next w:val="Normal"/>
    <w:autoRedefine/>
    <w:uiPriority w:val="39"/>
    <w:unhideWhenUsed/>
    <w:rsid w:val="00CD5AEB"/>
    <w:pPr>
      <w:spacing w:before="0"/>
      <w:ind w:left="880"/>
    </w:pPr>
    <w:rPr>
      <w:rFonts w:cstheme="minorHAnsi"/>
      <w:sz w:val="20"/>
      <w:szCs w:val="20"/>
    </w:rPr>
  </w:style>
  <w:style w:type="paragraph" w:styleId="TOC6">
    <w:name w:val="toc 6"/>
    <w:basedOn w:val="Normal"/>
    <w:next w:val="Normal"/>
    <w:autoRedefine/>
    <w:uiPriority w:val="39"/>
    <w:unhideWhenUsed/>
    <w:rsid w:val="00CD5AEB"/>
    <w:pPr>
      <w:spacing w:before="0"/>
      <w:ind w:left="1100"/>
    </w:pPr>
    <w:rPr>
      <w:rFonts w:cstheme="minorHAnsi"/>
      <w:sz w:val="20"/>
      <w:szCs w:val="20"/>
    </w:rPr>
  </w:style>
  <w:style w:type="paragraph" w:styleId="TOC7">
    <w:name w:val="toc 7"/>
    <w:basedOn w:val="Normal"/>
    <w:next w:val="Normal"/>
    <w:autoRedefine/>
    <w:uiPriority w:val="39"/>
    <w:unhideWhenUsed/>
    <w:rsid w:val="00CD5AEB"/>
    <w:pPr>
      <w:spacing w:before="0"/>
      <w:ind w:left="1320"/>
    </w:pPr>
    <w:rPr>
      <w:rFonts w:cstheme="minorHAnsi"/>
      <w:sz w:val="20"/>
      <w:szCs w:val="20"/>
    </w:rPr>
  </w:style>
  <w:style w:type="paragraph" w:styleId="TOC8">
    <w:name w:val="toc 8"/>
    <w:basedOn w:val="Normal"/>
    <w:next w:val="Normal"/>
    <w:autoRedefine/>
    <w:uiPriority w:val="39"/>
    <w:unhideWhenUsed/>
    <w:rsid w:val="00CD5AEB"/>
    <w:pPr>
      <w:spacing w:before="0"/>
      <w:ind w:left="1540"/>
    </w:pPr>
    <w:rPr>
      <w:rFonts w:cstheme="minorHAnsi"/>
      <w:sz w:val="20"/>
      <w:szCs w:val="20"/>
    </w:rPr>
  </w:style>
  <w:style w:type="paragraph" w:styleId="TOC9">
    <w:name w:val="toc 9"/>
    <w:basedOn w:val="Normal"/>
    <w:next w:val="Normal"/>
    <w:autoRedefine/>
    <w:uiPriority w:val="39"/>
    <w:unhideWhenUsed/>
    <w:rsid w:val="00CD5AEB"/>
    <w:pPr>
      <w:spacing w:before="0"/>
      <w:ind w:left="1760"/>
    </w:pPr>
    <w:rPr>
      <w:rFonts w:cstheme="minorHAnsi"/>
      <w:sz w:val="20"/>
      <w:szCs w:val="20"/>
    </w:rPr>
  </w:style>
  <w:style w:type="paragraph" w:styleId="ListBullet">
    <w:name w:val="List Bullet"/>
    <w:basedOn w:val="Normal"/>
    <w:rsid w:val="009E129B"/>
    <w:pPr>
      <w:numPr>
        <w:numId w:val="32"/>
      </w:numPr>
      <w:spacing w:before="0"/>
      <w:contextualSpacing/>
    </w:pPr>
    <w:rPr>
      <w:rFonts w:ascii="Calibri" w:eastAsia="Times New Roman" w:hAnsi="Calibri" w:cs="Times New Roman"/>
      <w:szCs w:val="24"/>
      <w:lang w:eastAsia="en-AU"/>
    </w:rPr>
  </w:style>
  <w:style w:type="paragraph" w:styleId="ListBullet2">
    <w:name w:val="List Bullet 2"/>
    <w:basedOn w:val="Normal"/>
    <w:rsid w:val="009E129B"/>
    <w:pPr>
      <w:numPr>
        <w:ilvl w:val="1"/>
        <w:numId w:val="32"/>
      </w:numPr>
      <w:spacing w:before="0"/>
      <w:contextualSpacing/>
    </w:pPr>
    <w:rPr>
      <w:rFonts w:ascii="Calibri" w:eastAsia="Times New Roman" w:hAnsi="Calibri" w:cs="Times New Roman"/>
      <w:szCs w:val="24"/>
      <w:lang w:eastAsia="en-AU"/>
    </w:rPr>
  </w:style>
  <w:style w:type="paragraph" w:styleId="ListBullet3">
    <w:name w:val="List Bullet 3"/>
    <w:basedOn w:val="Normal"/>
    <w:rsid w:val="009E129B"/>
    <w:pPr>
      <w:numPr>
        <w:ilvl w:val="2"/>
        <w:numId w:val="32"/>
      </w:numPr>
      <w:spacing w:before="0"/>
      <w:contextualSpacing/>
    </w:pPr>
    <w:rPr>
      <w:rFonts w:ascii="Calibri" w:eastAsia="Times New Roman" w:hAnsi="Calibri" w:cs="Times New Roman"/>
      <w:szCs w:val="24"/>
      <w:lang w:eastAsia="en-AU"/>
    </w:rPr>
  </w:style>
  <w:style w:type="paragraph" w:customStyle="1" w:styleId="Default">
    <w:name w:val="Default"/>
    <w:rsid w:val="005F714A"/>
    <w:pPr>
      <w:autoSpaceDE w:val="0"/>
      <w:autoSpaceDN w:val="0"/>
      <w:adjustRightInd w:val="0"/>
      <w:spacing w:before="0"/>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5F714A"/>
    <w:rPr>
      <w:color w:val="954F72" w:themeColor="followedHyperlink"/>
      <w:u w:val="single"/>
    </w:rPr>
  </w:style>
  <w:style w:type="paragraph" w:styleId="Revision">
    <w:name w:val="Revision"/>
    <w:hidden/>
    <w:uiPriority w:val="99"/>
    <w:semiHidden/>
    <w:rsid w:val="00303543"/>
    <w:p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906992">
      <w:bodyDiv w:val="1"/>
      <w:marLeft w:val="0"/>
      <w:marRight w:val="0"/>
      <w:marTop w:val="0"/>
      <w:marBottom w:val="0"/>
      <w:divBdr>
        <w:top w:val="none" w:sz="0" w:space="0" w:color="auto"/>
        <w:left w:val="none" w:sz="0" w:space="0" w:color="auto"/>
        <w:bottom w:val="none" w:sz="0" w:space="0" w:color="auto"/>
        <w:right w:val="none" w:sz="0" w:space="0" w:color="auto"/>
      </w:divBdr>
    </w:div>
    <w:div w:id="167255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SCSSLabelD xmlns="http://schemas.microsoft.com/sharepoint/v3" xsi:nil="true"/>
    <ESCSSIncludeInNewsletter xmlns="http://schemas.microsoft.com/sharepoint/v3">No</ESCSSIncludeInNewsletter>
    <ESCSSKeywords xmlns="http://schemas.microsoft.com/sharepoint/v3">Structural; Adjustment; Shipbuilding; ASC; 
</ESCSSKeywords>
    <ESCSSReviewDate xmlns="http://schemas.microsoft.com/sharepoint/v3" xsi:nil="true"/>
    <ESCSSReviewedBy xmlns="http://schemas.microsoft.com/sharepoint/v3" xsi:nil="true"/>
    <ESCSSSite xmlns="http://schemas.microsoft.com/sharepoint/v3" xsi:nil="true"/>
    <ESCSSContentAuthor xmlns="http://schemas.microsoft.com/sharepoint/v3">1826;#KIRK,Janine</ESCSSContentAuthor>
    <ESCSSDocumentType xmlns="http://schemas.microsoft.com/sharepoint/v3" xsi:nil="true"/>
    <ESCSSDisplayVersionNumber xmlns="http://schemas.microsoft.com/sharepoint/v3" xsi:nil="true"/>
    <ESCSSContractType xmlns="http://schemas.microsoft.com/sharepoint/v3" xsi:nil="true"/>
    <ESCSSResourceType xmlns="http://schemas.microsoft.com/sharepoint/v3">22;#Alt Version</ESCSSResourceType>
    <ESCSSEffectiveEndDate xmlns="http://schemas.microsoft.com/sharepoint/v3" xsi:nil="true"/>
    <ESCSSSubject xmlns="http://schemas.microsoft.com/sharepoint/v3">20190829-14031069028 </ESCSSSubject>
    <ESCSSEffectiveStartDate xmlns="http://schemas.microsoft.com/sharepoint/v3">2019-11-03T13:00:00+00:00</ESCSSEffectiveStartDate>
    <ESCSSContentApprover xmlns="http://schemas.microsoft.com/sharepoint/v3">107;#BROWN,Deborah</ESCSSContentApprover>
    <ESCSSTopic xmlns="http://schemas.microsoft.com/sharepoint/v3">498;#NEST</ESCSSTopic>
    <ESCSSContentStatus xmlns="http://schemas.microsoft.com/sharepoint/v3">Current</ESCSSContentStatus>
    <ESCSSContractClause xmlns="http://schemas.microsoft.com/sharepoint/v3" xsi:nil="true"/>
    <ESCSSApprover xmlns="http://schemas.microsoft.com/sharepoint/v3">mh0841@idcprod</ESCSSApprover>
    <ESCSSReviewedOn xmlns="http://schemas.microsoft.com/sharepoint/v3" xsi:nil="true"/>
    <ESCSSBranch xmlns="http://schemas.microsoft.com/sharepoint/v3">Enhanced Services Branch </ESCSSBranch>
    <ESCSSIncludeInLatestUpdates xmlns="http://schemas.microsoft.com/sharepoint/v3">No</ESCSSIncludeInLatestUpdates>
    <ESCSSLabelA xmlns="http://schemas.microsoft.com/sharepoint/v3" xsi:nil="true"/>
    <ESCSSBusinessOwnerContact xmlns="http://schemas.microsoft.com/sharepoint/v3">Trial Stakeholder and Project Management</ESCSSBusinessOwnerContact>
    <ESCSSESC3Term xmlns="http://schemas.microsoft.com/sharepoint/v3" xsi:nil="true"/>
    <ESCSSSummaryOfUpdate xmlns="http://schemas.microsoft.com/sharepoint/v3" xsi:nil="true"/>
    <ESCSSLabelC xmlns="http://schemas.microsoft.com/sharepoint/v3" xsi:nil="true"/>
    <ESCSSLabelB xmlns="http://schemas.microsoft.com/sharepoint/v3">D19/154657 </ESCSSLabelB>
    <Comments xmlns="http://schemas.microsoft.com/sharepoint/v3">This Guideline details the core elements and requirements for Employment Services Providers (Providers) in managing participants who are eligible for the ASC Shipbuilding Structural Adjustment Programme (ASC Shipbuilding SAP). </Comments>
    <ESCSSWebSiteGroup xmlns="http://schemas.microsoft.com/sharepoint/v3">;#NEST;#</ESCSSWebSiteGroup>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Secure Site Document" ma:contentTypeID="0x0101001FFFC1AF147C4F5C9369E689092D514B00E00119CD7565E44FA9B445B59DB3659E" ma:contentTypeVersion="22" ma:contentTypeDescription="Secure Site content type template for recording metadata for documents." ma:contentTypeScope="" ma:versionID="6cbc0285489e79566cbfa152640c9325">
  <xsd:schema xmlns:xsd="http://www.w3.org/2001/XMLSchema" xmlns:xs="http://www.w3.org/2001/XMLSchema" xmlns:p="http://schemas.microsoft.com/office/2006/metadata/properties" xmlns:ns1="http://schemas.microsoft.com/sharepoint/v3" targetNamespace="http://schemas.microsoft.com/office/2006/metadata/properties" ma:root="true" ma:fieldsID="4b4b2217f5987dd5e0bfb3ec7a6aa07d" ns1:_="">
    <xsd:import namespace="http://schemas.microsoft.com/sharepoint/v3"/>
    <xsd:element name="properties">
      <xsd:complexType>
        <xsd:sequence>
          <xsd:element name="documentManagement">
            <xsd:complexType>
              <xsd:all>
                <xsd:element ref="ns1:ESCSSIncludeInLatestUpdates"/>
                <xsd:element ref="ns1:ESCSSIncludeInNewsletter"/>
                <xsd:element ref="ns1:ESCSSContentAuthor" minOccurs="0"/>
                <xsd:element ref="ns1:ESCSSLabelA" minOccurs="0"/>
                <xsd:element ref="ns1:ESCSSBusinessOwnerContact" minOccurs="0"/>
                <xsd:element ref="ns1:ESCSSBranch" minOccurs="0"/>
                <xsd:element ref="ns1:ESCSSContentApprover" minOccurs="0"/>
                <xsd:element ref="ns1:ESCSSLabelB" minOccurs="0"/>
                <xsd:element ref="ns1:Comments"/>
                <xsd:element ref="ns1:ESCSSKeywords" minOccurs="0"/>
                <xsd:element ref="ns1:ESCSSTopic" minOccurs="0"/>
                <xsd:element ref="ns1:ESCSSWebSiteGroup"/>
                <xsd:element ref="ns1:ESCSSResourceType" minOccurs="0"/>
                <xsd:element ref="ns1:ESCSSContentStatus"/>
                <xsd:element ref="ns1:ESCSSEffectiveStartDate" minOccurs="0"/>
                <xsd:element ref="ns1:ESCSSReviewDate" minOccurs="0"/>
                <xsd:element ref="ns1:ESCSSEffectiveEndDate" minOccurs="0"/>
                <xsd:element ref="ns1:ESCSSSubject" minOccurs="0"/>
                <xsd:element ref="ns1:ESCSSReviewedOn" minOccurs="0"/>
                <xsd:element ref="ns1:ESCSSReviewedBy" minOccurs="0"/>
                <xsd:element ref="ns1:ESCSSDisplayVersionNumber" minOccurs="0"/>
                <xsd:element ref="ns1:ESCSSLabelC" minOccurs="0"/>
                <xsd:element ref="ns1:ESCSSLabelD" minOccurs="0"/>
                <xsd:element ref="ns1:ESCSSSite" minOccurs="0"/>
                <xsd:element ref="ns1:ESCSSContractType" minOccurs="0"/>
                <xsd:element ref="ns1:ESCSSContractClause" minOccurs="0"/>
                <xsd:element ref="ns1:ESCSSESC3Term" minOccurs="0"/>
                <xsd:element ref="ns1:ESCSSDocumentType" minOccurs="0"/>
                <xsd:element ref="ns1:ESCSSApprover" minOccurs="0"/>
                <xsd:element ref="ns1:ESCSSSummaryOfUp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SCSSIncludeInLatestUpdates" ma:index="0" ma:displayName="Include in &quot;Latest Updates&quot; feed" ma:default="No" ma:description="If you select &quot;yes&quot;, published content will appear in the &quot;Latest Updates&quot; feed on the Portal." ma:format="RadioButtons" ma:internalName="ESCSSIncludeInLatestUpdates" ma:readOnly="false">
      <xsd:simpleType>
        <xsd:restriction base="dms:Unknown">
          <xsd:enumeration value="Yes"/>
          <xsd:enumeration value="No"/>
        </xsd:restriction>
      </xsd:simpleType>
    </xsd:element>
    <xsd:element name="ESCSSIncludeInNewsletter" ma:index="1" ma:displayName="Include in Newsletter" ma:default="No" ma:format="RadioButtons" ma:internalName="ESCSSIncludeInNewsletter" ma:readOnly="false">
      <xsd:simpleType>
        <xsd:restriction base="dms:Unknown"/>
      </xsd:simpleType>
    </xsd:element>
    <xsd:element name="ESCSSContentAuthor" ma:index="2" nillable="true" ma:displayName="Content Author" ma:internalName="ESCSSContentAuthor" ma:readOnly="false">
      <xsd:simpleType>
        <xsd:restriction base="dms:Unknown"/>
      </xsd:simpleType>
    </xsd:element>
    <xsd:element name="ESCSSLabelA" ma:index="3" nillable="true" ma:displayName="Co-ordinator" ma:internalName="ESCSSLabelA" ma:readOnly="false">
      <xsd:simpleType>
        <xsd:restriction base="dms:Text"/>
      </xsd:simpleType>
    </xsd:element>
    <xsd:element name="ESCSSBusinessOwnerContact" ma:index="4" nillable="true" ma:displayName="Content Author Team" ma:internalName="ESCSSBusinessOwnerContact" ma:readOnly="false">
      <xsd:simpleType>
        <xsd:restriction base="dms:Text"/>
      </xsd:simpleType>
    </xsd:element>
    <xsd:element name="ESCSSBranch" ma:index="5" nillable="true" ma:displayName="Content Author Branch" ma:internalName="ESCSSBranch" ma:readOnly="false">
      <xsd:simpleType>
        <xsd:restriction base="dms:Text"/>
      </xsd:simpleType>
    </xsd:element>
    <xsd:element name="ESCSSContentApprover" ma:index="6" nillable="true" ma:displayName="Content Approver" ma:internalName="ESCSSContentApprover" ma:readOnly="false">
      <xsd:simpleType>
        <xsd:restriction base="dms:Unknown"/>
      </xsd:simpleType>
    </xsd:element>
    <xsd:element name="ESCSSLabelB" ma:index="7" nillable="true" ma:displayName="Document ID" ma:internalName="ESCSSLabelB" ma:readOnly="false">
      <xsd:simpleType>
        <xsd:restriction base="dms:Text"/>
      </xsd:simpleType>
    </xsd:element>
    <xsd:element name="Comments" ma:index="10" ma:displayName="Description" ma:internalName="Comments" ma:readOnly="false">
      <xsd:simpleType>
        <xsd:restriction base="dms:Note">
          <xsd:maxLength value="255"/>
        </xsd:restriction>
      </xsd:simpleType>
    </xsd:element>
    <xsd:element name="ESCSSKeywords" ma:index="11" nillable="true" ma:displayName="Keywords" ma:internalName="ESCSSKeywords" ma:readOnly="false">
      <xsd:simpleType>
        <xsd:restriction base="dms:Note"/>
      </xsd:simpleType>
    </xsd:element>
    <xsd:element name="ESCSSTopic" ma:index="12" nillable="true" ma:displayName="Topic" ma:internalName="ESCSSTopic" ma:readOnly="false">
      <xsd:simpleType>
        <xsd:restriction base="dms:Unknown"/>
      </xsd:simpleType>
    </xsd:element>
    <xsd:element name="ESCSSWebSiteGroup" ma:index="13" ma:displayName="Display in Site" ma:internalName="ESCSSWebSiteGroup" ma:readOnly="false">
      <xsd:simpleType>
        <xsd:restriction base="dms:Unknown"/>
      </xsd:simpleType>
    </xsd:element>
    <xsd:element name="ESCSSResourceType" ma:index="14" nillable="true" ma:displayName="Resource Type" ma:internalName="ESCSSResourceType" ma:readOnly="false">
      <xsd:simpleType>
        <xsd:restriction base="dms:Unknown"/>
      </xsd:simpleType>
    </xsd:element>
    <xsd:element name="ESCSSContentStatus" ma:index="15" ma:displayName="Status" ma:default="Current" ma:internalName="ESCSSContentStatus" ma:readOnly="false">
      <xsd:simpleType>
        <xsd:restriction base="dms:Choice">
          <xsd:enumeration value="Current"/>
          <xsd:enumeration value="Archived"/>
        </xsd:restriction>
      </xsd:simpleType>
    </xsd:element>
    <xsd:element name="ESCSSEffectiveStartDate" ma:index="16" nillable="true" ma:displayName="Effective Start Date (dd/mm/yyyy)" ma:format="DateOnly" ma:internalName="ESCSSEffectiveStartDate" ma:readOnly="false">
      <xsd:simpleType>
        <xsd:restriction base="dms:Unknown"/>
      </xsd:simpleType>
    </xsd:element>
    <xsd:element name="ESCSSReviewDate" ma:index="17" nillable="true" ma:displayName="Review Date (dd/mm/yyyy)" ma:format="DateOnly" ma:internalName="ESCSSReviewDate" ma:readOnly="false">
      <xsd:simpleType>
        <xsd:restriction base="dms:Unknown"/>
      </xsd:simpleType>
    </xsd:element>
    <xsd:element name="ESCSSEffectiveEndDate" ma:index="18" nillable="true" ma:displayName="Effective End Date (dd/mm/yyyy)" ma:format="DateOnly" ma:internalName="ESCSSEffectiveEndDate" ma:readOnly="false">
      <xsd:simpleType>
        <xsd:restriction base="dms:Unknown"/>
      </xsd:simpleType>
    </xsd:element>
    <xsd:element name="ESCSSSubject" ma:index="19" nillable="true" ma:displayName="Publishing Reference" ma:internalName="ESCSSSubject" ma:readOnly="false">
      <xsd:simpleType>
        <xsd:restriction base="dms:Text"/>
      </xsd:simpleType>
    </xsd:element>
    <xsd:element name="ESCSSReviewedOn" ma:index="20" nillable="true" ma:displayName="Reviewed On (dd/mm/yyyy)" ma:format="DateOnly" ma:internalName="ESCSSReviewedOn" ma:readOnly="false">
      <xsd:simpleType>
        <xsd:restriction base="dms:DateTime"/>
      </xsd:simpleType>
    </xsd:element>
    <xsd:element name="ESCSSReviewedBy" ma:index="21" nillable="true" ma:displayName="Reviewed By" ma:internalName="ESCSSReviewedBy" ma:readOnly="false">
      <xsd:simpleType>
        <xsd:restriction base="dms:Text"/>
      </xsd:simpleType>
    </xsd:element>
    <xsd:element name="ESCSSDisplayVersionNumber" ma:index="22" nillable="true" ma:displayName="Display Version Number" ma:internalName="ESCSSDisplayVersionNumber" ma:readOnly="false">
      <xsd:simpleType>
        <xsd:restriction base="dms:Text"/>
      </xsd:simpleType>
    </xsd:element>
    <xsd:element name="ESCSSLabelC" ma:index="23" nillable="true" ma:displayName="Label C" ma:internalName="ESCSSLabelC" ma:readOnly="false">
      <xsd:simpleType>
        <xsd:restriction base="dms:Text"/>
      </xsd:simpleType>
    </xsd:element>
    <xsd:element name="ESCSSLabelD" ma:index="24" nillable="true" ma:displayName="Label D" ma:internalName="ESCSSLabelD" ma:readOnly="false">
      <xsd:simpleType>
        <xsd:restriction base="dms:Text"/>
      </xsd:simpleType>
    </xsd:element>
    <xsd:element name="ESCSSSite" ma:index="25" nillable="true" ma:displayName="Site" ma:internalName="ESCSSSite" ma:readOnly="false">
      <xsd:simpleType>
        <xsd:restriction base="dms:Text"/>
      </xsd:simpleType>
    </xsd:element>
    <xsd:element name="ESCSSContractType" ma:index="26" nillable="true" ma:displayName="Contract Type" ma:internalName="ESCSSContractType" ma:readOnly="false">
      <xsd:simpleType>
        <xsd:restriction base="dms:Text"/>
      </xsd:simpleType>
    </xsd:element>
    <xsd:element name="ESCSSContractClause" ma:index="27" nillable="true" ma:displayName="Contract Clause" ma:internalName="ESCSSContractClause" ma:readOnly="false">
      <xsd:simpleType>
        <xsd:restriction base="dms:Text"/>
      </xsd:simpleType>
    </xsd:element>
    <xsd:element name="ESCSSESC3Term" ma:index="28" nillable="true" ma:displayName="ESC3 Term" ma:internalName="ESCSSESC3Term" ma:readOnly="false">
      <xsd:simpleType>
        <xsd:restriction base="dms:Text"/>
      </xsd:simpleType>
    </xsd:element>
    <xsd:element name="ESCSSDocumentType" ma:index="29" nillable="true" ma:displayName="Document Type" ma:internalName="ESCSSDocumentType" ma:readOnly="false">
      <xsd:simpleType>
        <xsd:restriction base="dms:Text"/>
      </xsd:simpleType>
    </xsd:element>
    <xsd:element name="ESCSSApprover" ma:index="30" nillable="true" ma:displayName="Approver" ma:internalName="ESCSSApprover" ma:readOnly="false">
      <xsd:simpleType>
        <xsd:restriction base="dms:Text"/>
      </xsd:simpleType>
    </xsd:element>
    <xsd:element name="ESCSSSummaryOfUpdate" ma:index="31" nillable="true" ma:displayName="Summary of Update" ma:internalName="ESCSSSummaryOfUpdate"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6" ma:displayName="Content Type"/>
        <xsd:element ref="dc:title" maxOccurs="1" ma:index="8"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59E78-7389-49D1-979D-DF8EFC9A9879}">
  <ds:schemaRefs>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sharepoint/v3"/>
    <ds:schemaRef ds:uri="http://www.w3.org/XML/1998/namespace"/>
  </ds:schemaRefs>
</ds:datastoreItem>
</file>

<file path=customXml/itemProps2.xml><?xml version="1.0" encoding="utf-8"?>
<ds:datastoreItem xmlns:ds="http://schemas.openxmlformats.org/officeDocument/2006/customXml" ds:itemID="{F75F50F6-3C0F-4FE7-8A59-7CAAB2B45174}">
  <ds:schemaRefs>
    <ds:schemaRef ds:uri="http://schemas.microsoft.com/sharepoint/v3/contenttype/forms"/>
  </ds:schemaRefs>
</ds:datastoreItem>
</file>

<file path=customXml/itemProps3.xml><?xml version="1.0" encoding="utf-8"?>
<ds:datastoreItem xmlns:ds="http://schemas.openxmlformats.org/officeDocument/2006/customXml" ds:itemID="{1AF8B399-8A09-4D23-80E8-EDB19A78E2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79AD7C-DE10-43AB-9199-4B85D0A5E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E508609B.dotm</Template>
  <TotalTime>0</TotalTime>
  <Pages>8</Pages>
  <Words>2263</Words>
  <Characters>12901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ASC Shipbuilding Structural Adjustment Programme Guide V1.0</vt:lpstr>
    </vt:vector>
  </TitlesOfParts>
  <Company/>
  <LinksUpToDate>false</LinksUpToDate>
  <CharactersWithSpaces>15134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 Shipbuilding Structural Adjustment Programme Guide V1.0</dc:title>
  <dc:creator/>
  <cp:lastModifiedBy/>
  <cp:revision>1</cp:revision>
  <dcterms:created xsi:type="dcterms:W3CDTF">2019-11-13T02:04:00Z</dcterms:created>
  <dcterms:modified xsi:type="dcterms:W3CDTF">2019-11-13T04:11:00Z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0x0101001FFFC1AF147C4F5C9369E689092D514B00E00119CD7565E44FA9B445B59DB3659E</vt:lpwstr>
  </property>
</Properties>
</file>