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44A37" w14:textId="063981E8" w:rsidR="00A623DF" w:rsidRDefault="007B014B" w:rsidP="00A623DF">
      <w:pPr>
        <w:pStyle w:val="Title"/>
        <w:jc w:val="right"/>
        <w:rPr>
          <w:b/>
          <w:color w:val="767171" w:themeColor="background2" w:themeShade="80"/>
          <w:sz w:val="32"/>
          <w:szCs w:val="32"/>
        </w:rPr>
      </w:pPr>
      <w:bookmarkStart w:id="0" w:name="_GoBack"/>
      <w:bookmarkEnd w:id="0"/>
      <w:r>
        <w:rPr>
          <w:noProof/>
          <w:lang w:eastAsia="en-AU"/>
        </w:rPr>
        <w:drawing>
          <wp:inline distT="0" distB="0" distL="0" distR="0" wp14:anchorId="153A127F" wp14:editId="6FE45C2A">
            <wp:extent cx="1958196" cy="1198784"/>
            <wp:effectExtent l="0" t="0" r="4445" b="1905"/>
            <wp:docPr id="3" name="Picture 3" descr="Australian Government - job active logo"/>
            <wp:cNvGraphicFramePr/>
            <a:graphic xmlns:a="http://schemas.openxmlformats.org/drawingml/2006/main">
              <a:graphicData uri="http://schemas.openxmlformats.org/drawingml/2006/picture">
                <pic:pic xmlns:pic="http://schemas.openxmlformats.org/drawingml/2006/picture">
                  <pic:nvPicPr>
                    <pic:cNvPr id="3" name="Picture 3" descr="Australian Government - job active logo"/>
                    <pic:cNvPicPr/>
                  </pic:nvPicPr>
                  <pic:blipFill rotWithShape="1">
                    <a:blip r:embed="rId11" cstate="print">
                      <a:extLst>
                        <a:ext uri="{28A0092B-C50C-407E-A947-70E740481C1C}">
                          <a14:useLocalDpi xmlns:a14="http://schemas.microsoft.com/office/drawing/2010/main" val="0"/>
                        </a:ext>
                      </a:extLst>
                    </a:blip>
                    <a:srcRect r="38399"/>
                    <a:stretch/>
                  </pic:blipFill>
                  <pic:spPr bwMode="auto">
                    <a:xfrm>
                      <a:off x="0" y="0"/>
                      <a:ext cx="1961929" cy="1201069"/>
                    </a:xfrm>
                    <a:prstGeom prst="rect">
                      <a:avLst/>
                    </a:prstGeom>
                    <a:noFill/>
                    <a:ln>
                      <a:noFill/>
                    </a:ln>
                    <a:extLst>
                      <a:ext uri="{53640926-AAD7-44D8-BBD7-CCE9431645EC}">
                        <a14:shadowObscured xmlns:a14="http://schemas.microsoft.com/office/drawing/2010/main"/>
                      </a:ext>
                    </a:extLst>
                  </pic:spPr>
                </pic:pic>
              </a:graphicData>
            </a:graphic>
          </wp:inline>
        </w:drawing>
      </w:r>
    </w:p>
    <w:p w14:paraId="408FDB2D" w14:textId="37F535B4" w:rsidR="00A623DF" w:rsidRPr="00837E53" w:rsidRDefault="00A623DF" w:rsidP="00A623DF">
      <w:pPr>
        <w:pStyle w:val="Title"/>
        <w:spacing w:after="360"/>
      </w:pPr>
      <w:r w:rsidRPr="0027592B">
        <w:rPr>
          <w:b/>
          <w:color w:val="767171" w:themeColor="background2" w:themeShade="80"/>
          <w:sz w:val="32"/>
          <w:szCs w:val="32"/>
        </w:rPr>
        <w:t>Guideline</w:t>
      </w:r>
      <w:r w:rsidRPr="0027592B">
        <w:rPr>
          <w:color w:val="767171" w:themeColor="background2" w:themeShade="80"/>
          <w:sz w:val="32"/>
          <w:szCs w:val="32"/>
        </w:rPr>
        <w:t>:</w:t>
      </w:r>
      <w:r>
        <w:br/>
      </w:r>
      <w:r w:rsidR="005851D5">
        <w:t>New Employment Services Trial</w:t>
      </w:r>
      <w:r w:rsidR="007B014B">
        <w:t xml:space="preserve"> </w:t>
      </w:r>
      <w:r w:rsidR="009A6C22">
        <w:t>(NEST)</w:t>
      </w:r>
      <w:r w:rsidR="000F733A">
        <w:t xml:space="preserve"> </w:t>
      </w:r>
      <w:r w:rsidR="007B014B">
        <w:t xml:space="preserve">- </w:t>
      </w:r>
      <w:r w:rsidR="005851D5">
        <w:br/>
      </w:r>
      <w:r w:rsidRPr="00D24CAD">
        <w:t>Using the Employment Fund General Account</w:t>
      </w:r>
    </w:p>
    <w:p w14:paraId="69D813DA" w14:textId="505A0CE0" w:rsidR="00A623DF" w:rsidRDefault="005851D5" w:rsidP="00A623DF">
      <w:pPr>
        <w:pStyle w:val="guidelinetext"/>
        <w:ind w:left="0"/>
      </w:pPr>
      <w:r>
        <w:t xml:space="preserve">This Guideline outlines how to use the Employment Fund General Account (Employment Fund). </w:t>
      </w:r>
      <w:r w:rsidR="00A623DF">
        <w:t xml:space="preserve">The Employment Fund is a flexible pool of funds available to </w:t>
      </w:r>
      <w:r w:rsidR="007B014B">
        <w:t>NEST Provider</w:t>
      </w:r>
      <w:r w:rsidR="00A623DF">
        <w:t xml:space="preserve">s (Providers) to offer support tailored to the needs of </w:t>
      </w:r>
      <w:r w:rsidR="0022687F">
        <w:t>Participant</w:t>
      </w:r>
      <w:r w:rsidR="00A623DF">
        <w:t>s, employers and the local labour market. Each Provider</w:t>
      </w:r>
      <w:r w:rsidR="00A623DF" w:rsidRPr="00A37677">
        <w:t xml:space="preserve"> receive</w:t>
      </w:r>
      <w:r w:rsidR="00A623DF">
        <w:t>s</w:t>
      </w:r>
      <w:r w:rsidR="00A623DF" w:rsidRPr="00A37677">
        <w:t xml:space="preserve"> credits they can use </w:t>
      </w:r>
      <w:r w:rsidR="00A623DF">
        <w:t xml:space="preserve">and then </w:t>
      </w:r>
      <w:r w:rsidR="00A623DF" w:rsidRPr="00A37677">
        <w:t>claim Reimbursement</w:t>
      </w:r>
      <w:r w:rsidR="00A623DF">
        <w:t xml:space="preserve"> for the purchase of goods and services that genuinely support and assist </w:t>
      </w:r>
      <w:r w:rsidR="0022687F">
        <w:t>Participant</w:t>
      </w:r>
      <w:r w:rsidR="00A623DF">
        <w:t>s to gain the tools, and build the skills and experience they need to get and keep a job.</w:t>
      </w:r>
    </w:p>
    <w:p w14:paraId="0F5309C6" w14:textId="0AD87389" w:rsidR="00A623DF" w:rsidRPr="007B014B" w:rsidRDefault="00A623DF" w:rsidP="00A623DF">
      <w:pPr>
        <w:pStyle w:val="guidelinetext"/>
        <w:tabs>
          <w:tab w:val="left" w:pos="5670"/>
        </w:tabs>
        <w:ind w:left="0"/>
      </w:pPr>
      <w:r w:rsidRPr="00302AF7">
        <w:rPr>
          <w:b/>
          <w:color w:val="767171" w:themeColor="background2" w:themeShade="80"/>
        </w:rPr>
        <w:t>Version:</w:t>
      </w:r>
      <w:r>
        <w:t xml:space="preserve"> </w:t>
      </w:r>
      <w:r w:rsidR="008F26EE">
        <w:t>2.</w:t>
      </w:r>
      <w:r w:rsidR="00F90CE7">
        <w:t>1</w:t>
      </w:r>
      <w:r>
        <w:tab/>
      </w:r>
      <w:r w:rsidRPr="007B014B">
        <w:rPr>
          <w:b/>
          <w:color w:val="767171" w:themeColor="background2" w:themeShade="80"/>
        </w:rPr>
        <w:t>Published on:</w:t>
      </w:r>
      <w:r w:rsidRPr="007B014B">
        <w:t xml:space="preserve"> </w:t>
      </w:r>
      <w:r w:rsidR="00F90CE7">
        <w:t>5 November</w:t>
      </w:r>
      <w:r w:rsidR="004251F6">
        <w:t xml:space="preserve"> 2020</w:t>
      </w:r>
    </w:p>
    <w:p w14:paraId="7FAAAB38" w14:textId="3099798A" w:rsidR="00A623DF" w:rsidRDefault="00A623DF" w:rsidP="00295678">
      <w:pPr>
        <w:pStyle w:val="guidelinetext"/>
        <w:tabs>
          <w:tab w:val="left" w:pos="5670"/>
        </w:tabs>
        <w:ind w:left="0"/>
      </w:pPr>
      <w:r w:rsidRPr="007B014B">
        <w:tab/>
      </w:r>
      <w:r w:rsidRPr="007B014B">
        <w:rPr>
          <w:b/>
          <w:color w:val="767171" w:themeColor="background2" w:themeShade="80"/>
        </w:rPr>
        <w:t>Effective from:</w:t>
      </w:r>
      <w:r w:rsidRPr="007B014B">
        <w:t xml:space="preserve"> </w:t>
      </w:r>
      <w:r w:rsidR="001010F6">
        <w:t xml:space="preserve">1 </w:t>
      </w:r>
      <w:r w:rsidR="00F90CE7">
        <w:t>January</w:t>
      </w:r>
      <w:r w:rsidR="004251F6">
        <w:t xml:space="preserve"> 202</w:t>
      </w:r>
      <w:r w:rsidR="00F90CE7">
        <w:t>1</w:t>
      </w:r>
    </w:p>
    <w:p w14:paraId="4568A1FA" w14:textId="2CD4FE6D" w:rsidR="00A623DF" w:rsidRPr="001A783C" w:rsidRDefault="004251F6" w:rsidP="00A623DF">
      <w:pPr>
        <w:pStyle w:val="guidelinedocinfo"/>
        <w:rPr>
          <w:b/>
        </w:rPr>
      </w:pPr>
      <w:r w:rsidRPr="001A783C">
        <w:rPr>
          <w:b/>
        </w:rPr>
        <w:t xml:space="preserve">Changes from the previous version (Version </w:t>
      </w:r>
      <w:r w:rsidR="00F90CE7">
        <w:rPr>
          <w:b/>
        </w:rPr>
        <w:t>2</w:t>
      </w:r>
      <w:r w:rsidRPr="001A783C">
        <w:rPr>
          <w:b/>
        </w:rPr>
        <w:t>.0)</w:t>
      </w:r>
    </w:p>
    <w:p w14:paraId="1ACEC91E" w14:textId="241596D5" w:rsidR="004251F6" w:rsidRPr="002A1DE7" w:rsidRDefault="004251F6" w:rsidP="00A623DF">
      <w:pPr>
        <w:pStyle w:val="guidelinedocinfo"/>
        <w:rPr>
          <w:b/>
          <w:color w:val="auto"/>
          <w:sz w:val="20"/>
        </w:rPr>
      </w:pPr>
      <w:r w:rsidRPr="002A1DE7">
        <w:rPr>
          <w:b/>
          <w:color w:val="auto"/>
          <w:sz w:val="20"/>
        </w:rPr>
        <w:t>Policy changes:</w:t>
      </w:r>
    </w:p>
    <w:p w14:paraId="076D1718" w14:textId="77777777" w:rsidR="00861F51" w:rsidRPr="00A107FF" w:rsidRDefault="00F90CE7" w:rsidP="00A623DF">
      <w:pPr>
        <w:pStyle w:val="guidelinedocinfo"/>
        <w:rPr>
          <w:color w:val="auto"/>
          <w:sz w:val="20"/>
        </w:rPr>
      </w:pPr>
      <w:r w:rsidRPr="00A107FF">
        <w:rPr>
          <w:color w:val="auto"/>
          <w:sz w:val="20"/>
        </w:rPr>
        <w:t xml:space="preserve">Nil </w:t>
      </w:r>
    </w:p>
    <w:p w14:paraId="2245684B" w14:textId="474A4605" w:rsidR="004251F6" w:rsidRPr="002A1DE7" w:rsidRDefault="004251F6" w:rsidP="00A623DF">
      <w:pPr>
        <w:pStyle w:val="guidelinedocinfo"/>
        <w:rPr>
          <w:b/>
          <w:color w:val="auto"/>
          <w:sz w:val="20"/>
        </w:rPr>
      </w:pPr>
      <w:r w:rsidRPr="002A1DE7">
        <w:rPr>
          <w:b/>
          <w:color w:val="auto"/>
          <w:sz w:val="20"/>
        </w:rPr>
        <w:t>Wording changes:</w:t>
      </w:r>
    </w:p>
    <w:p w14:paraId="0010AF47" w14:textId="041026C7" w:rsidR="00861F51" w:rsidRPr="00A107FF" w:rsidRDefault="00F90CE7" w:rsidP="00A623DF">
      <w:pPr>
        <w:pStyle w:val="guidelinedocinfo"/>
        <w:rPr>
          <w:color w:val="auto"/>
          <w:sz w:val="20"/>
        </w:rPr>
      </w:pPr>
      <w:r w:rsidRPr="00A107FF">
        <w:rPr>
          <w:color w:val="auto"/>
          <w:sz w:val="20"/>
        </w:rPr>
        <w:t xml:space="preserve">(Pg. 4 and 7) Change in terminology. </w:t>
      </w:r>
      <w:r w:rsidR="00861F51" w:rsidRPr="00A107FF">
        <w:rPr>
          <w:color w:val="auto"/>
          <w:sz w:val="20"/>
        </w:rPr>
        <w:t xml:space="preserve">From 1 January 2021 the </w:t>
      </w:r>
      <w:r w:rsidRPr="00A107FF">
        <w:rPr>
          <w:color w:val="auto"/>
          <w:sz w:val="20"/>
        </w:rPr>
        <w:t>Online Employment Services Trial (OEST) will be referred to as Online Employment Service</w:t>
      </w:r>
      <w:r w:rsidR="00BD344E" w:rsidRPr="00A107FF">
        <w:rPr>
          <w:color w:val="auto"/>
          <w:sz w:val="20"/>
        </w:rPr>
        <w:t>s</w:t>
      </w:r>
      <w:r w:rsidRPr="00A107FF">
        <w:rPr>
          <w:color w:val="auto"/>
          <w:sz w:val="20"/>
        </w:rPr>
        <w:t xml:space="preserve"> (OES).</w:t>
      </w:r>
    </w:p>
    <w:p w14:paraId="4C4D513A" w14:textId="2F57D565" w:rsidR="00861F51" w:rsidRPr="00675C00" w:rsidRDefault="00861F51" w:rsidP="00A107FF">
      <w:pPr>
        <w:pStyle w:val="guidelinedocinfo"/>
      </w:pPr>
    </w:p>
    <w:p w14:paraId="72401D62" w14:textId="2B731C47" w:rsidR="0080598D" w:rsidRDefault="0080598D" w:rsidP="00A623DF">
      <w:pPr>
        <w:pStyle w:val="guidelinechanges"/>
        <w:rPr>
          <w:b/>
          <w:sz w:val="22"/>
        </w:rPr>
      </w:pPr>
    </w:p>
    <w:p w14:paraId="44058309" w14:textId="77777777" w:rsidR="0080598D" w:rsidRPr="00DF48C5" w:rsidRDefault="0080598D" w:rsidP="0080598D">
      <w:pPr>
        <w:pStyle w:val="guidelinechanges"/>
        <w:rPr>
          <w:b/>
        </w:rPr>
      </w:pPr>
      <w:r w:rsidRPr="00DF48C5">
        <w:rPr>
          <w:b/>
        </w:rPr>
        <w:t>Document Change History</w:t>
      </w:r>
      <w:r>
        <w:rPr>
          <w:b/>
        </w:rPr>
        <w:t>:</w:t>
      </w:r>
    </w:p>
    <w:p w14:paraId="5DF9BFE4" w14:textId="751DCDAD" w:rsidR="0080598D" w:rsidRDefault="0080598D" w:rsidP="0080598D">
      <w:pPr>
        <w:pStyle w:val="guidelinechanges"/>
        <w:rPr>
          <w:b/>
          <w:sz w:val="22"/>
        </w:rPr>
      </w:pPr>
      <w:r w:rsidRPr="00053516">
        <w:t xml:space="preserve">A full </w:t>
      </w:r>
      <w:hyperlink w:anchor="_Document_Change_History" w:history="1">
        <w:r>
          <w:rPr>
            <w:rStyle w:val="Hyperlink"/>
          </w:rPr>
          <w:t>D</w:t>
        </w:r>
        <w:r w:rsidRPr="00DF7429">
          <w:rPr>
            <w:rStyle w:val="Hyperlink"/>
          </w:rPr>
          <w:t xml:space="preserve">ocument </w:t>
        </w:r>
        <w:r>
          <w:rPr>
            <w:rStyle w:val="Hyperlink"/>
          </w:rPr>
          <w:t>C</w:t>
        </w:r>
        <w:r w:rsidRPr="00DF7429">
          <w:rPr>
            <w:rStyle w:val="Hyperlink"/>
          </w:rPr>
          <w:t xml:space="preserve">hange </w:t>
        </w:r>
        <w:r>
          <w:rPr>
            <w:rStyle w:val="Hyperlink"/>
          </w:rPr>
          <w:t>H</w:t>
        </w:r>
        <w:r w:rsidRPr="00DF7429">
          <w:rPr>
            <w:rStyle w:val="Hyperlink"/>
          </w:rPr>
          <w:t>istory</w:t>
        </w:r>
      </w:hyperlink>
      <w:r w:rsidRPr="00053516">
        <w:t xml:space="preserve"> is available </w:t>
      </w:r>
      <w:r>
        <w:t>at the end of this Guideline.</w:t>
      </w:r>
    </w:p>
    <w:p w14:paraId="5A1ABBD3" w14:textId="3A5BE3D4" w:rsidR="00A623DF" w:rsidRPr="00BB5592" w:rsidRDefault="00A623DF" w:rsidP="0041504C">
      <w:pPr>
        <w:pStyle w:val="guidelinechanges"/>
        <w:pBdr>
          <w:top w:val="single" w:sz="4" w:space="1" w:color="auto"/>
        </w:pBdr>
        <w:spacing w:before="240"/>
        <w:rPr>
          <w:b/>
          <w:sz w:val="22"/>
        </w:rPr>
      </w:pPr>
      <w:r w:rsidRPr="00BB5592">
        <w:rPr>
          <w:b/>
          <w:sz w:val="22"/>
        </w:rPr>
        <w:t>Related documents and references</w:t>
      </w:r>
    </w:p>
    <w:p w14:paraId="58C176AD" w14:textId="156EA4A2" w:rsidR="00563C71" w:rsidRDefault="00EC061C" w:rsidP="00A623DF">
      <w:pPr>
        <w:pStyle w:val="guidelinechanges"/>
      </w:pPr>
      <w:hyperlink r:id="rId12" w:history="1">
        <w:r w:rsidR="00563C71">
          <w:rPr>
            <w:rStyle w:val="Hyperlink"/>
          </w:rPr>
          <w:t>New Employment Services Trial Employment Fund General Account IT Supporting Document</w:t>
        </w:r>
      </w:hyperlink>
      <w:r w:rsidR="00563C71" w:rsidRPr="00A1608F">
        <w:t xml:space="preserve"> </w:t>
      </w:r>
    </w:p>
    <w:p w14:paraId="620D142E" w14:textId="6C65F737" w:rsidR="00092D40" w:rsidRDefault="00EC061C" w:rsidP="00563C71">
      <w:pPr>
        <w:pStyle w:val="guidelinechanges"/>
      </w:pPr>
      <w:hyperlink r:id="rId13" w:history="1">
        <w:r w:rsidR="00092D40" w:rsidRPr="00C91704">
          <w:rPr>
            <w:rStyle w:val="Hyperlink"/>
          </w:rPr>
          <w:t>Targeted Pre Employment Preparation Proposal template</w:t>
        </w:r>
      </w:hyperlink>
    </w:p>
    <w:p w14:paraId="0D4AA174" w14:textId="3C89C367" w:rsidR="00CC4DB5" w:rsidRDefault="00EC061C" w:rsidP="00092D40">
      <w:pPr>
        <w:pStyle w:val="guidelinechanges"/>
      </w:pPr>
      <w:hyperlink r:id="rId14" w:history="1">
        <w:r w:rsidR="00563C71" w:rsidRPr="007207B7">
          <w:rPr>
            <w:rStyle w:val="Hyperlink"/>
          </w:rPr>
          <w:t>Provider Indigenous Mentoring Capability Proposal template</w:t>
        </w:r>
      </w:hyperlink>
    </w:p>
    <w:p w14:paraId="07227194" w14:textId="0C1A10C0" w:rsidR="00092D40" w:rsidRPr="00503140" w:rsidRDefault="00EC061C" w:rsidP="00092D40">
      <w:pPr>
        <w:pStyle w:val="guidelinechanges"/>
        <w:rPr>
          <w:rStyle w:val="Hyperlink"/>
        </w:rPr>
      </w:pPr>
      <w:hyperlink r:id="rId15" w:history="1">
        <w:r w:rsidR="00092D40">
          <w:rPr>
            <w:rStyle w:val="Hyperlink"/>
          </w:rPr>
          <w:t>New Employment Services Trial Stronger Transitions Guideline</w:t>
        </w:r>
      </w:hyperlink>
    </w:p>
    <w:p w14:paraId="089F44F4" w14:textId="5F01506B" w:rsidR="00092D40" w:rsidRDefault="00EC061C" w:rsidP="00092D40">
      <w:pPr>
        <w:pStyle w:val="guidelinechanges"/>
        <w:rPr>
          <w:rStyle w:val="Hyperlink"/>
          <w:sz w:val="22"/>
        </w:rPr>
      </w:pPr>
      <w:hyperlink r:id="rId16" w:history="1">
        <w:r w:rsidR="00092D40">
          <w:rPr>
            <w:rStyle w:val="Hyperlink"/>
          </w:rPr>
          <w:t>New Employment Services Trial Structural Adjustment Programme Guideline</w:t>
        </w:r>
      </w:hyperlink>
    </w:p>
    <w:p w14:paraId="7F2BF322" w14:textId="5076FB54" w:rsidR="00092D40" w:rsidRDefault="00EC061C" w:rsidP="00092D40">
      <w:pPr>
        <w:pStyle w:val="guidelinechanges"/>
        <w:rPr>
          <w:rStyle w:val="Hyperlink"/>
        </w:rPr>
      </w:pPr>
      <w:hyperlink r:id="rId17" w:history="1">
        <w:r w:rsidR="00092D40">
          <w:rPr>
            <w:rStyle w:val="Hyperlink"/>
          </w:rPr>
          <w:t>New Employment Services Trial Eligibility, Referral and Commencement Guideline</w:t>
        </w:r>
      </w:hyperlink>
    </w:p>
    <w:p w14:paraId="73DE5158" w14:textId="01D50D34" w:rsidR="00092D40" w:rsidRDefault="00EC061C" w:rsidP="00092D40">
      <w:pPr>
        <w:pStyle w:val="guidelinechanges"/>
      </w:pPr>
      <w:hyperlink r:id="rId18" w:history="1">
        <w:r w:rsidR="00092D40">
          <w:rPr>
            <w:rStyle w:val="Hyperlink"/>
          </w:rPr>
          <w:t>New Employment Services Trial Managing Wage Subsidies Guideline</w:t>
        </w:r>
      </w:hyperlink>
    </w:p>
    <w:p w14:paraId="4EA47CD8" w14:textId="69186EB8" w:rsidR="00A623DF" w:rsidRDefault="00EC061C" w:rsidP="00A623DF">
      <w:pPr>
        <w:pStyle w:val="guidelinechanges"/>
        <w:rPr>
          <w:rStyle w:val="Hyperlink"/>
        </w:rPr>
      </w:pPr>
      <w:hyperlink r:id="rId19" w:history="1">
        <w:r w:rsidR="00EB6BA2">
          <w:rPr>
            <w:rStyle w:val="Hyperlink"/>
          </w:rPr>
          <w:t>New Employment Services Trial Activity Management Guideline</w:t>
        </w:r>
      </w:hyperlink>
      <w:r w:rsidR="00A623DF">
        <w:rPr>
          <w:rStyle w:val="Hyperlink"/>
        </w:rPr>
        <w:t xml:space="preserve"> </w:t>
      </w:r>
    </w:p>
    <w:p w14:paraId="5A0042BA" w14:textId="2013EAEE" w:rsidR="00A623DF" w:rsidRDefault="00EC061C" w:rsidP="00A623DF">
      <w:pPr>
        <w:pStyle w:val="guidelinechanges"/>
        <w:rPr>
          <w:rStyle w:val="Hyperlink"/>
        </w:rPr>
      </w:pPr>
      <w:hyperlink r:id="rId20" w:history="1">
        <w:r w:rsidR="00A623DF" w:rsidRPr="004054DB">
          <w:rPr>
            <w:rStyle w:val="Hyperlink"/>
          </w:rPr>
          <w:t>Insurance Readers Guide</w:t>
        </w:r>
      </w:hyperlink>
    </w:p>
    <w:p w14:paraId="20876F93" w14:textId="372861E3" w:rsidR="00A623DF" w:rsidRPr="00C654FF" w:rsidRDefault="00EC061C" w:rsidP="00A623DF">
      <w:pPr>
        <w:pStyle w:val="guidelinechanges"/>
        <w:rPr>
          <w:rStyle w:val="Hyperlink"/>
          <w:u w:val="none"/>
        </w:rPr>
      </w:pPr>
      <w:hyperlink r:id="rId21" w:history="1">
        <w:r w:rsidR="00EB6BA2">
          <w:rPr>
            <w:rStyle w:val="Hyperlink"/>
          </w:rPr>
          <w:t>New Employment Services Trial Managing PaTH Internships Guideline</w:t>
        </w:r>
      </w:hyperlink>
      <w:r w:rsidR="00A623DF" w:rsidRPr="00C654FF">
        <w:rPr>
          <w:rStyle w:val="Hyperlink"/>
          <w:u w:val="none"/>
        </w:rPr>
        <w:t xml:space="preserve"> </w:t>
      </w:r>
    </w:p>
    <w:p w14:paraId="2779D0F6" w14:textId="23400880" w:rsidR="00445917" w:rsidRDefault="00EC061C" w:rsidP="0069371B">
      <w:pPr>
        <w:pStyle w:val="guidelinechanges"/>
        <w:rPr>
          <w:rStyle w:val="Hyperlink"/>
        </w:rPr>
      </w:pPr>
      <w:hyperlink r:id="rId22" w:history="1">
        <w:r w:rsidR="00EB6BA2">
          <w:rPr>
            <w:rStyle w:val="Hyperlink"/>
          </w:rPr>
          <w:t>New Employment Services Trial Relocation Assistance to Take Up a Job Guideline</w:t>
        </w:r>
      </w:hyperlink>
      <w:r w:rsidR="00445917">
        <w:rPr>
          <w:rStyle w:val="Hyperlink"/>
        </w:rPr>
        <w:br w:type="page"/>
      </w:r>
    </w:p>
    <w:sdt>
      <w:sdtPr>
        <w:rPr>
          <w:u w:val="single"/>
        </w:rPr>
        <w:id w:val="503332439"/>
        <w:docPartObj>
          <w:docPartGallery w:val="Table of Contents"/>
          <w:docPartUnique/>
        </w:docPartObj>
      </w:sdtPr>
      <w:sdtEndPr>
        <w:rPr>
          <w:b/>
          <w:bCs/>
          <w:noProof/>
        </w:rPr>
      </w:sdtEndPr>
      <w:sdtContent>
        <w:p w14:paraId="66B8076F" w14:textId="67316F79" w:rsidR="00A623DF" w:rsidRDefault="00A623DF" w:rsidP="00A623DF">
          <w:r>
            <w:t>Contents</w:t>
          </w:r>
        </w:p>
        <w:p w14:paraId="2B710AF1" w14:textId="0074510C" w:rsidR="00A107FF" w:rsidRDefault="00A623DF">
          <w:pPr>
            <w:pStyle w:val="TOC1"/>
            <w:rPr>
              <w:rFonts w:eastAsiaTheme="minorEastAsia"/>
              <w:noProof/>
              <w:lang w:eastAsia="en-AU"/>
            </w:rPr>
          </w:pPr>
          <w:r>
            <w:fldChar w:fldCharType="begin"/>
          </w:r>
          <w:r>
            <w:instrText xml:space="preserve"> TOC \o "1-3" \h \z \u </w:instrText>
          </w:r>
          <w:r>
            <w:fldChar w:fldCharType="separate"/>
          </w:r>
          <w:hyperlink w:anchor="_Toc51762270" w:history="1">
            <w:r w:rsidR="00A107FF" w:rsidRPr="00877F8D">
              <w:rPr>
                <w:rStyle w:val="Hyperlink"/>
                <w:noProof/>
              </w:rPr>
              <w:t>1.</w:t>
            </w:r>
            <w:r w:rsidR="00A107FF">
              <w:rPr>
                <w:rFonts w:eastAsiaTheme="minorEastAsia"/>
                <w:noProof/>
                <w:lang w:eastAsia="en-AU"/>
              </w:rPr>
              <w:tab/>
            </w:r>
            <w:r w:rsidR="00A107FF" w:rsidRPr="00877F8D">
              <w:rPr>
                <w:rStyle w:val="Hyperlink"/>
                <w:noProof/>
              </w:rPr>
              <w:t>Crediting the Employment Fund General Account</w:t>
            </w:r>
            <w:r w:rsidR="00A107FF">
              <w:rPr>
                <w:noProof/>
                <w:webHidden/>
              </w:rPr>
              <w:tab/>
            </w:r>
            <w:r w:rsidR="00A107FF">
              <w:rPr>
                <w:noProof/>
                <w:webHidden/>
              </w:rPr>
              <w:fldChar w:fldCharType="begin"/>
            </w:r>
            <w:r w:rsidR="00A107FF">
              <w:rPr>
                <w:noProof/>
                <w:webHidden/>
              </w:rPr>
              <w:instrText xml:space="preserve"> PAGEREF _Toc51762270 \h </w:instrText>
            </w:r>
            <w:r w:rsidR="00A107FF">
              <w:rPr>
                <w:noProof/>
                <w:webHidden/>
              </w:rPr>
            </w:r>
            <w:r w:rsidR="00A107FF">
              <w:rPr>
                <w:noProof/>
                <w:webHidden/>
              </w:rPr>
              <w:fldChar w:fldCharType="separate"/>
            </w:r>
            <w:r w:rsidR="00EC061C">
              <w:rPr>
                <w:noProof/>
                <w:webHidden/>
              </w:rPr>
              <w:t>3</w:t>
            </w:r>
            <w:r w:rsidR="00A107FF">
              <w:rPr>
                <w:noProof/>
                <w:webHidden/>
              </w:rPr>
              <w:fldChar w:fldCharType="end"/>
            </w:r>
          </w:hyperlink>
        </w:p>
        <w:p w14:paraId="2ABD786C" w14:textId="371176C3" w:rsidR="00A107FF" w:rsidRDefault="00EC061C">
          <w:pPr>
            <w:pStyle w:val="TOC2"/>
            <w:rPr>
              <w:rFonts w:eastAsiaTheme="minorEastAsia"/>
              <w:noProof/>
              <w:lang w:eastAsia="en-AU"/>
            </w:rPr>
          </w:pPr>
          <w:hyperlink w:anchor="_Toc51762271" w:history="1">
            <w:r w:rsidR="00A107FF" w:rsidRPr="00877F8D">
              <w:rPr>
                <w:rStyle w:val="Hyperlink"/>
                <w:noProof/>
              </w:rPr>
              <w:t>Managing Employment Fund Credits</w:t>
            </w:r>
            <w:r w:rsidR="00A107FF">
              <w:rPr>
                <w:noProof/>
                <w:webHidden/>
              </w:rPr>
              <w:tab/>
            </w:r>
            <w:r w:rsidR="00A107FF">
              <w:rPr>
                <w:noProof/>
                <w:webHidden/>
              </w:rPr>
              <w:fldChar w:fldCharType="begin"/>
            </w:r>
            <w:r w:rsidR="00A107FF">
              <w:rPr>
                <w:noProof/>
                <w:webHidden/>
              </w:rPr>
              <w:instrText xml:space="preserve"> PAGEREF _Toc51762271 \h </w:instrText>
            </w:r>
            <w:r w:rsidR="00A107FF">
              <w:rPr>
                <w:noProof/>
                <w:webHidden/>
              </w:rPr>
            </w:r>
            <w:r w:rsidR="00A107FF">
              <w:rPr>
                <w:noProof/>
                <w:webHidden/>
              </w:rPr>
              <w:fldChar w:fldCharType="separate"/>
            </w:r>
            <w:r>
              <w:rPr>
                <w:noProof/>
                <w:webHidden/>
              </w:rPr>
              <w:t>3</w:t>
            </w:r>
            <w:r w:rsidR="00A107FF">
              <w:rPr>
                <w:noProof/>
                <w:webHidden/>
              </w:rPr>
              <w:fldChar w:fldCharType="end"/>
            </w:r>
          </w:hyperlink>
        </w:p>
        <w:p w14:paraId="41C19BE7" w14:textId="5F4BBEC8" w:rsidR="00A107FF" w:rsidRDefault="00EC061C">
          <w:pPr>
            <w:pStyle w:val="TOC1"/>
            <w:rPr>
              <w:rFonts w:eastAsiaTheme="minorEastAsia"/>
              <w:noProof/>
              <w:lang w:eastAsia="en-AU"/>
            </w:rPr>
          </w:pPr>
          <w:hyperlink w:anchor="_Toc51762272" w:history="1">
            <w:r w:rsidR="00A107FF" w:rsidRPr="00877F8D">
              <w:rPr>
                <w:rStyle w:val="Hyperlink"/>
                <w:noProof/>
              </w:rPr>
              <w:t>2.</w:t>
            </w:r>
            <w:r w:rsidR="00A107FF">
              <w:rPr>
                <w:rFonts w:eastAsiaTheme="minorEastAsia"/>
                <w:noProof/>
                <w:lang w:eastAsia="en-AU"/>
              </w:rPr>
              <w:tab/>
            </w:r>
            <w:r w:rsidR="00A107FF" w:rsidRPr="00877F8D">
              <w:rPr>
                <w:rStyle w:val="Hyperlink"/>
                <w:noProof/>
              </w:rPr>
              <w:t>Transferring Credits</w:t>
            </w:r>
            <w:r w:rsidR="00A107FF">
              <w:rPr>
                <w:noProof/>
                <w:webHidden/>
              </w:rPr>
              <w:tab/>
            </w:r>
            <w:r w:rsidR="00A107FF">
              <w:rPr>
                <w:noProof/>
                <w:webHidden/>
              </w:rPr>
              <w:fldChar w:fldCharType="begin"/>
            </w:r>
            <w:r w:rsidR="00A107FF">
              <w:rPr>
                <w:noProof/>
                <w:webHidden/>
              </w:rPr>
              <w:instrText xml:space="preserve"> PAGEREF _Toc51762272 \h </w:instrText>
            </w:r>
            <w:r w:rsidR="00A107FF">
              <w:rPr>
                <w:noProof/>
                <w:webHidden/>
              </w:rPr>
            </w:r>
            <w:r w:rsidR="00A107FF">
              <w:rPr>
                <w:noProof/>
                <w:webHidden/>
              </w:rPr>
              <w:fldChar w:fldCharType="separate"/>
            </w:r>
            <w:r>
              <w:rPr>
                <w:noProof/>
                <w:webHidden/>
              </w:rPr>
              <w:t>4</w:t>
            </w:r>
            <w:r w:rsidR="00A107FF">
              <w:rPr>
                <w:noProof/>
                <w:webHidden/>
              </w:rPr>
              <w:fldChar w:fldCharType="end"/>
            </w:r>
          </w:hyperlink>
        </w:p>
        <w:p w14:paraId="3B86D080" w14:textId="59275D4D" w:rsidR="00A107FF" w:rsidRDefault="00EC061C">
          <w:pPr>
            <w:pStyle w:val="TOC2"/>
            <w:rPr>
              <w:rFonts w:eastAsiaTheme="minorEastAsia"/>
              <w:noProof/>
              <w:lang w:eastAsia="en-AU"/>
            </w:rPr>
          </w:pPr>
          <w:hyperlink w:anchor="_Toc51762273" w:history="1">
            <w:r w:rsidR="00A107FF" w:rsidRPr="00877F8D">
              <w:rPr>
                <w:rStyle w:val="Hyperlink"/>
                <w:noProof/>
              </w:rPr>
              <w:t>Transferring Credits between Sites</w:t>
            </w:r>
            <w:r w:rsidR="00A107FF">
              <w:rPr>
                <w:noProof/>
                <w:webHidden/>
              </w:rPr>
              <w:tab/>
            </w:r>
            <w:r w:rsidR="00A107FF">
              <w:rPr>
                <w:noProof/>
                <w:webHidden/>
              </w:rPr>
              <w:fldChar w:fldCharType="begin"/>
            </w:r>
            <w:r w:rsidR="00A107FF">
              <w:rPr>
                <w:noProof/>
                <w:webHidden/>
              </w:rPr>
              <w:instrText xml:space="preserve"> PAGEREF _Toc51762273 \h </w:instrText>
            </w:r>
            <w:r w:rsidR="00A107FF">
              <w:rPr>
                <w:noProof/>
                <w:webHidden/>
              </w:rPr>
            </w:r>
            <w:r w:rsidR="00A107FF">
              <w:rPr>
                <w:noProof/>
                <w:webHidden/>
              </w:rPr>
              <w:fldChar w:fldCharType="separate"/>
            </w:r>
            <w:r>
              <w:rPr>
                <w:noProof/>
                <w:webHidden/>
              </w:rPr>
              <w:t>4</w:t>
            </w:r>
            <w:r w:rsidR="00A107FF">
              <w:rPr>
                <w:noProof/>
                <w:webHidden/>
              </w:rPr>
              <w:fldChar w:fldCharType="end"/>
            </w:r>
          </w:hyperlink>
        </w:p>
        <w:p w14:paraId="3DF98156" w14:textId="0672E068" w:rsidR="00A107FF" w:rsidRDefault="00EC061C">
          <w:pPr>
            <w:pStyle w:val="TOC2"/>
            <w:rPr>
              <w:rFonts w:eastAsiaTheme="minorEastAsia"/>
              <w:noProof/>
              <w:lang w:eastAsia="en-AU"/>
            </w:rPr>
          </w:pPr>
          <w:hyperlink w:anchor="_Toc51762274" w:history="1">
            <w:r w:rsidR="00A107FF" w:rsidRPr="00877F8D">
              <w:rPr>
                <w:rStyle w:val="Hyperlink"/>
                <w:noProof/>
              </w:rPr>
              <w:t>Transferring Credits to another Provider</w:t>
            </w:r>
            <w:r w:rsidR="00A107FF">
              <w:rPr>
                <w:noProof/>
                <w:webHidden/>
              </w:rPr>
              <w:tab/>
            </w:r>
            <w:r w:rsidR="00A107FF">
              <w:rPr>
                <w:noProof/>
                <w:webHidden/>
              </w:rPr>
              <w:fldChar w:fldCharType="begin"/>
            </w:r>
            <w:r w:rsidR="00A107FF">
              <w:rPr>
                <w:noProof/>
                <w:webHidden/>
              </w:rPr>
              <w:instrText xml:space="preserve"> PAGEREF _Toc51762274 \h </w:instrText>
            </w:r>
            <w:r w:rsidR="00A107FF">
              <w:rPr>
                <w:noProof/>
                <w:webHidden/>
              </w:rPr>
            </w:r>
            <w:r w:rsidR="00A107FF">
              <w:rPr>
                <w:noProof/>
                <w:webHidden/>
              </w:rPr>
              <w:fldChar w:fldCharType="separate"/>
            </w:r>
            <w:r>
              <w:rPr>
                <w:noProof/>
                <w:webHidden/>
              </w:rPr>
              <w:t>4</w:t>
            </w:r>
            <w:r w:rsidR="00A107FF">
              <w:rPr>
                <w:noProof/>
                <w:webHidden/>
              </w:rPr>
              <w:fldChar w:fldCharType="end"/>
            </w:r>
          </w:hyperlink>
        </w:p>
        <w:p w14:paraId="27E39AFB" w14:textId="28DBC298" w:rsidR="00A107FF" w:rsidRDefault="00EC061C">
          <w:pPr>
            <w:pStyle w:val="TOC2"/>
            <w:rPr>
              <w:rFonts w:eastAsiaTheme="minorEastAsia"/>
              <w:noProof/>
              <w:lang w:eastAsia="en-AU"/>
            </w:rPr>
          </w:pPr>
          <w:hyperlink w:anchor="_Toc51762275" w:history="1">
            <w:r w:rsidR="00A107FF" w:rsidRPr="00877F8D">
              <w:rPr>
                <w:rStyle w:val="Hyperlink"/>
                <w:noProof/>
              </w:rPr>
              <w:t>Transferring Credits due to Site Closure or Reduction of Business Share</w:t>
            </w:r>
            <w:r w:rsidR="00A107FF">
              <w:rPr>
                <w:noProof/>
                <w:webHidden/>
              </w:rPr>
              <w:tab/>
            </w:r>
            <w:r w:rsidR="00A107FF">
              <w:rPr>
                <w:noProof/>
                <w:webHidden/>
              </w:rPr>
              <w:fldChar w:fldCharType="begin"/>
            </w:r>
            <w:r w:rsidR="00A107FF">
              <w:rPr>
                <w:noProof/>
                <w:webHidden/>
              </w:rPr>
              <w:instrText xml:space="preserve"> PAGEREF _Toc51762275 \h </w:instrText>
            </w:r>
            <w:r w:rsidR="00A107FF">
              <w:rPr>
                <w:noProof/>
                <w:webHidden/>
              </w:rPr>
            </w:r>
            <w:r w:rsidR="00A107FF">
              <w:rPr>
                <w:noProof/>
                <w:webHidden/>
              </w:rPr>
              <w:fldChar w:fldCharType="separate"/>
            </w:r>
            <w:r>
              <w:rPr>
                <w:noProof/>
                <w:webHidden/>
              </w:rPr>
              <w:t>4</w:t>
            </w:r>
            <w:r w:rsidR="00A107FF">
              <w:rPr>
                <w:noProof/>
                <w:webHidden/>
              </w:rPr>
              <w:fldChar w:fldCharType="end"/>
            </w:r>
          </w:hyperlink>
        </w:p>
        <w:p w14:paraId="61BD67BF" w14:textId="51B76D3D" w:rsidR="00A107FF" w:rsidRDefault="00EC061C">
          <w:pPr>
            <w:pStyle w:val="TOC1"/>
            <w:rPr>
              <w:rFonts w:eastAsiaTheme="minorEastAsia"/>
              <w:noProof/>
              <w:lang w:eastAsia="en-AU"/>
            </w:rPr>
          </w:pPr>
          <w:hyperlink w:anchor="_Toc51762276" w:history="1">
            <w:r w:rsidR="00A107FF" w:rsidRPr="00877F8D">
              <w:rPr>
                <w:rStyle w:val="Hyperlink"/>
                <w:noProof/>
              </w:rPr>
              <w:t>3.</w:t>
            </w:r>
            <w:r w:rsidR="00A107FF">
              <w:rPr>
                <w:rFonts w:eastAsiaTheme="minorEastAsia"/>
                <w:noProof/>
                <w:lang w:eastAsia="en-AU"/>
              </w:rPr>
              <w:tab/>
            </w:r>
            <w:r w:rsidR="00A107FF" w:rsidRPr="00877F8D">
              <w:rPr>
                <w:rStyle w:val="Hyperlink"/>
                <w:noProof/>
              </w:rPr>
              <w:t>Determining who is eligible</w:t>
            </w:r>
            <w:r w:rsidR="00A107FF">
              <w:rPr>
                <w:noProof/>
                <w:webHidden/>
              </w:rPr>
              <w:tab/>
            </w:r>
            <w:r w:rsidR="00A107FF">
              <w:rPr>
                <w:noProof/>
                <w:webHidden/>
              </w:rPr>
              <w:fldChar w:fldCharType="begin"/>
            </w:r>
            <w:r w:rsidR="00A107FF">
              <w:rPr>
                <w:noProof/>
                <w:webHidden/>
              </w:rPr>
              <w:instrText xml:space="preserve"> PAGEREF _Toc51762276 \h </w:instrText>
            </w:r>
            <w:r w:rsidR="00A107FF">
              <w:rPr>
                <w:noProof/>
                <w:webHidden/>
              </w:rPr>
            </w:r>
            <w:r w:rsidR="00A107FF">
              <w:rPr>
                <w:noProof/>
                <w:webHidden/>
              </w:rPr>
              <w:fldChar w:fldCharType="separate"/>
            </w:r>
            <w:r>
              <w:rPr>
                <w:noProof/>
                <w:webHidden/>
              </w:rPr>
              <w:t>5</w:t>
            </w:r>
            <w:r w:rsidR="00A107FF">
              <w:rPr>
                <w:noProof/>
                <w:webHidden/>
              </w:rPr>
              <w:fldChar w:fldCharType="end"/>
            </w:r>
          </w:hyperlink>
        </w:p>
        <w:p w14:paraId="3A41FF0D" w14:textId="20C803CF" w:rsidR="00A107FF" w:rsidRDefault="00EC061C">
          <w:pPr>
            <w:pStyle w:val="TOC1"/>
            <w:rPr>
              <w:rFonts w:eastAsiaTheme="minorEastAsia"/>
              <w:noProof/>
              <w:lang w:eastAsia="en-AU"/>
            </w:rPr>
          </w:pPr>
          <w:hyperlink w:anchor="_Toc51762277" w:history="1">
            <w:r w:rsidR="00A107FF" w:rsidRPr="00877F8D">
              <w:rPr>
                <w:rStyle w:val="Hyperlink"/>
                <w:noProof/>
              </w:rPr>
              <w:t>4.</w:t>
            </w:r>
            <w:r w:rsidR="00A107FF">
              <w:rPr>
                <w:rFonts w:eastAsiaTheme="minorEastAsia"/>
                <w:noProof/>
                <w:lang w:eastAsia="en-AU"/>
              </w:rPr>
              <w:tab/>
            </w:r>
            <w:r w:rsidR="00A107FF" w:rsidRPr="00877F8D">
              <w:rPr>
                <w:rStyle w:val="Hyperlink"/>
                <w:noProof/>
              </w:rPr>
              <w:t>Making eligible Purchases</w:t>
            </w:r>
            <w:r w:rsidR="00A107FF">
              <w:rPr>
                <w:noProof/>
                <w:webHidden/>
              </w:rPr>
              <w:tab/>
            </w:r>
            <w:r w:rsidR="00A107FF">
              <w:rPr>
                <w:noProof/>
                <w:webHidden/>
              </w:rPr>
              <w:fldChar w:fldCharType="begin"/>
            </w:r>
            <w:r w:rsidR="00A107FF">
              <w:rPr>
                <w:noProof/>
                <w:webHidden/>
              </w:rPr>
              <w:instrText xml:space="preserve"> PAGEREF _Toc51762277 \h </w:instrText>
            </w:r>
            <w:r w:rsidR="00A107FF">
              <w:rPr>
                <w:noProof/>
                <w:webHidden/>
              </w:rPr>
            </w:r>
            <w:r w:rsidR="00A107FF">
              <w:rPr>
                <w:noProof/>
                <w:webHidden/>
              </w:rPr>
              <w:fldChar w:fldCharType="separate"/>
            </w:r>
            <w:r>
              <w:rPr>
                <w:noProof/>
                <w:webHidden/>
              </w:rPr>
              <w:t>5</w:t>
            </w:r>
            <w:r w:rsidR="00A107FF">
              <w:rPr>
                <w:noProof/>
                <w:webHidden/>
              </w:rPr>
              <w:fldChar w:fldCharType="end"/>
            </w:r>
          </w:hyperlink>
        </w:p>
        <w:p w14:paraId="10E26872" w14:textId="1BD92EAD" w:rsidR="00A107FF" w:rsidRDefault="00EC061C">
          <w:pPr>
            <w:pStyle w:val="TOC2"/>
            <w:rPr>
              <w:rFonts w:eastAsiaTheme="minorEastAsia"/>
              <w:noProof/>
              <w:lang w:eastAsia="en-AU"/>
            </w:rPr>
          </w:pPr>
          <w:hyperlink w:anchor="_Toc51762278" w:history="1">
            <w:r w:rsidR="00A107FF" w:rsidRPr="00877F8D">
              <w:rPr>
                <w:rStyle w:val="Hyperlink"/>
                <w:noProof/>
              </w:rPr>
              <w:t>Determining what is an Eligible Purchase</w:t>
            </w:r>
            <w:r w:rsidR="00A107FF">
              <w:rPr>
                <w:noProof/>
                <w:webHidden/>
              </w:rPr>
              <w:tab/>
            </w:r>
            <w:r w:rsidR="00A107FF">
              <w:rPr>
                <w:noProof/>
                <w:webHidden/>
              </w:rPr>
              <w:fldChar w:fldCharType="begin"/>
            </w:r>
            <w:r w:rsidR="00A107FF">
              <w:rPr>
                <w:noProof/>
                <w:webHidden/>
              </w:rPr>
              <w:instrText xml:space="preserve"> PAGEREF _Toc51762278 \h </w:instrText>
            </w:r>
            <w:r w:rsidR="00A107FF">
              <w:rPr>
                <w:noProof/>
                <w:webHidden/>
              </w:rPr>
            </w:r>
            <w:r w:rsidR="00A107FF">
              <w:rPr>
                <w:noProof/>
                <w:webHidden/>
              </w:rPr>
              <w:fldChar w:fldCharType="separate"/>
            </w:r>
            <w:r>
              <w:rPr>
                <w:noProof/>
                <w:webHidden/>
              </w:rPr>
              <w:t>5</w:t>
            </w:r>
            <w:r w:rsidR="00A107FF">
              <w:rPr>
                <w:noProof/>
                <w:webHidden/>
              </w:rPr>
              <w:fldChar w:fldCharType="end"/>
            </w:r>
          </w:hyperlink>
        </w:p>
        <w:p w14:paraId="58CDA545" w14:textId="3DF45671" w:rsidR="00A107FF" w:rsidRDefault="00EC061C">
          <w:pPr>
            <w:pStyle w:val="TOC2"/>
            <w:rPr>
              <w:rFonts w:eastAsiaTheme="minorEastAsia"/>
              <w:noProof/>
              <w:lang w:eastAsia="en-AU"/>
            </w:rPr>
          </w:pPr>
          <w:hyperlink w:anchor="_Toc51762279" w:history="1">
            <w:r w:rsidR="00A107FF" w:rsidRPr="00877F8D">
              <w:rPr>
                <w:rStyle w:val="Hyperlink"/>
                <w:noProof/>
              </w:rPr>
              <w:t>Meeting the Employment Fund Principles</w:t>
            </w:r>
            <w:r w:rsidR="00A107FF">
              <w:rPr>
                <w:noProof/>
                <w:webHidden/>
              </w:rPr>
              <w:tab/>
            </w:r>
            <w:r w:rsidR="00A107FF">
              <w:rPr>
                <w:noProof/>
                <w:webHidden/>
              </w:rPr>
              <w:fldChar w:fldCharType="begin"/>
            </w:r>
            <w:r w:rsidR="00A107FF">
              <w:rPr>
                <w:noProof/>
                <w:webHidden/>
              </w:rPr>
              <w:instrText xml:space="preserve"> PAGEREF _Toc51762279 \h </w:instrText>
            </w:r>
            <w:r w:rsidR="00A107FF">
              <w:rPr>
                <w:noProof/>
                <w:webHidden/>
              </w:rPr>
            </w:r>
            <w:r w:rsidR="00A107FF">
              <w:rPr>
                <w:noProof/>
                <w:webHidden/>
              </w:rPr>
              <w:fldChar w:fldCharType="separate"/>
            </w:r>
            <w:r>
              <w:rPr>
                <w:noProof/>
                <w:webHidden/>
              </w:rPr>
              <w:t>6</w:t>
            </w:r>
            <w:r w:rsidR="00A107FF">
              <w:rPr>
                <w:noProof/>
                <w:webHidden/>
              </w:rPr>
              <w:fldChar w:fldCharType="end"/>
            </w:r>
          </w:hyperlink>
        </w:p>
        <w:p w14:paraId="644A2952" w14:textId="10D2C3DA" w:rsidR="00A107FF" w:rsidRDefault="00EC061C">
          <w:pPr>
            <w:pStyle w:val="TOC2"/>
            <w:rPr>
              <w:rFonts w:eastAsiaTheme="minorEastAsia"/>
              <w:noProof/>
              <w:lang w:eastAsia="en-AU"/>
            </w:rPr>
          </w:pPr>
          <w:hyperlink w:anchor="_Toc51762280" w:history="1">
            <w:r w:rsidR="00A107FF" w:rsidRPr="00877F8D">
              <w:rPr>
                <w:rStyle w:val="Hyperlink"/>
                <w:noProof/>
              </w:rPr>
              <w:t>Determining what is a Prohibited Purchase</w:t>
            </w:r>
            <w:r w:rsidR="00A107FF">
              <w:rPr>
                <w:noProof/>
                <w:webHidden/>
              </w:rPr>
              <w:tab/>
            </w:r>
            <w:r w:rsidR="00A107FF">
              <w:rPr>
                <w:noProof/>
                <w:webHidden/>
              </w:rPr>
              <w:fldChar w:fldCharType="begin"/>
            </w:r>
            <w:r w:rsidR="00A107FF">
              <w:rPr>
                <w:noProof/>
                <w:webHidden/>
              </w:rPr>
              <w:instrText xml:space="preserve"> PAGEREF _Toc51762280 \h </w:instrText>
            </w:r>
            <w:r w:rsidR="00A107FF">
              <w:rPr>
                <w:noProof/>
                <w:webHidden/>
              </w:rPr>
            </w:r>
            <w:r w:rsidR="00A107FF">
              <w:rPr>
                <w:noProof/>
                <w:webHidden/>
              </w:rPr>
              <w:fldChar w:fldCharType="separate"/>
            </w:r>
            <w:r>
              <w:rPr>
                <w:noProof/>
                <w:webHidden/>
              </w:rPr>
              <w:t>6</w:t>
            </w:r>
            <w:r w:rsidR="00A107FF">
              <w:rPr>
                <w:noProof/>
                <w:webHidden/>
              </w:rPr>
              <w:fldChar w:fldCharType="end"/>
            </w:r>
          </w:hyperlink>
        </w:p>
        <w:p w14:paraId="0C202627" w14:textId="03471651" w:rsidR="00A107FF" w:rsidRDefault="00EC061C">
          <w:pPr>
            <w:pStyle w:val="TOC1"/>
            <w:rPr>
              <w:rFonts w:eastAsiaTheme="minorEastAsia"/>
              <w:noProof/>
              <w:lang w:eastAsia="en-AU"/>
            </w:rPr>
          </w:pPr>
          <w:hyperlink w:anchor="_Toc51762281" w:history="1">
            <w:r w:rsidR="00A107FF" w:rsidRPr="00877F8D">
              <w:rPr>
                <w:rStyle w:val="Hyperlink"/>
                <w:noProof/>
              </w:rPr>
              <w:t>5.</w:t>
            </w:r>
            <w:r w:rsidR="00A107FF">
              <w:rPr>
                <w:rFonts w:eastAsiaTheme="minorEastAsia"/>
                <w:noProof/>
                <w:lang w:eastAsia="en-AU"/>
              </w:rPr>
              <w:tab/>
            </w:r>
            <w:r w:rsidR="00A107FF" w:rsidRPr="00877F8D">
              <w:rPr>
                <w:rStyle w:val="Hyperlink"/>
                <w:noProof/>
              </w:rPr>
              <w:t>Claiming Reimbursement</w:t>
            </w:r>
            <w:r w:rsidR="00A107FF">
              <w:rPr>
                <w:noProof/>
                <w:webHidden/>
              </w:rPr>
              <w:tab/>
            </w:r>
            <w:r w:rsidR="00A107FF">
              <w:rPr>
                <w:noProof/>
                <w:webHidden/>
              </w:rPr>
              <w:fldChar w:fldCharType="begin"/>
            </w:r>
            <w:r w:rsidR="00A107FF">
              <w:rPr>
                <w:noProof/>
                <w:webHidden/>
              </w:rPr>
              <w:instrText xml:space="preserve"> PAGEREF _Toc51762281 \h </w:instrText>
            </w:r>
            <w:r w:rsidR="00A107FF">
              <w:rPr>
                <w:noProof/>
                <w:webHidden/>
              </w:rPr>
            </w:r>
            <w:r w:rsidR="00A107FF">
              <w:rPr>
                <w:noProof/>
                <w:webHidden/>
              </w:rPr>
              <w:fldChar w:fldCharType="separate"/>
            </w:r>
            <w:r>
              <w:rPr>
                <w:noProof/>
                <w:webHidden/>
              </w:rPr>
              <w:t>8</w:t>
            </w:r>
            <w:r w:rsidR="00A107FF">
              <w:rPr>
                <w:noProof/>
                <w:webHidden/>
              </w:rPr>
              <w:fldChar w:fldCharType="end"/>
            </w:r>
          </w:hyperlink>
        </w:p>
        <w:p w14:paraId="48646735" w14:textId="18DF97EC" w:rsidR="00A107FF" w:rsidRDefault="00EC061C">
          <w:pPr>
            <w:pStyle w:val="TOC2"/>
            <w:rPr>
              <w:rFonts w:eastAsiaTheme="minorEastAsia"/>
              <w:noProof/>
              <w:lang w:eastAsia="en-AU"/>
            </w:rPr>
          </w:pPr>
          <w:hyperlink w:anchor="_Toc51762282" w:history="1">
            <w:r w:rsidR="00A107FF" w:rsidRPr="00877F8D">
              <w:rPr>
                <w:rStyle w:val="Hyperlink"/>
                <w:noProof/>
              </w:rPr>
              <w:t>Claiming Reimbursements for Wage Subsidies</w:t>
            </w:r>
            <w:r w:rsidR="00A107FF">
              <w:rPr>
                <w:noProof/>
                <w:webHidden/>
              </w:rPr>
              <w:tab/>
            </w:r>
            <w:r w:rsidR="00A107FF">
              <w:rPr>
                <w:noProof/>
                <w:webHidden/>
              </w:rPr>
              <w:fldChar w:fldCharType="begin"/>
            </w:r>
            <w:r w:rsidR="00A107FF">
              <w:rPr>
                <w:noProof/>
                <w:webHidden/>
              </w:rPr>
              <w:instrText xml:space="preserve"> PAGEREF _Toc51762282 \h </w:instrText>
            </w:r>
            <w:r w:rsidR="00A107FF">
              <w:rPr>
                <w:noProof/>
                <w:webHidden/>
              </w:rPr>
            </w:r>
            <w:r w:rsidR="00A107FF">
              <w:rPr>
                <w:noProof/>
                <w:webHidden/>
              </w:rPr>
              <w:fldChar w:fldCharType="separate"/>
            </w:r>
            <w:r>
              <w:rPr>
                <w:noProof/>
                <w:webHidden/>
              </w:rPr>
              <w:t>8</w:t>
            </w:r>
            <w:r w:rsidR="00A107FF">
              <w:rPr>
                <w:noProof/>
                <w:webHidden/>
              </w:rPr>
              <w:fldChar w:fldCharType="end"/>
            </w:r>
          </w:hyperlink>
        </w:p>
        <w:p w14:paraId="4ED82934" w14:textId="63612B09" w:rsidR="00A107FF" w:rsidRDefault="00EC061C">
          <w:pPr>
            <w:pStyle w:val="TOC2"/>
            <w:rPr>
              <w:rFonts w:eastAsiaTheme="minorEastAsia"/>
              <w:noProof/>
              <w:lang w:eastAsia="en-AU"/>
            </w:rPr>
          </w:pPr>
          <w:hyperlink w:anchor="_Toc51762283" w:history="1">
            <w:r w:rsidR="00A107FF" w:rsidRPr="00877F8D">
              <w:rPr>
                <w:rStyle w:val="Hyperlink"/>
                <w:noProof/>
              </w:rPr>
              <w:t>Entering the correct Dates</w:t>
            </w:r>
            <w:r w:rsidR="00A107FF">
              <w:rPr>
                <w:noProof/>
                <w:webHidden/>
              </w:rPr>
              <w:tab/>
            </w:r>
            <w:r w:rsidR="00A107FF">
              <w:rPr>
                <w:noProof/>
                <w:webHidden/>
              </w:rPr>
              <w:fldChar w:fldCharType="begin"/>
            </w:r>
            <w:r w:rsidR="00A107FF">
              <w:rPr>
                <w:noProof/>
                <w:webHidden/>
              </w:rPr>
              <w:instrText xml:space="preserve"> PAGEREF _Toc51762283 \h </w:instrText>
            </w:r>
            <w:r w:rsidR="00A107FF">
              <w:rPr>
                <w:noProof/>
                <w:webHidden/>
              </w:rPr>
            </w:r>
            <w:r w:rsidR="00A107FF">
              <w:rPr>
                <w:noProof/>
                <w:webHidden/>
              </w:rPr>
              <w:fldChar w:fldCharType="separate"/>
            </w:r>
            <w:r>
              <w:rPr>
                <w:noProof/>
                <w:webHidden/>
              </w:rPr>
              <w:t>9</w:t>
            </w:r>
            <w:r w:rsidR="00A107FF">
              <w:rPr>
                <w:noProof/>
                <w:webHidden/>
              </w:rPr>
              <w:fldChar w:fldCharType="end"/>
            </w:r>
          </w:hyperlink>
        </w:p>
        <w:p w14:paraId="55B19EA2" w14:textId="64E0A1D1" w:rsidR="00A107FF" w:rsidRDefault="00EC061C">
          <w:pPr>
            <w:pStyle w:val="TOC2"/>
            <w:rPr>
              <w:rFonts w:eastAsiaTheme="minorEastAsia"/>
              <w:noProof/>
              <w:lang w:eastAsia="en-AU"/>
            </w:rPr>
          </w:pPr>
          <w:hyperlink w:anchor="_Toc51762284" w:history="1">
            <w:r w:rsidR="00A107FF" w:rsidRPr="00877F8D">
              <w:rPr>
                <w:rStyle w:val="Hyperlink"/>
                <w:noProof/>
              </w:rPr>
              <w:t>Determining the correct GST Treatment</w:t>
            </w:r>
            <w:r w:rsidR="00A107FF">
              <w:rPr>
                <w:noProof/>
                <w:webHidden/>
              </w:rPr>
              <w:tab/>
            </w:r>
            <w:r w:rsidR="00A107FF">
              <w:rPr>
                <w:noProof/>
                <w:webHidden/>
              </w:rPr>
              <w:fldChar w:fldCharType="begin"/>
            </w:r>
            <w:r w:rsidR="00A107FF">
              <w:rPr>
                <w:noProof/>
                <w:webHidden/>
              </w:rPr>
              <w:instrText xml:space="preserve"> PAGEREF _Toc51762284 \h </w:instrText>
            </w:r>
            <w:r w:rsidR="00A107FF">
              <w:rPr>
                <w:noProof/>
                <w:webHidden/>
              </w:rPr>
            </w:r>
            <w:r w:rsidR="00A107FF">
              <w:rPr>
                <w:noProof/>
                <w:webHidden/>
              </w:rPr>
              <w:fldChar w:fldCharType="separate"/>
            </w:r>
            <w:r>
              <w:rPr>
                <w:noProof/>
                <w:webHidden/>
              </w:rPr>
              <w:t>9</w:t>
            </w:r>
            <w:r w:rsidR="00A107FF">
              <w:rPr>
                <w:noProof/>
                <w:webHidden/>
              </w:rPr>
              <w:fldChar w:fldCharType="end"/>
            </w:r>
          </w:hyperlink>
        </w:p>
        <w:p w14:paraId="1A1F9887" w14:textId="32D05901" w:rsidR="00A107FF" w:rsidRDefault="00EC061C">
          <w:pPr>
            <w:pStyle w:val="TOC3"/>
            <w:rPr>
              <w:rFonts w:eastAsiaTheme="minorEastAsia"/>
              <w:noProof/>
              <w:lang w:eastAsia="en-AU"/>
            </w:rPr>
          </w:pPr>
          <w:hyperlink w:anchor="_Toc51762285" w:history="1">
            <w:r w:rsidR="00A107FF" w:rsidRPr="00877F8D">
              <w:rPr>
                <w:rStyle w:val="Hyperlink"/>
                <w:noProof/>
              </w:rPr>
              <w:t>Reimbursing Goods or Services purchased from a third party supplier</w:t>
            </w:r>
            <w:r w:rsidR="00A107FF">
              <w:rPr>
                <w:noProof/>
                <w:webHidden/>
              </w:rPr>
              <w:tab/>
            </w:r>
            <w:r w:rsidR="00A107FF">
              <w:rPr>
                <w:noProof/>
                <w:webHidden/>
              </w:rPr>
              <w:fldChar w:fldCharType="begin"/>
            </w:r>
            <w:r w:rsidR="00A107FF">
              <w:rPr>
                <w:noProof/>
                <w:webHidden/>
              </w:rPr>
              <w:instrText xml:space="preserve"> PAGEREF _Toc51762285 \h </w:instrText>
            </w:r>
            <w:r w:rsidR="00A107FF">
              <w:rPr>
                <w:noProof/>
                <w:webHidden/>
              </w:rPr>
            </w:r>
            <w:r w:rsidR="00A107FF">
              <w:rPr>
                <w:noProof/>
                <w:webHidden/>
              </w:rPr>
              <w:fldChar w:fldCharType="separate"/>
            </w:r>
            <w:r>
              <w:rPr>
                <w:noProof/>
                <w:webHidden/>
              </w:rPr>
              <w:t>9</w:t>
            </w:r>
            <w:r w:rsidR="00A107FF">
              <w:rPr>
                <w:noProof/>
                <w:webHidden/>
              </w:rPr>
              <w:fldChar w:fldCharType="end"/>
            </w:r>
          </w:hyperlink>
        </w:p>
        <w:p w14:paraId="492B2731" w14:textId="7BA55739" w:rsidR="00A107FF" w:rsidRDefault="00EC061C">
          <w:pPr>
            <w:pStyle w:val="TOC3"/>
            <w:rPr>
              <w:rFonts w:eastAsiaTheme="minorEastAsia"/>
              <w:noProof/>
              <w:lang w:eastAsia="en-AU"/>
            </w:rPr>
          </w:pPr>
          <w:hyperlink w:anchor="_Toc51762286" w:history="1">
            <w:r w:rsidR="00A107FF" w:rsidRPr="00877F8D">
              <w:rPr>
                <w:rStyle w:val="Hyperlink"/>
                <w:noProof/>
              </w:rPr>
              <w:t>Reimbursing Goods or Services purchased by a Participant</w:t>
            </w:r>
            <w:r w:rsidR="00A107FF">
              <w:rPr>
                <w:noProof/>
                <w:webHidden/>
              </w:rPr>
              <w:tab/>
            </w:r>
            <w:r w:rsidR="00A107FF">
              <w:rPr>
                <w:noProof/>
                <w:webHidden/>
              </w:rPr>
              <w:fldChar w:fldCharType="begin"/>
            </w:r>
            <w:r w:rsidR="00A107FF">
              <w:rPr>
                <w:noProof/>
                <w:webHidden/>
              </w:rPr>
              <w:instrText xml:space="preserve"> PAGEREF _Toc51762286 \h </w:instrText>
            </w:r>
            <w:r w:rsidR="00A107FF">
              <w:rPr>
                <w:noProof/>
                <w:webHidden/>
              </w:rPr>
            </w:r>
            <w:r w:rsidR="00A107FF">
              <w:rPr>
                <w:noProof/>
                <w:webHidden/>
              </w:rPr>
              <w:fldChar w:fldCharType="separate"/>
            </w:r>
            <w:r>
              <w:rPr>
                <w:noProof/>
                <w:webHidden/>
              </w:rPr>
              <w:t>10</w:t>
            </w:r>
            <w:r w:rsidR="00A107FF">
              <w:rPr>
                <w:noProof/>
                <w:webHidden/>
              </w:rPr>
              <w:fldChar w:fldCharType="end"/>
            </w:r>
          </w:hyperlink>
        </w:p>
        <w:p w14:paraId="178B6CD4" w14:textId="31F8BF80" w:rsidR="00A107FF" w:rsidRDefault="00EC061C">
          <w:pPr>
            <w:pStyle w:val="TOC1"/>
            <w:rPr>
              <w:rFonts w:eastAsiaTheme="minorEastAsia"/>
              <w:noProof/>
              <w:lang w:eastAsia="en-AU"/>
            </w:rPr>
          </w:pPr>
          <w:hyperlink w:anchor="_Toc51762287" w:history="1">
            <w:r w:rsidR="00A107FF" w:rsidRPr="00877F8D">
              <w:rPr>
                <w:rStyle w:val="Hyperlink"/>
                <w:noProof/>
              </w:rPr>
              <w:t>6.</w:t>
            </w:r>
            <w:r w:rsidR="00A107FF">
              <w:rPr>
                <w:rFonts w:eastAsiaTheme="minorEastAsia"/>
                <w:noProof/>
                <w:lang w:eastAsia="en-AU"/>
              </w:rPr>
              <w:tab/>
            </w:r>
            <w:r w:rsidR="00A107FF" w:rsidRPr="00877F8D">
              <w:rPr>
                <w:rStyle w:val="Hyperlink"/>
                <w:noProof/>
              </w:rPr>
              <w:t>Purchasing Goods or Services in Bulk</w:t>
            </w:r>
            <w:r w:rsidR="00A107FF">
              <w:rPr>
                <w:noProof/>
                <w:webHidden/>
              </w:rPr>
              <w:tab/>
            </w:r>
            <w:r w:rsidR="00A107FF">
              <w:rPr>
                <w:noProof/>
                <w:webHidden/>
              </w:rPr>
              <w:fldChar w:fldCharType="begin"/>
            </w:r>
            <w:r w:rsidR="00A107FF">
              <w:rPr>
                <w:noProof/>
                <w:webHidden/>
              </w:rPr>
              <w:instrText xml:space="preserve"> PAGEREF _Toc51762287 \h </w:instrText>
            </w:r>
            <w:r w:rsidR="00A107FF">
              <w:rPr>
                <w:noProof/>
                <w:webHidden/>
              </w:rPr>
            </w:r>
            <w:r w:rsidR="00A107FF">
              <w:rPr>
                <w:noProof/>
                <w:webHidden/>
              </w:rPr>
              <w:fldChar w:fldCharType="separate"/>
            </w:r>
            <w:r>
              <w:rPr>
                <w:noProof/>
                <w:webHidden/>
              </w:rPr>
              <w:t>11</w:t>
            </w:r>
            <w:r w:rsidR="00A107FF">
              <w:rPr>
                <w:noProof/>
                <w:webHidden/>
              </w:rPr>
              <w:fldChar w:fldCharType="end"/>
            </w:r>
          </w:hyperlink>
        </w:p>
        <w:p w14:paraId="5ADAB550" w14:textId="14B18EA8" w:rsidR="00A107FF" w:rsidRDefault="00EC061C">
          <w:pPr>
            <w:pStyle w:val="TOC2"/>
            <w:rPr>
              <w:rFonts w:eastAsiaTheme="minorEastAsia"/>
              <w:noProof/>
              <w:lang w:eastAsia="en-AU"/>
            </w:rPr>
          </w:pPr>
          <w:hyperlink w:anchor="_Toc51762288" w:history="1">
            <w:r w:rsidR="00A107FF" w:rsidRPr="00877F8D">
              <w:rPr>
                <w:rStyle w:val="Hyperlink"/>
                <w:noProof/>
              </w:rPr>
              <w:t>Making Bulk Purchases</w:t>
            </w:r>
            <w:r w:rsidR="00A107FF">
              <w:rPr>
                <w:noProof/>
                <w:webHidden/>
              </w:rPr>
              <w:tab/>
            </w:r>
            <w:r w:rsidR="00A107FF">
              <w:rPr>
                <w:noProof/>
                <w:webHidden/>
              </w:rPr>
              <w:fldChar w:fldCharType="begin"/>
            </w:r>
            <w:r w:rsidR="00A107FF">
              <w:rPr>
                <w:noProof/>
                <w:webHidden/>
              </w:rPr>
              <w:instrText xml:space="preserve"> PAGEREF _Toc51762288 \h </w:instrText>
            </w:r>
            <w:r w:rsidR="00A107FF">
              <w:rPr>
                <w:noProof/>
                <w:webHidden/>
              </w:rPr>
            </w:r>
            <w:r w:rsidR="00A107FF">
              <w:rPr>
                <w:noProof/>
                <w:webHidden/>
              </w:rPr>
              <w:fldChar w:fldCharType="separate"/>
            </w:r>
            <w:r>
              <w:rPr>
                <w:noProof/>
                <w:webHidden/>
              </w:rPr>
              <w:t>11</w:t>
            </w:r>
            <w:r w:rsidR="00A107FF">
              <w:rPr>
                <w:noProof/>
                <w:webHidden/>
              </w:rPr>
              <w:fldChar w:fldCharType="end"/>
            </w:r>
          </w:hyperlink>
        </w:p>
        <w:p w14:paraId="136AB607" w14:textId="61386A2D" w:rsidR="00A107FF" w:rsidRDefault="00EC061C">
          <w:pPr>
            <w:pStyle w:val="TOC3"/>
            <w:rPr>
              <w:rFonts w:eastAsiaTheme="minorEastAsia"/>
              <w:noProof/>
              <w:lang w:eastAsia="en-AU"/>
            </w:rPr>
          </w:pPr>
          <w:hyperlink w:anchor="_Toc51762289" w:history="1">
            <w:r w:rsidR="00A107FF" w:rsidRPr="00877F8D">
              <w:rPr>
                <w:rStyle w:val="Hyperlink"/>
                <w:noProof/>
              </w:rPr>
              <w:t>Determining Eligible Categories</w:t>
            </w:r>
            <w:r w:rsidR="00A107FF">
              <w:rPr>
                <w:noProof/>
                <w:webHidden/>
              </w:rPr>
              <w:tab/>
            </w:r>
            <w:r w:rsidR="00A107FF">
              <w:rPr>
                <w:noProof/>
                <w:webHidden/>
              </w:rPr>
              <w:fldChar w:fldCharType="begin"/>
            </w:r>
            <w:r w:rsidR="00A107FF">
              <w:rPr>
                <w:noProof/>
                <w:webHidden/>
              </w:rPr>
              <w:instrText xml:space="preserve"> PAGEREF _Toc51762289 \h </w:instrText>
            </w:r>
            <w:r w:rsidR="00A107FF">
              <w:rPr>
                <w:noProof/>
                <w:webHidden/>
              </w:rPr>
            </w:r>
            <w:r w:rsidR="00A107FF">
              <w:rPr>
                <w:noProof/>
                <w:webHidden/>
              </w:rPr>
              <w:fldChar w:fldCharType="separate"/>
            </w:r>
            <w:r>
              <w:rPr>
                <w:noProof/>
                <w:webHidden/>
              </w:rPr>
              <w:t>11</w:t>
            </w:r>
            <w:r w:rsidR="00A107FF">
              <w:rPr>
                <w:noProof/>
                <w:webHidden/>
              </w:rPr>
              <w:fldChar w:fldCharType="end"/>
            </w:r>
          </w:hyperlink>
        </w:p>
        <w:p w14:paraId="7FD5D699" w14:textId="6FFB3F4F" w:rsidR="00A107FF" w:rsidRDefault="00EC061C">
          <w:pPr>
            <w:pStyle w:val="TOC3"/>
            <w:rPr>
              <w:rFonts w:eastAsiaTheme="minorEastAsia"/>
              <w:noProof/>
              <w:lang w:eastAsia="en-AU"/>
            </w:rPr>
          </w:pPr>
          <w:hyperlink w:anchor="_Toc51762290" w:history="1">
            <w:r w:rsidR="00A107FF" w:rsidRPr="00877F8D">
              <w:rPr>
                <w:rStyle w:val="Hyperlink"/>
                <w:noProof/>
              </w:rPr>
              <w:t>Attributing Bulk Purchases to Participants</w:t>
            </w:r>
            <w:r w:rsidR="00A107FF">
              <w:rPr>
                <w:noProof/>
                <w:webHidden/>
              </w:rPr>
              <w:tab/>
            </w:r>
            <w:r w:rsidR="00A107FF">
              <w:rPr>
                <w:noProof/>
                <w:webHidden/>
              </w:rPr>
              <w:fldChar w:fldCharType="begin"/>
            </w:r>
            <w:r w:rsidR="00A107FF">
              <w:rPr>
                <w:noProof/>
                <w:webHidden/>
              </w:rPr>
              <w:instrText xml:space="preserve"> PAGEREF _Toc51762290 \h </w:instrText>
            </w:r>
            <w:r w:rsidR="00A107FF">
              <w:rPr>
                <w:noProof/>
                <w:webHidden/>
              </w:rPr>
            </w:r>
            <w:r w:rsidR="00A107FF">
              <w:rPr>
                <w:noProof/>
                <w:webHidden/>
              </w:rPr>
              <w:fldChar w:fldCharType="separate"/>
            </w:r>
            <w:r>
              <w:rPr>
                <w:noProof/>
                <w:webHidden/>
              </w:rPr>
              <w:t>11</w:t>
            </w:r>
            <w:r w:rsidR="00A107FF">
              <w:rPr>
                <w:noProof/>
                <w:webHidden/>
              </w:rPr>
              <w:fldChar w:fldCharType="end"/>
            </w:r>
          </w:hyperlink>
        </w:p>
        <w:p w14:paraId="4996A44B" w14:textId="09BB92F8" w:rsidR="00A107FF" w:rsidRDefault="00EC061C">
          <w:pPr>
            <w:pStyle w:val="TOC3"/>
            <w:rPr>
              <w:rFonts w:eastAsiaTheme="minorEastAsia"/>
              <w:noProof/>
              <w:lang w:eastAsia="en-AU"/>
            </w:rPr>
          </w:pPr>
          <w:hyperlink w:anchor="_Toc51762291" w:history="1">
            <w:r w:rsidR="00A107FF" w:rsidRPr="00877F8D">
              <w:rPr>
                <w:rStyle w:val="Hyperlink"/>
                <w:noProof/>
              </w:rPr>
              <w:t>Acquitting Bulk Purchases randomly selected by the Department</w:t>
            </w:r>
            <w:r w:rsidR="00A107FF">
              <w:rPr>
                <w:noProof/>
                <w:webHidden/>
              </w:rPr>
              <w:tab/>
            </w:r>
            <w:r w:rsidR="00A107FF">
              <w:rPr>
                <w:noProof/>
                <w:webHidden/>
              </w:rPr>
              <w:fldChar w:fldCharType="begin"/>
            </w:r>
            <w:r w:rsidR="00A107FF">
              <w:rPr>
                <w:noProof/>
                <w:webHidden/>
              </w:rPr>
              <w:instrText xml:space="preserve"> PAGEREF _Toc51762291 \h </w:instrText>
            </w:r>
            <w:r w:rsidR="00A107FF">
              <w:rPr>
                <w:noProof/>
                <w:webHidden/>
              </w:rPr>
            </w:r>
            <w:r w:rsidR="00A107FF">
              <w:rPr>
                <w:noProof/>
                <w:webHidden/>
              </w:rPr>
              <w:fldChar w:fldCharType="separate"/>
            </w:r>
            <w:r>
              <w:rPr>
                <w:noProof/>
                <w:webHidden/>
              </w:rPr>
              <w:t>12</w:t>
            </w:r>
            <w:r w:rsidR="00A107FF">
              <w:rPr>
                <w:noProof/>
                <w:webHidden/>
              </w:rPr>
              <w:fldChar w:fldCharType="end"/>
            </w:r>
          </w:hyperlink>
        </w:p>
        <w:p w14:paraId="33299CB3" w14:textId="6DF89669" w:rsidR="00A107FF" w:rsidRDefault="00EC061C">
          <w:pPr>
            <w:pStyle w:val="TOC1"/>
            <w:rPr>
              <w:rFonts w:eastAsiaTheme="minorEastAsia"/>
              <w:noProof/>
              <w:lang w:eastAsia="en-AU"/>
            </w:rPr>
          </w:pPr>
          <w:hyperlink w:anchor="_Toc51762292" w:history="1">
            <w:r w:rsidR="00A107FF" w:rsidRPr="00877F8D">
              <w:rPr>
                <w:rStyle w:val="Hyperlink"/>
                <w:noProof/>
              </w:rPr>
              <w:t>7.</w:t>
            </w:r>
            <w:r w:rsidR="00A107FF">
              <w:rPr>
                <w:rFonts w:eastAsiaTheme="minorEastAsia"/>
                <w:noProof/>
                <w:lang w:eastAsia="en-AU"/>
              </w:rPr>
              <w:tab/>
            </w:r>
            <w:r w:rsidR="00A107FF" w:rsidRPr="00877F8D">
              <w:rPr>
                <w:rStyle w:val="Hyperlink"/>
                <w:noProof/>
              </w:rPr>
              <w:t>Summary of required Documentary Evidence</w:t>
            </w:r>
            <w:r w:rsidR="00A107FF">
              <w:rPr>
                <w:noProof/>
                <w:webHidden/>
              </w:rPr>
              <w:tab/>
            </w:r>
            <w:r w:rsidR="00A107FF">
              <w:rPr>
                <w:noProof/>
                <w:webHidden/>
              </w:rPr>
              <w:fldChar w:fldCharType="begin"/>
            </w:r>
            <w:r w:rsidR="00A107FF">
              <w:rPr>
                <w:noProof/>
                <w:webHidden/>
              </w:rPr>
              <w:instrText xml:space="preserve"> PAGEREF _Toc51762292 \h </w:instrText>
            </w:r>
            <w:r w:rsidR="00A107FF">
              <w:rPr>
                <w:noProof/>
                <w:webHidden/>
              </w:rPr>
            </w:r>
            <w:r w:rsidR="00A107FF">
              <w:rPr>
                <w:noProof/>
                <w:webHidden/>
              </w:rPr>
              <w:fldChar w:fldCharType="separate"/>
            </w:r>
            <w:r>
              <w:rPr>
                <w:noProof/>
                <w:webHidden/>
              </w:rPr>
              <w:t>12</w:t>
            </w:r>
            <w:r w:rsidR="00A107FF">
              <w:rPr>
                <w:noProof/>
                <w:webHidden/>
              </w:rPr>
              <w:fldChar w:fldCharType="end"/>
            </w:r>
          </w:hyperlink>
        </w:p>
        <w:p w14:paraId="5E6D557E" w14:textId="7E89DAAA" w:rsidR="00A107FF" w:rsidRDefault="00EC061C">
          <w:pPr>
            <w:pStyle w:val="TOC2"/>
            <w:rPr>
              <w:rFonts w:eastAsiaTheme="minorEastAsia"/>
              <w:noProof/>
              <w:lang w:eastAsia="en-AU"/>
            </w:rPr>
          </w:pPr>
          <w:hyperlink w:anchor="_Toc51762293" w:history="1">
            <w:r w:rsidR="00A107FF" w:rsidRPr="00877F8D">
              <w:rPr>
                <w:rStyle w:val="Hyperlink"/>
                <w:noProof/>
              </w:rPr>
              <w:t>Evidence to be retained for Externally Supplied Services</w:t>
            </w:r>
            <w:r w:rsidR="00A107FF">
              <w:rPr>
                <w:noProof/>
                <w:webHidden/>
              </w:rPr>
              <w:tab/>
            </w:r>
            <w:r w:rsidR="00A107FF">
              <w:rPr>
                <w:noProof/>
                <w:webHidden/>
              </w:rPr>
              <w:fldChar w:fldCharType="begin"/>
            </w:r>
            <w:r w:rsidR="00A107FF">
              <w:rPr>
                <w:noProof/>
                <w:webHidden/>
              </w:rPr>
              <w:instrText xml:space="preserve"> PAGEREF _Toc51762293 \h </w:instrText>
            </w:r>
            <w:r w:rsidR="00A107FF">
              <w:rPr>
                <w:noProof/>
                <w:webHidden/>
              </w:rPr>
            </w:r>
            <w:r w:rsidR="00A107FF">
              <w:rPr>
                <w:noProof/>
                <w:webHidden/>
              </w:rPr>
              <w:fldChar w:fldCharType="separate"/>
            </w:r>
            <w:r>
              <w:rPr>
                <w:noProof/>
                <w:webHidden/>
              </w:rPr>
              <w:t>13</w:t>
            </w:r>
            <w:r w:rsidR="00A107FF">
              <w:rPr>
                <w:noProof/>
                <w:webHidden/>
              </w:rPr>
              <w:fldChar w:fldCharType="end"/>
            </w:r>
          </w:hyperlink>
        </w:p>
        <w:p w14:paraId="2375B424" w14:textId="75B43E13" w:rsidR="00A107FF" w:rsidRDefault="00EC061C">
          <w:pPr>
            <w:pStyle w:val="TOC3"/>
            <w:rPr>
              <w:rFonts w:eastAsiaTheme="minorEastAsia"/>
              <w:noProof/>
              <w:lang w:eastAsia="en-AU"/>
            </w:rPr>
          </w:pPr>
          <w:hyperlink w:anchor="_Toc51762294" w:history="1">
            <w:r w:rsidR="00A107FF" w:rsidRPr="00877F8D">
              <w:rPr>
                <w:rStyle w:val="Hyperlink"/>
                <w:noProof/>
              </w:rPr>
              <w:t>Evidence to be retained for Internally Supplied Services</w:t>
            </w:r>
            <w:r w:rsidR="00A107FF">
              <w:rPr>
                <w:noProof/>
                <w:webHidden/>
              </w:rPr>
              <w:tab/>
            </w:r>
            <w:r w:rsidR="00A107FF">
              <w:rPr>
                <w:noProof/>
                <w:webHidden/>
              </w:rPr>
              <w:fldChar w:fldCharType="begin"/>
            </w:r>
            <w:r w:rsidR="00A107FF">
              <w:rPr>
                <w:noProof/>
                <w:webHidden/>
              </w:rPr>
              <w:instrText xml:space="preserve"> PAGEREF _Toc51762294 \h </w:instrText>
            </w:r>
            <w:r w:rsidR="00A107FF">
              <w:rPr>
                <w:noProof/>
                <w:webHidden/>
              </w:rPr>
            </w:r>
            <w:r w:rsidR="00A107FF">
              <w:rPr>
                <w:noProof/>
                <w:webHidden/>
              </w:rPr>
              <w:fldChar w:fldCharType="separate"/>
            </w:r>
            <w:r>
              <w:rPr>
                <w:noProof/>
                <w:webHidden/>
              </w:rPr>
              <w:t>13</w:t>
            </w:r>
            <w:r w:rsidR="00A107FF">
              <w:rPr>
                <w:noProof/>
                <w:webHidden/>
              </w:rPr>
              <w:fldChar w:fldCharType="end"/>
            </w:r>
          </w:hyperlink>
        </w:p>
        <w:p w14:paraId="758C9C19" w14:textId="07760A98" w:rsidR="00A107FF" w:rsidRDefault="00EC061C">
          <w:pPr>
            <w:pStyle w:val="TOC1"/>
            <w:rPr>
              <w:rFonts w:eastAsiaTheme="minorEastAsia"/>
              <w:noProof/>
              <w:lang w:eastAsia="en-AU"/>
            </w:rPr>
          </w:pPr>
          <w:hyperlink w:anchor="_Toc51762295" w:history="1">
            <w:r w:rsidR="00A107FF" w:rsidRPr="00877F8D">
              <w:rPr>
                <w:rStyle w:val="Hyperlink"/>
                <w:noProof/>
              </w:rPr>
              <w:t>8.</w:t>
            </w:r>
            <w:r w:rsidR="00A107FF">
              <w:rPr>
                <w:rFonts w:eastAsiaTheme="minorEastAsia"/>
                <w:noProof/>
                <w:lang w:eastAsia="en-AU"/>
              </w:rPr>
              <w:tab/>
            </w:r>
            <w:r w:rsidR="00A107FF" w:rsidRPr="00877F8D">
              <w:rPr>
                <w:rStyle w:val="Hyperlink"/>
                <w:noProof/>
              </w:rPr>
              <w:t>Table 1 – Category Details and Documentary Evidence Requirements</w:t>
            </w:r>
            <w:r w:rsidR="00A107FF">
              <w:rPr>
                <w:noProof/>
                <w:webHidden/>
              </w:rPr>
              <w:tab/>
            </w:r>
            <w:r w:rsidR="00A107FF">
              <w:rPr>
                <w:noProof/>
                <w:webHidden/>
              </w:rPr>
              <w:fldChar w:fldCharType="begin"/>
            </w:r>
            <w:r w:rsidR="00A107FF">
              <w:rPr>
                <w:noProof/>
                <w:webHidden/>
              </w:rPr>
              <w:instrText xml:space="preserve"> PAGEREF _Toc51762295 \h </w:instrText>
            </w:r>
            <w:r w:rsidR="00A107FF">
              <w:rPr>
                <w:noProof/>
                <w:webHidden/>
              </w:rPr>
            </w:r>
            <w:r w:rsidR="00A107FF">
              <w:rPr>
                <w:noProof/>
                <w:webHidden/>
              </w:rPr>
              <w:fldChar w:fldCharType="separate"/>
            </w:r>
            <w:r>
              <w:rPr>
                <w:noProof/>
                <w:webHidden/>
              </w:rPr>
              <w:t>15</w:t>
            </w:r>
            <w:r w:rsidR="00A107FF">
              <w:rPr>
                <w:noProof/>
                <w:webHidden/>
              </w:rPr>
              <w:fldChar w:fldCharType="end"/>
            </w:r>
          </w:hyperlink>
        </w:p>
        <w:p w14:paraId="2E4D4ED0" w14:textId="300BE34C" w:rsidR="00A107FF" w:rsidRDefault="00EC061C">
          <w:pPr>
            <w:pStyle w:val="TOC1"/>
            <w:rPr>
              <w:rFonts w:eastAsiaTheme="minorEastAsia"/>
              <w:noProof/>
              <w:lang w:eastAsia="en-AU"/>
            </w:rPr>
          </w:pPr>
          <w:hyperlink w:anchor="_Toc51762296" w:history="1">
            <w:r w:rsidR="00A107FF" w:rsidRPr="00877F8D">
              <w:rPr>
                <w:rStyle w:val="Hyperlink"/>
                <w:noProof/>
              </w:rPr>
              <w:t>9.</w:t>
            </w:r>
            <w:r w:rsidR="00A107FF">
              <w:rPr>
                <w:rFonts w:eastAsiaTheme="minorEastAsia"/>
                <w:noProof/>
                <w:lang w:eastAsia="en-AU"/>
              </w:rPr>
              <w:tab/>
            </w:r>
            <w:r w:rsidR="00A107FF" w:rsidRPr="00877F8D">
              <w:rPr>
                <w:rStyle w:val="Hyperlink"/>
                <w:noProof/>
              </w:rPr>
              <w:t>Document Change History</w:t>
            </w:r>
            <w:r w:rsidR="00A107FF">
              <w:rPr>
                <w:noProof/>
                <w:webHidden/>
              </w:rPr>
              <w:tab/>
            </w:r>
            <w:r w:rsidR="00A107FF">
              <w:rPr>
                <w:noProof/>
                <w:webHidden/>
              </w:rPr>
              <w:fldChar w:fldCharType="begin"/>
            </w:r>
            <w:r w:rsidR="00A107FF">
              <w:rPr>
                <w:noProof/>
                <w:webHidden/>
              </w:rPr>
              <w:instrText xml:space="preserve"> PAGEREF _Toc51762296 \h </w:instrText>
            </w:r>
            <w:r w:rsidR="00A107FF">
              <w:rPr>
                <w:noProof/>
                <w:webHidden/>
              </w:rPr>
            </w:r>
            <w:r w:rsidR="00A107FF">
              <w:rPr>
                <w:noProof/>
                <w:webHidden/>
              </w:rPr>
              <w:fldChar w:fldCharType="separate"/>
            </w:r>
            <w:r>
              <w:rPr>
                <w:noProof/>
                <w:webHidden/>
              </w:rPr>
              <w:t>22</w:t>
            </w:r>
            <w:r w:rsidR="00A107FF">
              <w:rPr>
                <w:noProof/>
                <w:webHidden/>
              </w:rPr>
              <w:fldChar w:fldCharType="end"/>
            </w:r>
          </w:hyperlink>
        </w:p>
        <w:p w14:paraId="2AA2861B" w14:textId="4CE5EAE4" w:rsidR="00A623DF" w:rsidRDefault="00A623DF" w:rsidP="00A623DF">
          <w:r>
            <w:fldChar w:fldCharType="end"/>
          </w:r>
        </w:p>
      </w:sdtContent>
    </w:sdt>
    <w:p w14:paraId="37FF868A" w14:textId="77777777" w:rsidR="00A623DF" w:rsidRDefault="00A623DF" w:rsidP="00A623DF">
      <w:pPr>
        <w:rPr>
          <w:rFonts w:asciiTheme="majorHAnsi" w:eastAsiaTheme="majorEastAsia" w:hAnsiTheme="majorHAnsi" w:cstheme="majorBidi"/>
          <w:color w:val="2E74B5" w:themeColor="accent1" w:themeShade="BF"/>
          <w:sz w:val="32"/>
          <w:szCs w:val="32"/>
        </w:rPr>
      </w:pPr>
      <w:bookmarkStart w:id="1" w:name="_Toc468875600"/>
      <w:r>
        <w:br w:type="page"/>
      </w:r>
    </w:p>
    <w:p w14:paraId="60D9269C" w14:textId="77777777" w:rsidR="00A623DF" w:rsidRDefault="00A623DF" w:rsidP="00A623DF">
      <w:pPr>
        <w:pStyle w:val="Heading1"/>
        <w:numPr>
          <w:ilvl w:val="0"/>
          <w:numId w:val="7"/>
        </w:numPr>
      </w:pPr>
      <w:bookmarkStart w:id="2" w:name="_Crediting_the_Employment"/>
      <w:bookmarkStart w:id="3" w:name="_Toc21002793"/>
      <w:bookmarkStart w:id="4" w:name="_Toc51762270"/>
      <w:bookmarkEnd w:id="2"/>
      <w:r>
        <w:lastRenderedPageBreak/>
        <w:t>Crediting the Employment Fund General Account</w:t>
      </w:r>
      <w:bookmarkEnd w:id="1"/>
      <w:bookmarkEnd w:id="3"/>
      <w:bookmarkEnd w:id="4"/>
    </w:p>
    <w:p w14:paraId="05AB1DA5" w14:textId="77777777" w:rsidR="00262004" w:rsidRDefault="001F7464" w:rsidP="005D0151">
      <w:pPr>
        <w:pStyle w:val="guidelinetext"/>
      </w:pPr>
      <w:r>
        <w:t>Provider</w:t>
      </w:r>
      <w:r w:rsidR="00F12E0F">
        <w:t>s</w:t>
      </w:r>
      <w:r>
        <w:t xml:space="preserve"> receive </w:t>
      </w:r>
      <w:r w:rsidR="00F2140A">
        <w:t>c</w:t>
      </w:r>
      <w:r>
        <w:t xml:space="preserve">redits </w:t>
      </w:r>
      <w:r w:rsidR="00E31F93">
        <w:t>into their Employment Fund notional bank balance</w:t>
      </w:r>
      <w:r w:rsidR="00E31F93" w:rsidRPr="00E31F93">
        <w:t xml:space="preserve"> </w:t>
      </w:r>
      <w:r w:rsidR="00E31F93">
        <w:t>at the Provider Site level</w:t>
      </w:r>
      <w:r w:rsidR="00262004">
        <w:t xml:space="preserve">. </w:t>
      </w:r>
      <w:r>
        <w:t>T</w:t>
      </w:r>
      <w:r w:rsidR="00262004">
        <w:t xml:space="preserve">he amount credited is in line with Table </w:t>
      </w:r>
      <w:r w:rsidR="00E31F93">
        <w:t>1</w:t>
      </w:r>
      <w:r w:rsidR="0064172E">
        <w:t xml:space="preserve"> and Table 2</w:t>
      </w:r>
      <w:r w:rsidR="00262004">
        <w:t xml:space="preserve">, Annexure </w:t>
      </w:r>
      <w:r w:rsidR="00E31F93">
        <w:t>E1</w:t>
      </w:r>
      <w:r w:rsidR="00262004">
        <w:t xml:space="preserve"> of the </w:t>
      </w:r>
      <w:r w:rsidR="00E31F93">
        <w:t xml:space="preserve">New Employment Services Trial </w:t>
      </w:r>
      <w:r w:rsidR="00262004">
        <w:t>Deed</w:t>
      </w:r>
      <w:r w:rsidR="00E31F93">
        <w:t xml:space="preserve"> </w:t>
      </w:r>
      <w:r w:rsidR="00E22CB5">
        <w:t>2019–22</w:t>
      </w:r>
      <w:r w:rsidR="00262004">
        <w:t>.</w:t>
      </w:r>
    </w:p>
    <w:p w14:paraId="109CF6CC" w14:textId="0135A0AD" w:rsidR="00A623DF" w:rsidRPr="00F47427" w:rsidRDefault="00512F36" w:rsidP="005D0151">
      <w:pPr>
        <w:pStyle w:val="guidelinetext"/>
      </w:pPr>
      <w:r>
        <w:t>T</w:t>
      </w:r>
      <w:r w:rsidR="001B3472">
        <w:t xml:space="preserve">he Enhanced Services credit is allocated </w:t>
      </w:r>
      <w:r w:rsidR="0073618D">
        <w:t xml:space="preserve">once per Period of Unemployment </w:t>
      </w:r>
      <w:r w:rsidR="001B3472">
        <w:t xml:space="preserve">when a </w:t>
      </w:r>
      <w:r w:rsidR="009122DE">
        <w:t>P</w:t>
      </w:r>
      <w:r w:rsidR="001B3472">
        <w:t xml:space="preserve">articipant </w:t>
      </w:r>
      <w:r w:rsidR="0064172E">
        <w:t>Commence</w:t>
      </w:r>
      <w:r w:rsidR="00595CA5">
        <w:t>s</w:t>
      </w:r>
      <w:r w:rsidR="0064172E">
        <w:t xml:space="preserve"> in Enhanced Services Tier</w:t>
      </w:r>
      <w:r w:rsidR="005D1397">
        <w:t> </w:t>
      </w:r>
      <w:r w:rsidR="0064172E">
        <w:t>1 or Tier</w:t>
      </w:r>
      <w:r w:rsidR="005D1397">
        <w:t> </w:t>
      </w:r>
      <w:r w:rsidR="0064172E">
        <w:t>2</w:t>
      </w:r>
    </w:p>
    <w:p w14:paraId="70B497E5" w14:textId="77777777" w:rsidR="005D1397" w:rsidRDefault="00595CA5" w:rsidP="005D0151">
      <w:pPr>
        <w:pStyle w:val="guidelinetext"/>
      </w:pPr>
      <w:r>
        <w:t>Where a</w:t>
      </w:r>
      <w:r w:rsidR="005D1397">
        <w:t>n</w:t>
      </w:r>
      <w:r>
        <w:t xml:space="preserve"> Enhanced Services </w:t>
      </w:r>
      <w:r w:rsidR="0022687F">
        <w:t>Participant</w:t>
      </w:r>
      <w:r>
        <w:t xml:space="preserve"> transfers from Tier</w:t>
      </w:r>
      <w:r w:rsidR="005D1397">
        <w:t> </w:t>
      </w:r>
      <w:r>
        <w:t xml:space="preserve">1 to </w:t>
      </w:r>
      <w:r w:rsidR="005D1397">
        <w:t>Tier 2</w:t>
      </w:r>
      <w:r w:rsidR="004E3BCE">
        <w:t xml:space="preserve">, </w:t>
      </w:r>
      <w:r w:rsidR="005D1397">
        <w:t>or from Tier 2 to Tier 1, a</w:t>
      </w:r>
      <w:r>
        <w:t xml:space="preserve"> </w:t>
      </w:r>
      <w:r w:rsidR="003C09B5">
        <w:t xml:space="preserve">Provider is not allocated a </w:t>
      </w:r>
      <w:r>
        <w:t xml:space="preserve">second credit </w:t>
      </w:r>
      <w:r w:rsidR="003C09B5">
        <w:t>for</w:t>
      </w:r>
      <w:r w:rsidR="003B1DA7">
        <w:t xml:space="preserve"> the </w:t>
      </w:r>
      <w:r w:rsidR="0022687F">
        <w:t>Participant</w:t>
      </w:r>
      <w:r w:rsidR="005D1397">
        <w:t xml:space="preserve">. </w:t>
      </w:r>
    </w:p>
    <w:p w14:paraId="272DB7D0" w14:textId="74B859D7" w:rsidR="002C4631" w:rsidRDefault="00C77BDC" w:rsidP="005D0151">
      <w:pPr>
        <w:pStyle w:val="guidelinetext"/>
      </w:pPr>
      <w:r>
        <w:t xml:space="preserve">Where a </w:t>
      </w:r>
      <w:r w:rsidR="0022687F">
        <w:t>Participant</w:t>
      </w:r>
      <w:r>
        <w:t xml:space="preserve"> transfers from jobactive</w:t>
      </w:r>
      <w:r w:rsidR="00502144">
        <w:t>,</w:t>
      </w:r>
      <w:r w:rsidR="00420698">
        <w:t xml:space="preserve"> </w:t>
      </w:r>
      <w:r w:rsidR="00420698" w:rsidRPr="00744D2E">
        <w:t>Online Employment Service</w:t>
      </w:r>
      <w:r w:rsidR="00BD344E" w:rsidRPr="00744D2E">
        <w:t>s</w:t>
      </w:r>
      <w:r w:rsidR="00420698" w:rsidRPr="00744D2E">
        <w:t xml:space="preserve"> (</w:t>
      </w:r>
      <w:r w:rsidR="00EC0EB2" w:rsidRPr="00744D2E">
        <w:t>OES</w:t>
      </w:r>
      <w:r w:rsidR="00420698" w:rsidRPr="00744D2E">
        <w:t>)</w:t>
      </w:r>
      <w:r w:rsidR="00D234EE" w:rsidRPr="00744D2E">
        <w:t>,</w:t>
      </w:r>
      <w:r w:rsidR="00D234EE">
        <w:t xml:space="preserve"> </w:t>
      </w:r>
      <w:r w:rsidR="00A92170">
        <w:t xml:space="preserve">Volunteer </w:t>
      </w:r>
      <w:r w:rsidR="00D234EE">
        <w:t>Online Employment Services Trial</w:t>
      </w:r>
      <w:r w:rsidR="00177FBB">
        <w:t xml:space="preserve"> </w:t>
      </w:r>
      <w:r w:rsidR="00D234EE">
        <w:t>(VOEST)</w:t>
      </w:r>
      <w:r w:rsidR="00502144">
        <w:t xml:space="preserve"> or Digital Servicing</w:t>
      </w:r>
      <w:r>
        <w:t xml:space="preserve"> </w:t>
      </w:r>
      <w:r w:rsidR="008E021D">
        <w:t xml:space="preserve">and Commences </w:t>
      </w:r>
      <w:r w:rsidR="00CB5DC4">
        <w:t xml:space="preserve">with a </w:t>
      </w:r>
      <w:r w:rsidR="00D11951">
        <w:t>Provider</w:t>
      </w:r>
      <w:r w:rsidR="00F53302">
        <w:t xml:space="preserve">, credits </w:t>
      </w:r>
      <w:r w:rsidR="00502144">
        <w:t>for</w:t>
      </w:r>
      <w:r w:rsidR="00F53302">
        <w:t xml:space="preserve"> the </w:t>
      </w:r>
      <w:r w:rsidR="0022687F">
        <w:t>Participant</w:t>
      </w:r>
      <w:r w:rsidR="008E021D">
        <w:t>, are</w:t>
      </w:r>
      <w:r w:rsidR="00F53302">
        <w:t xml:space="preserve"> allocated </w:t>
      </w:r>
      <w:r w:rsidR="00502144">
        <w:t>as per above</w:t>
      </w:r>
      <w:r w:rsidR="00F53302">
        <w:t>.</w:t>
      </w:r>
      <w:r w:rsidR="007078D1">
        <w:t xml:space="preserve"> </w:t>
      </w:r>
    </w:p>
    <w:p w14:paraId="5A62A2B3" w14:textId="5F5B9300" w:rsidR="008F1D47" w:rsidRDefault="002C4631" w:rsidP="005D0151">
      <w:pPr>
        <w:pStyle w:val="guidelinetext"/>
      </w:pPr>
      <w:r w:rsidRPr="002C4631">
        <w:t xml:space="preserve">However, where a </w:t>
      </w:r>
      <w:r>
        <w:t>P</w:t>
      </w:r>
      <w:r w:rsidRPr="002C4631">
        <w:t>articipant transfers from jobactive</w:t>
      </w:r>
      <w:r>
        <w:t>, Digital Services</w:t>
      </w:r>
      <w:r w:rsidR="00D234EE">
        <w:t>,</w:t>
      </w:r>
      <w:r w:rsidR="00355644">
        <w:t xml:space="preserve"> </w:t>
      </w:r>
      <w:r>
        <w:t xml:space="preserve">the </w:t>
      </w:r>
      <w:r w:rsidRPr="00744D2E">
        <w:t>OES</w:t>
      </w:r>
      <w:r w:rsidR="00D234EE" w:rsidRPr="00744D2E">
        <w:t>,</w:t>
      </w:r>
      <w:r w:rsidR="00D234EE">
        <w:t xml:space="preserve"> or </w:t>
      </w:r>
      <w:r w:rsidR="001010F6">
        <w:t xml:space="preserve">the </w:t>
      </w:r>
      <w:r w:rsidR="00D234EE">
        <w:t>VOEST</w:t>
      </w:r>
      <w:r w:rsidRPr="002C4631">
        <w:t xml:space="preserve"> </w:t>
      </w:r>
      <w:r>
        <w:t xml:space="preserve">to Enhanced Services </w:t>
      </w:r>
      <w:r w:rsidRPr="002C4631">
        <w:t xml:space="preserve">and </w:t>
      </w:r>
      <w:r>
        <w:t>the P</w:t>
      </w:r>
      <w:r w:rsidRPr="002C4631">
        <w:t xml:space="preserve">articipant has previously been serviced under </w:t>
      </w:r>
      <w:r w:rsidRPr="00B26FCC">
        <w:t xml:space="preserve">NEST by the Provider or another </w:t>
      </w:r>
      <w:r w:rsidR="007B014B">
        <w:t>NEST Provider</w:t>
      </w:r>
      <w:r w:rsidRPr="002C4631">
        <w:t xml:space="preserve">, the Provider’s Employment Fund General Account will </w:t>
      </w:r>
      <w:r w:rsidRPr="002C4631">
        <w:rPr>
          <w:u w:val="single"/>
        </w:rPr>
        <w:t>not</w:t>
      </w:r>
      <w:r w:rsidRPr="002C4631">
        <w:t xml:space="preserve"> be credited when the </w:t>
      </w:r>
      <w:r>
        <w:t>P</w:t>
      </w:r>
      <w:r w:rsidRPr="002C4631">
        <w:t>articipant Commences</w:t>
      </w:r>
      <w:r>
        <w:t xml:space="preserve"> in Enhanced Services</w:t>
      </w:r>
      <w:r w:rsidRPr="002C4631">
        <w:t xml:space="preserve"> again.</w:t>
      </w:r>
      <w:r w:rsidR="00F86505">
        <w:t xml:space="preserve"> </w:t>
      </w:r>
    </w:p>
    <w:p w14:paraId="787034DA" w14:textId="2CBBBA6B" w:rsidR="00A623DF" w:rsidRDefault="005B236F" w:rsidP="005D0151">
      <w:pPr>
        <w:pStyle w:val="guidelinetext"/>
        <w:rPr>
          <w:rStyle w:val="Hyperlink"/>
        </w:rPr>
      </w:pPr>
      <w:r>
        <w:t xml:space="preserve">Where </w:t>
      </w:r>
      <w:r w:rsidR="00A623DF">
        <w:t>Participants</w:t>
      </w:r>
      <w:r>
        <w:t xml:space="preserve"> </w:t>
      </w:r>
      <w:r w:rsidR="00A623DF" w:rsidRPr="00324B3D">
        <w:t>are eligible for support under a Structural Adjustment Program</w:t>
      </w:r>
      <w:r w:rsidR="00463845">
        <w:t>me</w:t>
      </w:r>
      <w:r w:rsidR="00A623DF" w:rsidRPr="00324B3D">
        <w:t xml:space="preserve"> (SAP), </w:t>
      </w:r>
      <w:r>
        <w:t xml:space="preserve">Providers </w:t>
      </w:r>
      <w:r w:rsidR="00A623DF" w:rsidRPr="00324B3D">
        <w:t xml:space="preserve">may receive a once-only SAP credit in addition to the </w:t>
      </w:r>
      <w:r w:rsidR="00C77BDC">
        <w:t>Enhanced Services</w:t>
      </w:r>
      <w:r w:rsidR="00A623DF" w:rsidRPr="00324B3D">
        <w:t xml:space="preserve"> credit. The amount credited </w:t>
      </w:r>
      <w:r w:rsidR="00A92170">
        <w:t xml:space="preserve">is </w:t>
      </w:r>
      <w:r w:rsidR="00A623DF" w:rsidRPr="00324B3D">
        <w:t>listed in the</w:t>
      </w:r>
      <w:r w:rsidR="003B44D3">
        <w:t xml:space="preserve"> relevant SAP Guideline.</w:t>
      </w:r>
      <w:r w:rsidR="00A623DF" w:rsidRPr="00324B3D">
        <w:t xml:space="preserve"> </w:t>
      </w:r>
    </w:p>
    <w:p w14:paraId="03A87DA5" w14:textId="77777777" w:rsidR="00A623DF" w:rsidRPr="00F47427" w:rsidRDefault="00A623DF" w:rsidP="00A623DF">
      <w:pPr>
        <w:pStyle w:val="guidelinedeedref"/>
      </w:pPr>
      <w:r w:rsidRPr="00F47427">
        <w:t>(Deed references: Clause</w:t>
      </w:r>
      <w:r>
        <w:t>s</w:t>
      </w:r>
      <w:r w:rsidRPr="00F47427">
        <w:t xml:space="preserve"> </w:t>
      </w:r>
      <w:r w:rsidR="007078D1">
        <w:t>12</w:t>
      </w:r>
      <w:r w:rsidR="0086548B">
        <w:t>0</w:t>
      </w:r>
      <w:r w:rsidRPr="00F47427">
        <w:t>.9,</w:t>
      </w:r>
      <w:r>
        <w:t xml:space="preserve"> </w:t>
      </w:r>
      <w:r w:rsidR="007078D1">
        <w:t>12</w:t>
      </w:r>
      <w:r w:rsidR="0086548B">
        <w:t>0</w:t>
      </w:r>
      <w:r>
        <w:t>.</w:t>
      </w:r>
      <w:r w:rsidR="007078D1">
        <w:t>11</w:t>
      </w:r>
      <w:r>
        <w:t>,</w:t>
      </w:r>
      <w:r w:rsidRPr="00F47427">
        <w:t xml:space="preserve"> </w:t>
      </w:r>
      <w:r>
        <w:t xml:space="preserve">Annexure </w:t>
      </w:r>
      <w:r w:rsidR="006839CB">
        <w:t>E1</w:t>
      </w:r>
      <w:r w:rsidRPr="00F47427">
        <w:t>)</w:t>
      </w:r>
    </w:p>
    <w:p w14:paraId="71E8CC86" w14:textId="77777777" w:rsidR="00A623DF" w:rsidRDefault="00A623DF" w:rsidP="00A623DF">
      <w:pPr>
        <w:pStyle w:val="Heading2"/>
      </w:pPr>
      <w:bookmarkStart w:id="5" w:name="_Crediting_Online_Employment"/>
      <w:bookmarkStart w:id="6" w:name="_Toc468875601"/>
      <w:bookmarkStart w:id="7" w:name="_Toc21002794"/>
      <w:bookmarkStart w:id="8" w:name="_Toc51762271"/>
      <w:bookmarkEnd w:id="5"/>
      <w:r>
        <w:t>Managing Employment Fund Credits</w:t>
      </w:r>
      <w:bookmarkEnd w:id="6"/>
      <w:bookmarkEnd w:id="7"/>
      <w:bookmarkEnd w:id="8"/>
    </w:p>
    <w:p w14:paraId="0AFB299E" w14:textId="77777777" w:rsidR="00A623DF" w:rsidRPr="00610401" w:rsidRDefault="00A623DF" w:rsidP="00A623DF">
      <w:pPr>
        <w:pStyle w:val="guidelinetext"/>
      </w:pPr>
      <w:r w:rsidRPr="00610401">
        <w:t xml:space="preserve">The notional bank balance of credits will reduce each time a Provider makes a commitment in the Department’s IT System to purchase goods or services. </w:t>
      </w:r>
    </w:p>
    <w:p w14:paraId="60784C77" w14:textId="77777777" w:rsidR="00A623DF" w:rsidRPr="00610401" w:rsidRDefault="00A623DF" w:rsidP="00A623DF">
      <w:pPr>
        <w:pStyle w:val="guidelinetext"/>
      </w:pPr>
      <w:r w:rsidRPr="00610401">
        <w:t>Provider</w:t>
      </w:r>
      <w:r w:rsidR="00F12E0F">
        <w:t>s</w:t>
      </w:r>
      <w:r w:rsidRPr="00610401">
        <w:t xml:space="preserve"> must not make commitments in anticipation of future credits. The total amount committed for goods or services must not exceed the total amount credited to a Provider</w:t>
      </w:r>
      <w:r w:rsidR="004B03FB">
        <w:t>’s notional bank balance</w:t>
      </w:r>
      <w:r w:rsidRPr="00610401">
        <w:t xml:space="preserve">. </w:t>
      </w:r>
    </w:p>
    <w:p w14:paraId="021A68AC" w14:textId="77777777" w:rsidR="00A623DF" w:rsidRPr="00610401" w:rsidRDefault="00A623DF" w:rsidP="00A623DF">
      <w:pPr>
        <w:pStyle w:val="guidelinetext"/>
      </w:pPr>
      <w:r w:rsidRPr="00610401">
        <w:t xml:space="preserve">The Department may </w:t>
      </w:r>
      <w:r w:rsidR="006839CB">
        <w:t>choose to quarantine or reserve Employment Fund credits</w:t>
      </w:r>
      <w:r w:rsidRPr="00610401">
        <w:t xml:space="preserve"> for a particular purpose. Provider</w:t>
      </w:r>
      <w:r w:rsidR="00F12E0F">
        <w:t>s</w:t>
      </w:r>
      <w:r w:rsidRPr="00610401">
        <w:t xml:space="preserve"> must </w:t>
      </w:r>
      <w:r w:rsidR="006839CB">
        <w:t>only</w:t>
      </w:r>
      <w:r w:rsidR="006839CB" w:rsidRPr="00610401">
        <w:t xml:space="preserve"> </w:t>
      </w:r>
      <w:r w:rsidRPr="00610401">
        <w:t xml:space="preserve">use quarantined or reserved credits for </w:t>
      </w:r>
      <w:r w:rsidR="006839CB">
        <w:t xml:space="preserve">the </w:t>
      </w:r>
      <w:r w:rsidRPr="00610401">
        <w:t xml:space="preserve">purpose </w:t>
      </w:r>
      <w:r w:rsidR="006839CB">
        <w:t>specified by the Department</w:t>
      </w:r>
      <w:r w:rsidRPr="00610401">
        <w:t>.</w:t>
      </w:r>
    </w:p>
    <w:p w14:paraId="4A2E3020" w14:textId="01E52277" w:rsidR="00A623DF" w:rsidRPr="00A37677" w:rsidRDefault="008E021D" w:rsidP="00A623DF">
      <w:pPr>
        <w:pStyle w:val="guidelinetext"/>
      </w:pPr>
      <w:r>
        <w:t>Provider</w:t>
      </w:r>
      <w:r w:rsidR="00F12E0F">
        <w:t>s</w:t>
      </w:r>
      <w:r w:rsidR="008455FE">
        <w:t xml:space="preserve"> can only use </w:t>
      </w:r>
      <w:r w:rsidR="00A623DF" w:rsidRPr="00C56732">
        <w:t xml:space="preserve">SAP credits for </w:t>
      </w:r>
      <w:r w:rsidR="0022687F" w:rsidRPr="00C56732">
        <w:t>Participant</w:t>
      </w:r>
      <w:r w:rsidR="00A623DF" w:rsidRPr="00C56732">
        <w:t xml:space="preserve">s </w:t>
      </w:r>
      <w:r w:rsidR="00E852B8" w:rsidRPr="00C56732">
        <w:t xml:space="preserve">assisted through a SAP or </w:t>
      </w:r>
      <w:r w:rsidR="00A623DF" w:rsidRPr="00C56732">
        <w:t>the Stronger Transitions Package</w:t>
      </w:r>
      <w:r w:rsidR="00767EE5">
        <w:t xml:space="preserve"> (noting the Stronger Transitions Package close</w:t>
      </w:r>
      <w:r w:rsidR="00861F51">
        <w:t>d</w:t>
      </w:r>
      <w:r w:rsidR="00767EE5">
        <w:t xml:space="preserve"> to new entrants on 1 July 2020)</w:t>
      </w:r>
      <w:r w:rsidR="00A623DF" w:rsidRPr="00CC4DB5">
        <w:t xml:space="preserve">. </w:t>
      </w:r>
      <w:r w:rsidR="007D2F12" w:rsidRPr="00CC4DB5">
        <w:t>When</w:t>
      </w:r>
      <w:r w:rsidR="007D2F12">
        <w:t xml:space="preserve"> a Provider creates a commitment for these Participants, </w:t>
      </w:r>
      <w:r w:rsidR="007D2F12" w:rsidRPr="00610401">
        <w:t>the Department’s IT System</w:t>
      </w:r>
      <w:r w:rsidR="007D2F12">
        <w:t xml:space="preserve"> automatically uses SAP credits first, where available, before using </w:t>
      </w:r>
      <w:r w:rsidR="004B03FB">
        <w:t xml:space="preserve">general </w:t>
      </w:r>
      <w:r w:rsidR="007D2F12">
        <w:t xml:space="preserve">credits. </w:t>
      </w:r>
      <w:r w:rsidR="00E852B8">
        <w:t>T</w:t>
      </w:r>
      <w:r w:rsidR="00A623DF" w:rsidRPr="00A37677">
        <w:t xml:space="preserve">he Department’s IT System displays the </w:t>
      </w:r>
      <w:r w:rsidR="00E852B8">
        <w:t xml:space="preserve">SAP credit </w:t>
      </w:r>
      <w:r w:rsidR="00A623DF" w:rsidRPr="00A37677">
        <w:t xml:space="preserve">balance separately to the General Account </w:t>
      </w:r>
      <w:r w:rsidR="00E852B8">
        <w:t xml:space="preserve">credit </w:t>
      </w:r>
      <w:r w:rsidR="00A623DF" w:rsidRPr="00A37677">
        <w:t xml:space="preserve">balance. </w:t>
      </w:r>
    </w:p>
    <w:p w14:paraId="68F92AD2" w14:textId="53A67F3F" w:rsidR="00A623DF" w:rsidRPr="00F47427" w:rsidRDefault="00A623DF" w:rsidP="00A623DF">
      <w:pPr>
        <w:pStyle w:val="guidelinetext"/>
      </w:pPr>
      <w:r w:rsidRPr="00A37677">
        <w:t xml:space="preserve">Refer to the </w:t>
      </w:r>
      <w:hyperlink r:id="rId23" w:history="1">
        <w:r w:rsidR="00EB6BA2">
          <w:rPr>
            <w:rStyle w:val="Hyperlink"/>
          </w:rPr>
          <w:t>New Employment Services Trial Employment Fund General Account IT Supporting Document</w:t>
        </w:r>
      </w:hyperlink>
      <w:r w:rsidR="00503140">
        <w:t xml:space="preserve"> </w:t>
      </w:r>
      <w:r w:rsidRPr="00A37677">
        <w:t>for guidance on how to view the General Account and SAP notional bank balances at</w:t>
      </w:r>
      <w:r w:rsidRPr="00B12BA3">
        <w:t xml:space="preserve"> Site level</w:t>
      </w:r>
      <w:r>
        <w:t xml:space="preserve"> in the Department’s IT System.</w:t>
      </w:r>
    </w:p>
    <w:p w14:paraId="39EC9A0C" w14:textId="77777777" w:rsidR="00A623DF" w:rsidRDefault="00A623DF" w:rsidP="00A623DF">
      <w:pPr>
        <w:pStyle w:val="guidelinedeedref"/>
      </w:pPr>
      <w:r w:rsidRPr="00F47427">
        <w:t>(Deed references: Clause</w:t>
      </w:r>
      <w:r>
        <w:t>s</w:t>
      </w:r>
      <w:bookmarkStart w:id="9" w:name="_Toc468875602"/>
      <w:r>
        <w:t xml:space="preserve"> </w:t>
      </w:r>
      <w:r w:rsidR="007078D1">
        <w:t>12</w:t>
      </w:r>
      <w:r w:rsidR="0086548B">
        <w:t>0</w:t>
      </w:r>
      <w:r>
        <w:t xml:space="preserve">.7, </w:t>
      </w:r>
      <w:r w:rsidR="007078D1">
        <w:t>12</w:t>
      </w:r>
      <w:r w:rsidR="0086548B">
        <w:t>0</w:t>
      </w:r>
      <w:r>
        <w:t>.10)</w:t>
      </w:r>
    </w:p>
    <w:p w14:paraId="44DE9D72" w14:textId="77777777" w:rsidR="00A623DF" w:rsidRDefault="00A623DF" w:rsidP="00A623DF">
      <w:pPr>
        <w:pStyle w:val="Heading1"/>
        <w:numPr>
          <w:ilvl w:val="0"/>
          <w:numId w:val="7"/>
        </w:numPr>
      </w:pPr>
      <w:bookmarkStart w:id="10" w:name="_Toc21002795"/>
      <w:bookmarkStart w:id="11" w:name="_Toc51762272"/>
      <w:r>
        <w:lastRenderedPageBreak/>
        <w:t>Transferring Credits</w:t>
      </w:r>
      <w:bookmarkEnd w:id="9"/>
      <w:bookmarkEnd w:id="10"/>
      <w:bookmarkEnd w:id="11"/>
    </w:p>
    <w:p w14:paraId="2B4AE526" w14:textId="77777777" w:rsidR="00A623DF" w:rsidRDefault="00B11DB3" w:rsidP="00A623DF">
      <w:pPr>
        <w:pStyle w:val="guidelinetext"/>
      </w:pPr>
      <w:r>
        <w:t>A Provider can transfer c</w:t>
      </w:r>
      <w:r w:rsidR="00A623DF" w:rsidRPr="00F84D08">
        <w:t xml:space="preserve">redits between </w:t>
      </w:r>
      <w:r>
        <w:t>its</w:t>
      </w:r>
      <w:r w:rsidR="00A623DF" w:rsidRPr="00F84D08">
        <w:t xml:space="preserve"> individual Sites</w:t>
      </w:r>
      <w:r w:rsidR="005B236F">
        <w:t xml:space="preserve"> in the Trial Regions</w:t>
      </w:r>
      <w:r w:rsidR="00A623DF">
        <w:t>,</w:t>
      </w:r>
      <w:r w:rsidR="00A623DF" w:rsidRPr="00F84D08">
        <w:t xml:space="preserve"> and when a </w:t>
      </w:r>
      <w:r w:rsidR="0022687F">
        <w:t>Participant</w:t>
      </w:r>
      <w:r w:rsidR="00A623DF" w:rsidRPr="00F84D08">
        <w:t xml:space="preserve"> transfers to another Provider.</w:t>
      </w:r>
    </w:p>
    <w:p w14:paraId="7345A843" w14:textId="1C7DC173" w:rsidR="00A623DF" w:rsidRPr="002124AE" w:rsidRDefault="00A623DF" w:rsidP="00A623DF">
      <w:pPr>
        <w:pStyle w:val="guidelinetext"/>
      </w:pPr>
      <w:r w:rsidRPr="002124AE">
        <w:t xml:space="preserve">Refer to the </w:t>
      </w:r>
      <w:hyperlink r:id="rId24" w:history="1">
        <w:r w:rsidR="00EB6BA2">
          <w:rPr>
            <w:rStyle w:val="Hyperlink"/>
          </w:rPr>
          <w:t>New Employment Services Trial Employment Fund General Account IT Supporting Document</w:t>
        </w:r>
      </w:hyperlink>
      <w:r w:rsidR="00503140">
        <w:t xml:space="preserve"> </w:t>
      </w:r>
      <w:r w:rsidRPr="002124AE">
        <w:t>for guidance on how to transfer credits in the Department’s IT System.</w:t>
      </w:r>
    </w:p>
    <w:p w14:paraId="5254FACA" w14:textId="77777777" w:rsidR="00A623DF" w:rsidRPr="002124AE" w:rsidRDefault="00A623DF" w:rsidP="00A623DF">
      <w:pPr>
        <w:pStyle w:val="Heading2"/>
      </w:pPr>
      <w:bookmarkStart w:id="12" w:name="_Transferring_Credits_between"/>
      <w:bookmarkStart w:id="13" w:name="_Toc468875603"/>
      <w:bookmarkStart w:id="14" w:name="_Toc21002796"/>
      <w:bookmarkStart w:id="15" w:name="_Toc51762273"/>
      <w:bookmarkEnd w:id="12"/>
      <w:r w:rsidRPr="002124AE">
        <w:t>Transferring Credits between Sites</w:t>
      </w:r>
      <w:bookmarkEnd w:id="13"/>
      <w:bookmarkEnd w:id="14"/>
      <w:bookmarkEnd w:id="15"/>
    </w:p>
    <w:p w14:paraId="2125F951" w14:textId="77777777" w:rsidR="00A623DF" w:rsidRPr="002124AE" w:rsidRDefault="00A623DF" w:rsidP="00A623DF">
      <w:pPr>
        <w:pStyle w:val="Systemstep"/>
        <w:ind w:left="1418" w:hanging="1418"/>
      </w:pPr>
      <w:r w:rsidRPr="002124AE">
        <w:rPr>
          <w:b/>
        </w:rPr>
        <w:t xml:space="preserve">System step: </w:t>
      </w:r>
      <w:r w:rsidRPr="002124AE">
        <w:t>A Provider can transfer Employment Fund credits between any of its Sites within or across any Employment Region unless:</w:t>
      </w:r>
    </w:p>
    <w:p w14:paraId="48DA5B69" w14:textId="77777777" w:rsidR="00D80D72" w:rsidRDefault="00D80D72" w:rsidP="00A623DF">
      <w:pPr>
        <w:pStyle w:val="guidelinebullet"/>
      </w:pPr>
      <w:r>
        <w:t xml:space="preserve">the credit transfer is from a </w:t>
      </w:r>
      <w:r w:rsidR="00EB0E1F">
        <w:t xml:space="preserve">Trial </w:t>
      </w:r>
      <w:r w:rsidR="00F54C9A">
        <w:t>S</w:t>
      </w:r>
      <w:r>
        <w:t xml:space="preserve">ite to a jobactive </w:t>
      </w:r>
      <w:r w:rsidR="00F54C9A">
        <w:t>S</w:t>
      </w:r>
      <w:r>
        <w:t>ite</w:t>
      </w:r>
    </w:p>
    <w:p w14:paraId="7BF1B3D1" w14:textId="77777777" w:rsidR="00D80D72" w:rsidRDefault="00D80D72" w:rsidP="00A623DF">
      <w:pPr>
        <w:pStyle w:val="guidelinebullet"/>
      </w:pPr>
      <w:r>
        <w:t xml:space="preserve">the credit transfer is from a jobactive site to a </w:t>
      </w:r>
      <w:r w:rsidR="00EB0E1F">
        <w:t xml:space="preserve">Trial </w:t>
      </w:r>
      <w:r w:rsidR="00F54C9A">
        <w:t>S</w:t>
      </w:r>
      <w:r>
        <w:t>ite</w:t>
      </w:r>
    </w:p>
    <w:p w14:paraId="028C4F9E" w14:textId="77777777" w:rsidR="00A623DF" w:rsidRPr="00B817C3" w:rsidRDefault="00A623DF" w:rsidP="00A623DF">
      <w:pPr>
        <w:pStyle w:val="guidelinebullet"/>
      </w:pPr>
      <w:r w:rsidRPr="002124AE">
        <w:t>the Department has quarantined or reserved those credits for a particular</w:t>
      </w:r>
      <w:r w:rsidRPr="00B817C3">
        <w:t xml:space="preserve"> purpose</w:t>
      </w:r>
    </w:p>
    <w:p w14:paraId="5BD70915" w14:textId="77777777" w:rsidR="00A623DF" w:rsidRPr="00B817C3" w:rsidRDefault="00A623DF" w:rsidP="00A623DF">
      <w:pPr>
        <w:pStyle w:val="guidelinetext"/>
      </w:pPr>
      <w:r w:rsidRPr="00B817C3">
        <w:t>or</w:t>
      </w:r>
    </w:p>
    <w:p w14:paraId="63845CAC" w14:textId="77777777" w:rsidR="00A623DF" w:rsidRPr="00B817C3" w:rsidRDefault="00A623DF" w:rsidP="00A623DF">
      <w:pPr>
        <w:pStyle w:val="guidelinebullet"/>
      </w:pPr>
      <w:r w:rsidRPr="00B817C3">
        <w:t xml:space="preserve">the Department has placed limits on or restricted </w:t>
      </w:r>
      <w:r>
        <w:t>a</w:t>
      </w:r>
      <w:r w:rsidRPr="00B817C3">
        <w:t xml:space="preserve"> Provider’s ability to transfer credits between its Sites.</w:t>
      </w:r>
    </w:p>
    <w:p w14:paraId="67E40E7F" w14:textId="77777777" w:rsidR="00A623DF" w:rsidRPr="00F47427" w:rsidRDefault="00A623DF" w:rsidP="00A623DF">
      <w:pPr>
        <w:pStyle w:val="guidelinedeedref"/>
      </w:pPr>
      <w:r w:rsidRPr="00F47427">
        <w:t xml:space="preserve">(Deed references: Clauses </w:t>
      </w:r>
      <w:r w:rsidR="007078D1">
        <w:t>12</w:t>
      </w:r>
      <w:r w:rsidR="0086548B">
        <w:t>0</w:t>
      </w:r>
      <w:r w:rsidR="00C91825">
        <w:t xml:space="preserve">.7, </w:t>
      </w:r>
      <w:r w:rsidR="007078D1">
        <w:t>12</w:t>
      </w:r>
      <w:r w:rsidR="0086548B">
        <w:t>0</w:t>
      </w:r>
      <w:r w:rsidR="00C91825">
        <w:t>.</w:t>
      </w:r>
      <w:r w:rsidR="007078D1">
        <w:t>13</w:t>
      </w:r>
      <w:r w:rsidR="00C91825">
        <w:t xml:space="preserve">, </w:t>
      </w:r>
      <w:r w:rsidR="007078D1">
        <w:t>12</w:t>
      </w:r>
      <w:r w:rsidR="0086548B">
        <w:t>0</w:t>
      </w:r>
      <w:r w:rsidRPr="00F47427">
        <w:t>.</w:t>
      </w:r>
      <w:r w:rsidR="007078D1" w:rsidRPr="00F47427">
        <w:t>1</w:t>
      </w:r>
      <w:r w:rsidR="007078D1">
        <w:t>4</w:t>
      </w:r>
      <w:r w:rsidRPr="00F47427">
        <w:t xml:space="preserve">, </w:t>
      </w:r>
      <w:r w:rsidR="007078D1">
        <w:t>12</w:t>
      </w:r>
      <w:r w:rsidR="0086548B">
        <w:t>0</w:t>
      </w:r>
      <w:r w:rsidRPr="00F47427">
        <w:t>.</w:t>
      </w:r>
      <w:r w:rsidR="007078D1" w:rsidRPr="00F47427">
        <w:t>1</w:t>
      </w:r>
      <w:r w:rsidR="007078D1">
        <w:t>5</w:t>
      </w:r>
      <w:r w:rsidRPr="00F47427">
        <w:t xml:space="preserve">) </w:t>
      </w:r>
    </w:p>
    <w:p w14:paraId="330CFA13" w14:textId="77777777" w:rsidR="00A623DF" w:rsidRDefault="00A623DF" w:rsidP="00A623DF">
      <w:pPr>
        <w:pStyle w:val="Heading2"/>
      </w:pPr>
      <w:bookmarkStart w:id="16" w:name="_Toc468875604"/>
      <w:bookmarkStart w:id="17" w:name="_Toc21002797"/>
      <w:bookmarkStart w:id="18" w:name="_Toc51762274"/>
      <w:r>
        <w:t>Transferring Credits to another Provider</w:t>
      </w:r>
      <w:bookmarkEnd w:id="16"/>
      <w:bookmarkEnd w:id="17"/>
      <w:bookmarkEnd w:id="18"/>
    </w:p>
    <w:p w14:paraId="13E27FE0" w14:textId="62D2F6AF" w:rsidR="006401A5" w:rsidRDefault="00A623DF" w:rsidP="00A623DF">
      <w:pPr>
        <w:pStyle w:val="Systemstep"/>
        <w:ind w:left="1418" w:hanging="1418"/>
      </w:pPr>
      <w:r w:rsidRPr="007A1B89">
        <w:rPr>
          <w:b/>
        </w:rPr>
        <w:t>System step</w:t>
      </w:r>
      <w:r>
        <w:rPr>
          <w:b/>
        </w:rPr>
        <w:t xml:space="preserve">: </w:t>
      </w:r>
      <w:r w:rsidRPr="00F47427">
        <w:t xml:space="preserve">When a </w:t>
      </w:r>
      <w:r w:rsidR="0022687F">
        <w:t>Participant</w:t>
      </w:r>
      <w:r w:rsidRPr="00F47427">
        <w:t xml:space="preserve"> transfers to another </w:t>
      </w:r>
      <w:r w:rsidR="007B014B">
        <w:t>NEST Provider</w:t>
      </w:r>
      <w:r w:rsidRPr="00F47427">
        <w:t xml:space="preserve">, </w:t>
      </w:r>
      <w:r w:rsidR="00B11DB3">
        <w:t>the current and gaining Provider</w:t>
      </w:r>
      <w:r w:rsidR="004B03FB">
        <w:t>s</w:t>
      </w:r>
      <w:r w:rsidR="00B11DB3">
        <w:t xml:space="preserve"> negotiate and agree to </w:t>
      </w:r>
      <w:r w:rsidRPr="00F47427">
        <w:t>the transfer of any Employment Fund credits.</w:t>
      </w:r>
      <w:r w:rsidR="004F6AC8">
        <w:t xml:space="preserve"> </w:t>
      </w:r>
    </w:p>
    <w:p w14:paraId="73506719" w14:textId="77777777" w:rsidR="00A623DF" w:rsidRDefault="004F6AC8" w:rsidP="007D13ED">
      <w:pPr>
        <w:pStyle w:val="Systemstep"/>
        <w:numPr>
          <w:ilvl w:val="0"/>
          <w:numId w:val="0"/>
        </w:numPr>
        <w:ind w:left="1418"/>
      </w:pPr>
      <w:r>
        <w:t>A Provider cannot transfer credits to another Provider if:</w:t>
      </w:r>
    </w:p>
    <w:p w14:paraId="6E902928" w14:textId="77777777" w:rsidR="004F6AC8" w:rsidRDefault="004F6AC8" w:rsidP="004F6AC8">
      <w:pPr>
        <w:pStyle w:val="guidelinebullet"/>
      </w:pPr>
      <w:r>
        <w:t xml:space="preserve">the credit transfer is from a </w:t>
      </w:r>
      <w:r w:rsidR="00EB0E1F">
        <w:t xml:space="preserve">Trial </w:t>
      </w:r>
      <w:r>
        <w:t>Site to a jobactive Site</w:t>
      </w:r>
      <w:r w:rsidR="00512F36">
        <w:t>; or</w:t>
      </w:r>
    </w:p>
    <w:p w14:paraId="2B87E622" w14:textId="77777777" w:rsidR="004F6AC8" w:rsidRDefault="004F6AC8" w:rsidP="004F6AC8">
      <w:pPr>
        <w:pStyle w:val="guidelinebullet"/>
      </w:pPr>
      <w:r>
        <w:t xml:space="preserve">the credit transfer is from a jobactive </w:t>
      </w:r>
      <w:r w:rsidR="0087465D">
        <w:t>S</w:t>
      </w:r>
      <w:r>
        <w:t xml:space="preserve">ite to a </w:t>
      </w:r>
      <w:r w:rsidR="00EB0E1F">
        <w:t xml:space="preserve">Trial </w:t>
      </w:r>
      <w:r>
        <w:t>Site</w:t>
      </w:r>
      <w:r w:rsidR="00512F36">
        <w:t>.</w:t>
      </w:r>
    </w:p>
    <w:p w14:paraId="179470E8" w14:textId="77777777" w:rsidR="00EA2A60" w:rsidRDefault="004F6AC8" w:rsidP="004F6AC8">
      <w:pPr>
        <w:pStyle w:val="guidelinebullet"/>
      </w:pPr>
      <w:r>
        <w:t xml:space="preserve">the credit transfer is from </w:t>
      </w:r>
      <w:r w:rsidR="0087465D">
        <w:t>a</w:t>
      </w:r>
      <w:r w:rsidR="00EA2A60">
        <w:t>n</w:t>
      </w:r>
      <w:r w:rsidR="0087465D">
        <w:t xml:space="preserve"> </w:t>
      </w:r>
      <w:r>
        <w:t xml:space="preserve">Enhanced Services </w:t>
      </w:r>
      <w:r w:rsidR="0087465D">
        <w:t xml:space="preserve">Site </w:t>
      </w:r>
      <w:r>
        <w:t xml:space="preserve">to </w:t>
      </w:r>
      <w:r w:rsidR="0087465D">
        <w:t xml:space="preserve">a </w:t>
      </w:r>
      <w:r>
        <w:t>Digital Services</w:t>
      </w:r>
      <w:r w:rsidR="0087465D">
        <w:t xml:space="preserve"> Site</w:t>
      </w:r>
    </w:p>
    <w:p w14:paraId="34BC43DB" w14:textId="77777777" w:rsidR="00EA2A60" w:rsidRDefault="00EA2A60" w:rsidP="00EB02C4">
      <w:pPr>
        <w:pStyle w:val="guidelinetext"/>
      </w:pPr>
      <w:r>
        <w:t>o</w:t>
      </w:r>
      <w:r w:rsidR="004F6AC8">
        <w:t>r</w:t>
      </w:r>
    </w:p>
    <w:p w14:paraId="3583FEA7" w14:textId="77777777" w:rsidR="0087465D" w:rsidRDefault="004F6AC8" w:rsidP="00996495">
      <w:pPr>
        <w:pStyle w:val="guidelinebullet"/>
      </w:pPr>
      <w:r>
        <w:t xml:space="preserve">the credit transfer is from </w:t>
      </w:r>
      <w:r w:rsidR="0087465D">
        <w:t xml:space="preserve">a </w:t>
      </w:r>
      <w:r>
        <w:t xml:space="preserve">Digital Services </w:t>
      </w:r>
      <w:r w:rsidR="0087465D">
        <w:t xml:space="preserve">Site </w:t>
      </w:r>
      <w:r>
        <w:t xml:space="preserve">to </w:t>
      </w:r>
      <w:r w:rsidR="0087465D">
        <w:t>a</w:t>
      </w:r>
      <w:r w:rsidR="00EA2A60">
        <w:t>n</w:t>
      </w:r>
      <w:r w:rsidR="0087465D">
        <w:t xml:space="preserve"> </w:t>
      </w:r>
      <w:r>
        <w:t xml:space="preserve">Enhanced Services </w:t>
      </w:r>
      <w:r w:rsidR="0087465D">
        <w:t>Site</w:t>
      </w:r>
      <w:r>
        <w:t>.</w:t>
      </w:r>
    </w:p>
    <w:p w14:paraId="0E990E6E" w14:textId="77777777" w:rsidR="00A623DF" w:rsidRDefault="00A623DF" w:rsidP="00A623DF">
      <w:pPr>
        <w:pStyle w:val="guidelinedeedref"/>
      </w:pPr>
      <w:r w:rsidRPr="00F47427">
        <w:t xml:space="preserve">(Deed references: Clause </w:t>
      </w:r>
      <w:r w:rsidR="0086548B">
        <w:t>120</w:t>
      </w:r>
      <w:r w:rsidR="0087465D">
        <w:t>.</w:t>
      </w:r>
      <w:r w:rsidR="007078D1">
        <w:t>12</w:t>
      </w:r>
      <w:r w:rsidRPr="00F47427">
        <w:t xml:space="preserve">) </w:t>
      </w:r>
    </w:p>
    <w:p w14:paraId="20CB4D75" w14:textId="77777777" w:rsidR="0009370F" w:rsidRDefault="0009370F" w:rsidP="0009370F">
      <w:pPr>
        <w:pStyle w:val="Heading2"/>
      </w:pPr>
      <w:bookmarkStart w:id="19" w:name="_Toc468875605"/>
      <w:bookmarkStart w:id="20" w:name="_Toc13488290"/>
      <w:bookmarkStart w:id="21" w:name="_Toc21002798"/>
      <w:bookmarkStart w:id="22" w:name="_Toc51762275"/>
      <w:r>
        <w:t>Transferring Credits due to Site Closure or Reduction of Business Share</w:t>
      </w:r>
      <w:bookmarkEnd w:id="19"/>
      <w:bookmarkEnd w:id="20"/>
      <w:bookmarkEnd w:id="21"/>
      <w:bookmarkEnd w:id="22"/>
    </w:p>
    <w:p w14:paraId="32673D86" w14:textId="77777777" w:rsidR="0009370F" w:rsidRPr="00F47427" w:rsidRDefault="0009370F" w:rsidP="0009370F">
      <w:pPr>
        <w:pStyle w:val="guidelinetext"/>
      </w:pPr>
      <w:r>
        <w:t>T</w:t>
      </w:r>
      <w:r w:rsidRPr="00F47427">
        <w:t xml:space="preserve">he Department may restrict </w:t>
      </w:r>
      <w:r>
        <w:t>a</w:t>
      </w:r>
      <w:r w:rsidRPr="00F47427">
        <w:t xml:space="preserve"> Provider from transferring credits between its Sites </w:t>
      </w:r>
      <w:r>
        <w:t>w</w:t>
      </w:r>
      <w:r w:rsidRPr="00F47427">
        <w:t xml:space="preserve">hen a Site is being closed or the Business Share of that Site is being reduced and </w:t>
      </w:r>
      <w:r>
        <w:t>participants</w:t>
      </w:r>
      <w:r w:rsidRPr="00F47427">
        <w:t xml:space="preserve"> are being </w:t>
      </w:r>
      <w:r>
        <w:t>transferred to another Provider</w:t>
      </w:r>
      <w:r w:rsidRPr="00F47427">
        <w:t>.</w:t>
      </w:r>
    </w:p>
    <w:p w14:paraId="276488D9" w14:textId="37FD6BC6" w:rsidR="0009370F" w:rsidRPr="00F47427" w:rsidRDefault="0009370F" w:rsidP="0069371B">
      <w:pPr>
        <w:pStyle w:val="guidelinetext"/>
      </w:pPr>
      <w:r w:rsidRPr="00F47427">
        <w:t xml:space="preserve">The </w:t>
      </w:r>
      <w:r w:rsidRPr="00A37677">
        <w:t>Department will determine the total amount of credits to be transferred from the reduced or closed Site to the gaining Provider’s Site.</w:t>
      </w:r>
      <w:r w:rsidRPr="00F47427">
        <w:t xml:space="preserve"> </w:t>
      </w:r>
      <w:r w:rsidR="0069371B">
        <w:br w:type="page"/>
      </w:r>
    </w:p>
    <w:p w14:paraId="249A9C7C" w14:textId="77777777" w:rsidR="00A623DF" w:rsidRDefault="00A623DF" w:rsidP="00A623DF">
      <w:pPr>
        <w:pStyle w:val="Heading1"/>
        <w:numPr>
          <w:ilvl w:val="0"/>
          <w:numId w:val="7"/>
        </w:numPr>
      </w:pPr>
      <w:bookmarkStart w:id="23" w:name="_Transferring_Credits_due"/>
      <w:bookmarkStart w:id="24" w:name="_Toc468875606"/>
      <w:bookmarkStart w:id="25" w:name="_Toc21002799"/>
      <w:bookmarkStart w:id="26" w:name="_Toc51762276"/>
      <w:bookmarkEnd w:id="23"/>
      <w:r>
        <w:lastRenderedPageBreak/>
        <w:t>Determining who is eligible</w:t>
      </w:r>
      <w:bookmarkEnd w:id="24"/>
      <w:bookmarkEnd w:id="25"/>
      <w:bookmarkEnd w:id="26"/>
    </w:p>
    <w:p w14:paraId="5A72139E" w14:textId="77777777" w:rsidR="009E47F3" w:rsidRDefault="009E47F3" w:rsidP="00A623DF">
      <w:pPr>
        <w:pStyle w:val="guidelinetext"/>
      </w:pPr>
      <w:r>
        <w:t xml:space="preserve">All Enhanced Services </w:t>
      </w:r>
      <w:r w:rsidR="0022687F">
        <w:t>Participant</w:t>
      </w:r>
      <w:r>
        <w:t>s are eligible</w:t>
      </w:r>
      <w:r w:rsidR="00EB02C4">
        <w:t xml:space="preserve"> for assistance</w:t>
      </w:r>
      <w:r>
        <w:t xml:space="preserve">, regardless of </w:t>
      </w:r>
      <w:r w:rsidR="00AA7950">
        <w:t xml:space="preserve">the </w:t>
      </w:r>
      <w:r>
        <w:t xml:space="preserve">timing of </w:t>
      </w:r>
      <w:r w:rsidR="00AA7950">
        <w:t xml:space="preserve">their </w:t>
      </w:r>
      <w:r>
        <w:t>credit</w:t>
      </w:r>
      <w:r w:rsidR="00AA7950">
        <w:t xml:space="preserve"> allocation.</w:t>
      </w:r>
    </w:p>
    <w:p w14:paraId="656774AE" w14:textId="77777777" w:rsidR="00A623DF" w:rsidRDefault="00A623DF" w:rsidP="00A623DF">
      <w:pPr>
        <w:pStyle w:val="guidelinetext"/>
      </w:pPr>
      <w:r>
        <w:t>A Provider can claim R</w:t>
      </w:r>
      <w:r w:rsidRPr="00E74DA9">
        <w:t xml:space="preserve">eimbursement </w:t>
      </w:r>
      <w:r>
        <w:t xml:space="preserve">for </w:t>
      </w:r>
      <w:r w:rsidR="007D288E">
        <w:t xml:space="preserve">Enhanced Services </w:t>
      </w:r>
      <w:r w:rsidR="0022687F">
        <w:t>Participant</w:t>
      </w:r>
      <w:r>
        <w:t>s</w:t>
      </w:r>
      <w:r w:rsidR="008468E2">
        <w:t>,</w:t>
      </w:r>
      <w:r>
        <w:t xml:space="preserve"> </w:t>
      </w:r>
      <w:r w:rsidR="00893648">
        <w:t xml:space="preserve">if the </w:t>
      </w:r>
      <w:r w:rsidR="0022687F">
        <w:t>Participant</w:t>
      </w:r>
      <w:r>
        <w:t xml:space="preserve"> </w:t>
      </w:r>
      <w:r w:rsidR="00D60C55">
        <w:t>received the good or service when they were</w:t>
      </w:r>
      <w:r>
        <w:t xml:space="preserve"> either:</w:t>
      </w:r>
    </w:p>
    <w:p w14:paraId="4CF420B6" w14:textId="77777777" w:rsidR="00A623DF" w:rsidRPr="00324B3D" w:rsidRDefault="00A623DF" w:rsidP="00A623DF">
      <w:pPr>
        <w:pStyle w:val="guidelinebullet"/>
      </w:pPr>
      <w:r w:rsidRPr="00324B3D">
        <w:t xml:space="preserve">commenced in </w:t>
      </w:r>
      <w:r w:rsidR="007D288E">
        <w:t>Enhanced Services</w:t>
      </w:r>
    </w:p>
    <w:p w14:paraId="4C97B65D" w14:textId="77777777" w:rsidR="00A623DF" w:rsidRPr="00324B3D" w:rsidRDefault="00A623DF" w:rsidP="00A623DF">
      <w:pPr>
        <w:pStyle w:val="guidelinebullet"/>
      </w:pPr>
      <w:r w:rsidRPr="00324B3D">
        <w:t xml:space="preserve">suspended after Commencement in </w:t>
      </w:r>
      <w:r w:rsidR="007D288E">
        <w:t>Enhanced Services</w:t>
      </w:r>
    </w:p>
    <w:p w14:paraId="733BFC3A" w14:textId="77777777" w:rsidR="00A623DF" w:rsidRPr="00324B3D" w:rsidRDefault="00A623DF" w:rsidP="00A623DF">
      <w:pPr>
        <w:pStyle w:val="guidelinebullet"/>
      </w:pPr>
      <w:r w:rsidRPr="00324B3D">
        <w:t xml:space="preserve">pending after previous Commencement in </w:t>
      </w:r>
      <w:r w:rsidR="007D288E">
        <w:t>Enhanced Services</w:t>
      </w:r>
    </w:p>
    <w:p w14:paraId="5F48333B" w14:textId="15A6F78E" w:rsidR="00A623DF" w:rsidRPr="00324B3D" w:rsidRDefault="00A623DF" w:rsidP="00A623DF">
      <w:pPr>
        <w:pStyle w:val="guidelinebullet"/>
      </w:pPr>
      <w:r w:rsidRPr="00324B3D">
        <w:t xml:space="preserve">pending </w:t>
      </w:r>
      <w:r w:rsidR="008C65ED">
        <w:t xml:space="preserve">in </w:t>
      </w:r>
      <w:r w:rsidR="007D288E">
        <w:t xml:space="preserve">Enhanced Services </w:t>
      </w:r>
      <w:r w:rsidR="008C65ED">
        <w:t xml:space="preserve">and </w:t>
      </w:r>
      <w:r w:rsidRPr="00324B3D">
        <w:t xml:space="preserve">require </w:t>
      </w:r>
      <w:r w:rsidR="00EC3199">
        <w:t>Certified</w:t>
      </w:r>
      <w:r w:rsidR="00EC3199" w:rsidRPr="00324B3D">
        <w:t xml:space="preserve"> </w:t>
      </w:r>
      <w:r w:rsidR="00C63696">
        <w:t>I</w:t>
      </w:r>
      <w:r w:rsidRPr="00324B3D">
        <w:t xml:space="preserve">nterpreter services </w:t>
      </w:r>
    </w:p>
    <w:p w14:paraId="6FE24981" w14:textId="77777777" w:rsidR="00A623DF" w:rsidRDefault="00A623DF" w:rsidP="00A623DF">
      <w:pPr>
        <w:pStyle w:val="guidelinebullet"/>
      </w:pPr>
      <w:r>
        <w:t xml:space="preserve">exited within 183 days </w:t>
      </w:r>
      <w:r w:rsidR="007D288E">
        <w:t>from Enhanced Services</w:t>
      </w:r>
    </w:p>
    <w:p w14:paraId="572AC95B" w14:textId="77777777" w:rsidR="00A623DF" w:rsidRDefault="00A623DF" w:rsidP="00A623DF">
      <w:pPr>
        <w:pStyle w:val="guidelinebullet"/>
      </w:pPr>
      <w:r>
        <w:t xml:space="preserve">transferred within 183 days </w:t>
      </w:r>
      <w:r w:rsidR="007D288E">
        <w:t xml:space="preserve">from Enhanced Services </w:t>
      </w:r>
      <w:r>
        <w:t>to another Provider</w:t>
      </w:r>
      <w:r w:rsidR="008C65ED">
        <w:t>.</w:t>
      </w:r>
    </w:p>
    <w:p w14:paraId="1F7B8CB1" w14:textId="58CFEE41" w:rsidR="007455BC" w:rsidRPr="00C02E2E" w:rsidRDefault="007455BC" w:rsidP="00C02E2E">
      <w:pPr>
        <w:pStyle w:val="Systemstep"/>
        <w:ind w:left="1418" w:hanging="1418"/>
        <w:rPr>
          <w:b/>
        </w:rPr>
      </w:pPr>
      <w:r w:rsidRPr="007A1B89">
        <w:rPr>
          <w:b/>
        </w:rPr>
        <w:t>System step</w:t>
      </w:r>
      <w:r>
        <w:rPr>
          <w:b/>
        </w:rPr>
        <w:t>:</w:t>
      </w:r>
      <w:r w:rsidRPr="007455BC">
        <w:t xml:space="preserve"> Provider</w:t>
      </w:r>
      <w:r>
        <w:t xml:space="preserve">s can </w:t>
      </w:r>
      <w:r w:rsidR="00790C3A">
        <w:t xml:space="preserve">claim Reimbursement at the Site level for any of their </w:t>
      </w:r>
      <w:r w:rsidR="0022687F">
        <w:t>Participant</w:t>
      </w:r>
      <w:r w:rsidR="00790C3A">
        <w:t xml:space="preserve">s, regardless of the </w:t>
      </w:r>
      <w:r w:rsidR="0022687F">
        <w:t>Participant</w:t>
      </w:r>
      <w:r w:rsidR="002C2AEA">
        <w:t xml:space="preserve">s </w:t>
      </w:r>
      <w:r w:rsidR="00790C3A">
        <w:t xml:space="preserve">Site. </w:t>
      </w:r>
      <w:r w:rsidR="00C02E2E">
        <w:t xml:space="preserve">This includes attributing </w:t>
      </w:r>
      <w:r w:rsidR="0022687F">
        <w:t>Participant</w:t>
      </w:r>
      <w:r w:rsidR="00C02E2E">
        <w:t xml:space="preserve">s to a bulk purchase. </w:t>
      </w:r>
      <w:r w:rsidR="00790C3A">
        <w:t>A Provider cannot claim Reimbursement</w:t>
      </w:r>
      <w:r w:rsidR="00C02E2E">
        <w:t xml:space="preserve"> if the participant is serviced under jobactive.</w:t>
      </w:r>
    </w:p>
    <w:p w14:paraId="61D1139A" w14:textId="77777777" w:rsidR="008C65ED" w:rsidRDefault="00380F99" w:rsidP="0032153C">
      <w:pPr>
        <w:pStyle w:val="guidelinebullet"/>
        <w:numPr>
          <w:ilvl w:val="0"/>
          <w:numId w:val="0"/>
        </w:numPr>
        <w:spacing w:before="120"/>
        <w:ind w:left="1440"/>
      </w:pPr>
      <w:r>
        <w:t>Participants concurrently serviced by other programs, are also eligible for assistance, including those participating in:</w:t>
      </w:r>
    </w:p>
    <w:p w14:paraId="2CE9E8B7" w14:textId="77777777" w:rsidR="00A623DF" w:rsidRPr="002E227E" w:rsidRDefault="00A623DF" w:rsidP="00A623DF">
      <w:pPr>
        <w:pStyle w:val="guidelinebullet"/>
      </w:pPr>
      <w:r>
        <w:t>New Enterprise Incentive Scheme (</w:t>
      </w:r>
      <w:r w:rsidRPr="002E227E">
        <w:t>NEIS</w:t>
      </w:r>
      <w:r>
        <w:t>)</w:t>
      </w:r>
      <w:r w:rsidRPr="002E227E">
        <w:t xml:space="preserve"> and have not yet commenced their NEIS Business</w:t>
      </w:r>
    </w:p>
    <w:p w14:paraId="2491924B" w14:textId="77777777" w:rsidR="00A623DF" w:rsidRPr="00927FD6" w:rsidRDefault="00A623DF" w:rsidP="00A623DF">
      <w:pPr>
        <w:pStyle w:val="guidelinebullet"/>
      </w:pPr>
      <w:r w:rsidRPr="00927FD6">
        <w:t>PaTH Internships and/or PaTH Employability Skills Training</w:t>
      </w:r>
    </w:p>
    <w:p w14:paraId="7FA60A9A" w14:textId="77777777" w:rsidR="00A623DF" w:rsidRDefault="00A623DF" w:rsidP="00A623DF">
      <w:pPr>
        <w:pStyle w:val="guidelinebullet"/>
      </w:pPr>
      <w:r>
        <w:t>placements supported under the Indigenous Advancement Strategy, including Jobs, Land and Economy Program projects, for example Vocational Training and Employment Centres, administered by the Department of the Prime Minister and Cabinet.</w:t>
      </w:r>
    </w:p>
    <w:p w14:paraId="1FF1C177" w14:textId="5A588BE2" w:rsidR="00A623DF" w:rsidRDefault="00A623DF" w:rsidP="00A623DF">
      <w:pPr>
        <w:pStyle w:val="guidelinetext"/>
      </w:pPr>
      <w:r>
        <w:t xml:space="preserve">For more information on </w:t>
      </w:r>
      <w:r w:rsidR="0022687F">
        <w:t>Participant</w:t>
      </w:r>
      <w:r>
        <w:t xml:space="preserve"> eligibility, refer to the </w:t>
      </w:r>
      <w:hyperlink r:id="rId25" w:history="1">
        <w:r w:rsidR="00EB6BA2">
          <w:rPr>
            <w:rStyle w:val="Hyperlink"/>
          </w:rPr>
          <w:t>New Employment Services Trial Eligibility, Referral and Commencement Guideline</w:t>
        </w:r>
      </w:hyperlink>
      <w:r>
        <w:t>.</w:t>
      </w:r>
    </w:p>
    <w:p w14:paraId="1897AE1A" w14:textId="77777777" w:rsidR="0007417F" w:rsidRDefault="00A623DF" w:rsidP="00777D25">
      <w:pPr>
        <w:pStyle w:val="guidelinedeedref"/>
        <w:rPr>
          <w:rFonts w:asciiTheme="majorHAnsi" w:eastAsiaTheme="majorEastAsia" w:hAnsiTheme="majorHAnsi" w:cstheme="majorBidi"/>
          <w:color w:val="2E74B5" w:themeColor="accent1" w:themeShade="BF"/>
          <w:sz w:val="32"/>
          <w:szCs w:val="32"/>
        </w:rPr>
      </w:pPr>
      <w:r>
        <w:t xml:space="preserve">(Deed reference: Clause </w:t>
      </w:r>
      <w:r w:rsidR="007078D1">
        <w:t>12</w:t>
      </w:r>
      <w:r w:rsidR="0086548B">
        <w:t>0</w:t>
      </w:r>
      <w:r>
        <w:t>.1)</w:t>
      </w:r>
      <w:bookmarkStart w:id="27" w:name="_Making_Purchases"/>
      <w:bookmarkStart w:id="28" w:name="_Making_Purchases_–"/>
      <w:bookmarkStart w:id="29" w:name="_Toc468875607"/>
      <w:bookmarkEnd w:id="27"/>
      <w:bookmarkEnd w:id="28"/>
    </w:p>
    <w:p w14:paraId="0DFED3F2" w14:textId="77777777" w:rsidR="00A623DF" w:rsidRDefault="00A623DF" w:rsidP="00A623DF">
      <w:pPr>
        <w:pStyle w:val="Heading1"/>
        <w:numPr>
          <w:ilvl w:val="0"/>
          <w:numId w:val="7"/>
        </w:numPr>
      </w:pPr>
      <w:bookmarkStart w:id="30" w:name="_Toc21002800"/>
      <w:bookmarkStart w:id="31" w:name="_Toc51762277"/>
      <w:r>
        <w:t xml:space="preserve">Making </w:t>
      </w:r>
      <w:r w:rsidR="006E51AA">
        <w:t xml:space="preserve">eligible </w:t>
      </w:r>
      <w:r>
        <w:t>Purchases</w:t>
      </w:r>
      <w:bookmarkEnd w:id="29"/>
      <w:bookmarkEnd w:id="30"/>
      <w:bookmarkEnd w:id="31"/>
    </w:p>
    <w:p w14:paraId="04159CBF" w14:textId="77777777" w:rsidR="00A623DF" w:rsidRPr="000E6B58" w:rsidRDefault="00A623DF" w:rsidP="000E6B58">
      <w:pPr>
        <w:pStyle w:val="guidelinetext"/>
      </w:pPr>
      <w:r>
        <w:t>A Provider</w:t>
      </w:r>
      <w:r w:rsidRPr="00B817C3">
        <w:t xml:space="preserve"> must first pay for eligible purchases and then </w:t>
      </w:r>
      <w:r>
        <w:t>claim</w:t>
      </w:r>
      <w:r w:rsidRPr="00B817C3">
        <w:t xml:space="preserve"> Reimbursement through the Employment Fund.</w:t>
      </w:r>
      <w:r w:rsidR="000E6B58">
        <w:t xml:space="preserve"> </w:t>
      </w:r>
    </w:p>
    <w:p w14:paraId="4C2AF6D8" w14:textId="77777777" w:rsidR="00337D0E" w:rsidRDefault="00337D0E" w:rsidP="00337D0E">
      <w:pPr>
        <w:pStyle w:val="Heading2"/>
      </w:pPr>
      <w:bookmarkStart w:id="32" w:name="_Toc21002801"/>
      <w:bookmarkStart w:id="33" w:name="_Toc51762278"/>
      <w:r>
        <w:t>Determining what is an Eligible Purchase</w:t>
      </w:r>
      <w:bookmarkEnd w:id="32"/>
      <w:bookmarkEnd w:id="33"/>
    </w:p>
    <w:p w14:paraId="274CA3CC" w14:textId="77777777" w:rsidR="00337D0E" w:rsidRDefault="00337D0E" w:rsidP="00337D0E">
      <w:pPr>
        <w:pStyle w:val="guidelinetext"/>
      </w:pPr>
      <w:r>
        <w:t>An eligible purchase is any purchase that:</w:t>
      </w:r>
    </w:p>
    <w:p w14:paraId="42348F18" w14:textId="77777777" w:rsidR="00337D0E" w:rsidRPr="00B86B06" w:rsidRDefault="00337D0E" w:rsidP="00337D0E">
      <w:pPr>
        <w:pStyle w:val="guidelinebullet"/>
      </w:pPr>
      <w:r>
        <w:t>meets the Employment Fund P</w:t>
      </w:r>
      <w:r w:rsidRPr="00B86B06">
        <w:t>rinciples</w:t>
      </w:r>
    </w:p>
    <w:p w14:paraId="75625838" w14:textId="77777777" w:rsidR="00337D0E" w:rsidRDefault="00337D0E" w:rsidP="00337D0E">
      <w:pPr>
        <w:pStyle w:val="guidelinebullet"/>
      </w:pPr>
      <w:r w:rsidRPr="00B86B06">
        <w:t>is not prohibited</w:t>
      </w:r>
      <w:r>
        <w:t>, and</w:t>
      </w:r>
    </w:p>
    <w:p w14:paraId="58DF47A4" w14:textId="77777777" w:rsidR="00337D0E" w:rsidRPr="00B86B06" w:rsidRDefault="00337D0E" w:rsidP="00337D0E">
      <w:pPr>
        <w:pStyle w:val="guidelinebullet"/>
      </w:pPr>
      <w:r w:rsidRPr="00B86B06">
        <w:t xml:space="preserve">satisfies any specific </w:t>
      </w:r>
      <w:r>
        <w:t xml:space="preserve">Employment Fund </w:t>
      </w:r>
      <w:r w:rsidRPr="00B86B06">
        <w:t>category requirements.</w:t>
      </w:r>
    </w:p>
    <w:p w14:paraId="08CC3C9E" w14:textId="77777777" w:rsidR="00337D0E" w:rsidRDefault="00337D0E" w:rsidP="00337D0E">
      <w:pPr>
        <w:pStyle w:val="Systemstep"/>
        <w:ind w:left="1418" w:hanging="1418"/>
      </w:pPr>
      <w:r w:rsidRPr="007A1B89">
        <w:rPr>
          <w:b/>
        </w:rPr>
        <w:t>System step</w:t>
      </w:r>
      <w:r>
        <w:rPr>
          <w:b/>
        </w:rPr>
        <w:t xml:space="preserve">: </w:t>
      </w:r>
      <w:r>
        <w:t xml:space="preserve"> </w:t>
      </w:r>
      <w:r w:rsidR="006A67A0">
        <w:t xml:space="preserve">A </w:t>
      </w:r>
      <w:r>
        <w:t xml:space="preserve">Provider must </w:t>
      </w:r>
      <w:r w:rsidRPr="00E4538E">
        <w:t xml:space="preserve">commit </w:t>
      </w:r>
      <w:r w:rsidR="006A67A0">
        <w:t xml:space="preserve">each eligible purchase </w:t>
      </w:r>
      <w:r w:rsidRPr="00E4538E">
        <w:t>in</w:t>
      </w:r>
      <w:r>
        <w:t xml:space="preserve"> the Department’s IT System and record against the relevant category </w:t>
      </w:r>
      <w:r w:rsidR="00A50A52">
        <w:t xml:space="preserve">and sub category </w:t>
      </w:r>
      <w:r>
        <w:t xml:space="preserve">as listed in </w:t>
      </w:r>
      <w:hyperlink w:anchor="_Table_1_–" w:history="1">
        <w:r w:rsidRPr="002F45B8">
          <w:rPr>
            <w:rStyle w:val="Hyperlink"/>
          </w:rPr>
          <w:t>Table 1 – Category Details and Documentary Evidence Requirements.</w:t>
        </w:r>
      </w:hyperlink>
      <w:r>
        <w:t xml:space="preserve"> </w:t>
      </w:r>
    </w:p>
    <w:p w14:paraId="1E3E2B4E" w14:textId="6E6062BF" w:rsidR="00337D0E" w:rsidRDefault="00337D0E" w:rsidP="00337D0E">
      <w:pPr>
        <w:pStyle w:val="guidelinetext"/>
      </w:pPr>
      <w:r>
        <w:t xml:space="preserve">Refer to the </w:t>
      </w:r>
      <w:hyperlink r:id="rId26" w:history="1">
        <w:r w:rsidR="00EB6BA2">
          <w:rPr>
            <w:rStyle w:val="Hyperlink"/>
          </w:rPr>
          <w:t>New Employment Services Trial Employment Fund General Account IT Supporting Document</w:t>
        </w:r>
      </w:hyperlink>
      <w:r w:rsidRPr="00392CB8">
        <w:rPr>
          <w:rStyle w:val="Hyperlink"/>
          <w:u w:val="none"/>
        </w:rPr>
        <w:t xml:space="preserve"> </w:t>
      </w:r>
      <w:r w:rsidRPr="00392CB8">
        <w:t>for</w:t>
      </w:r>
      <w:r>
        <w:t xml:space="preserve"> guidance on how to:</w:t>
      </w:r>
    </w:p>
    <w:p w14:paraId="521001C3" w14:textId="77777777" w:rsidR="00337D0E" w:rsidRDefault="00337D0E" w:rsidP="00337D0E">
      <w:pPr>
        <w:pStyle w:val="guidelinebullet"/>
      </w:pPr>
      <w:r>
        <w:lastRenderedPageBreak/>
        <w:t>create a commitment and Reimburse a commitment in two steps</w:t>
      </w:r>
    </w:p>
    <w:p w14:paraId="4B20790B" w14:textId="77777777" w:rsidR="00337D0E" w:rsidRDefault="00337D0E" w:rsidP="00337D0E">
      <w:pPr>
        <w:pStyle w:val="guidelinetext"/>
      </w:pPr>
      <w:r>
        <w:t>or</w:t>
      </w:r>
    </w:p>
    <w:p w14:paraId="37D087B8" w14:textId="77777777" w:rsidR="00337D0E" w:rsidRDefault="00337D0E" w:rsidP="00337D0E">
      <w:pPr>
        <w:pStyle w:val="guidelinebullet"/>
      </w:pPr>
      <w:r>
        <w:t>create and R</w:t>
      </w:r>
      <w:r w:rsidRPr="00521C29">
        <w:t xml:space="preserve">eimburse a </w:t>
      </w:r>
      <w:r>
        <w:t>commitment</w:t>
      </w:r>
      <w:r w:rsidRPr="00521C29">
        <w:t xml:space="preserve"> in one step</w:t>
      </w:r>
      <w:r>
        <w:t xml:space="preserve"> </w:t>
      </w:r>
    </w:p>
    <w:p w14:paraId="55F366D3" w14:textId="77777777" w:rsidR="00337D0E" w:rsidRDefault="00337D0E" w:rsidP="00337D0E">
      <w:pPr>
        <w:pStyle w:val="guidelinetext"/>
      </w:pPr>
      <w:r>
        <w:t>in the Department’s IT System.</w:t>
      </w:r>
    </w:p>
    <w:p w14:paraId="75BC8357" w14:textId="77777777" w:rsidR="00337D0E" w:rsidRPr="003A5097" w:rsidRDefault="00337D0E" w:rsidP="00337D0E">
      <w:pPr>
        <w:pStyle w:val="guidelinedeedref"/>
      </w:pPr>
      <w:r>
        <w:t>(Deed r</w:t>
      </w:r>
      <w:r w:rsidRPr="003A5097">
        <w:t xml:space="preserve">eferences: Clauses </w:t>
      </w:r>
      <w:r w:rsidR="007078D1">
        <w:t>12</w:t>
      </w:r>
      <w:r w:rsidR="0086548B">
        <w:t>0</w:t>
      </w:r>
      <w:r w:rsidRPr="003A5097">
        <w:t xml:space="preserve">.1, </w:t>
      </w:r>
      <w:r w:rsidR="007078D1">
        <w:t>12</w:t>
      </w:r>
      <w:r w:rsidR="0086548B">
        <w:t>0</w:t>
      </w:r>
      <w:r w:rsidRPr="003A5097">
        <w:t>.2)</w:t>
      </w:r>
    </w:p>
    <w:p w14:paraId="5C07A6E0" w14:textId="77777777" w:rsidR="00C311A1" w:rsidRDefault="006E51AA" w:rsidP="0032153C">
      <w:pPr>
        <w:pStyle w:val="Heading2"/>
      </w:pPr>
      <w:bookmarkStart w:id="34" w:name="_Toc21002802"/>
      <w:bookmarkStart w:id="35" w:name="_Toc51762279"/>
      <w:r>
        <w:t>Meeting the Employment Fund Principles</w:t>
      </w:r>
      <w:bookmarkEnd w:id="34"/>
      <w:bookmarkEnd w:id="35"/>
    </w:p>
    <w:p w14:paraId="2C99CC66" w14:textId="77777777" w:rsidR="00A623DF" w:rsidRDefault="00A623DF" w:rsidP="00A623DF">
      <w:pPr>
        <w:pStyle w:val="guidelinetext"/>
      </w:pPr>
      <w:r>
        <w:t>A Provider must ensure the purchase meets the Employment Fund Principles before purchasing goods and services that will be reimbursed from the Employment Fund:</w:t>
      </w:r>
    </w:p>
    <w:p w14:paraId="2343238C" w14:textId="77777777" w:rsidR="00A623DF" w:rsidRDefault="00A623DF" w:rsidP="00A623DF">
      <w:pPr>
        <w:pStyle w:val="guidelinebullet"/>
      </w:pPr>
      <w:r>
        <w:t xml:space="preserve">provides eligible </w:t>
      </w:r>
      <w:r w:rsidR="005D0DAA">
        <w:t>Participant</w:t>
      </w:r>
      <w:r>
        <w:t>s with the work-related tools, skills and experience that correspond with their difficulties in finding and keeping a job in the relevant labour market</w:t>
      </w:r>
    </w:p>
    <w:p w14:paraId="61B77811" w14:textId="77777777" w:rsidR="00A623DF" w:rsidRDefault="00A623DF" w:rsidP="00A623DF">
      <w:pPr>
        <w:pStyle w:val="guidelinebullet"/>
      </w:pPr>
      <w:r>
        <w:t>provides value for money</w:t>
      </w:r>
    </w:p>
    <w:p w14:paraId="56860595" w14:textId="77777777" w:rsidR="00A623DF" w:rsidRDefault="00A623DF" w:rsidP="00A623DF">
      <w:pPr>
        <w:pStyle w:val="guidelinebullet"/>
      </w:pPr>
      <w:r>
        <w:t>complies with any work, health and safety laws that may apply</w:t>
      </w:r>
    </w:p>
    <w:p w14:paraId="6E91040F" w14:textId="77777777" w:rsidR="00A623DF" w:rsidRDefault="00A623DF" w:rsidP="00A623DF">
      <w:pPr>
        <w:pStyle w:val="guidelinebullet"/>
      </w:pPr>
      <w:r>
        <w:t>withstands public scrutiny, and</w:t>
      </w:r>
    </w:p>
    <w:p w14:paraId="4C55B8F9" w14:textId="77777777" w:rsidR="00A623DF" w:rsidRDefault="00A623DF" w:rsidP="00A623DF">
      <w:pPr>
        <w:pStyle w:val="guidelinebullet"/>
      </w:pPr>
      <w:r>
        <w:t xml:space="preserve">will not </w:t>
      </w:r>
      <w:r w:rsidRPr="000838A4">
        <w:t>bring employment services or</w:t>
      </w:r>
      <w:r>
        <w:t xml:space="preserve"> the Government into disrepute.</w:t>
      </w:r>
    </w:p>
    <w:p w14:paraId="0FA5F650" w14:textId="77777777" w:rsidR="00A623DF" w:rsidRDefault="00A623DF" w:rsidP="00A623DF">
      <w:pPr>
        <w:pStyle w:val="Heading2"/>
      </w:pPr>
      <w:bookmarkStart w:id="36" w:name="_Determining_what_is"/>
      <w:bookmarkStart w:id="37" w:name="_Toc468875610"/>
      <w:bookmarkStart w:id="38" w:name="_Ref470096174"/>
      <w:bookmarkStart w:id="39" w:name="_Toc21002803"/>
      <w:bookmarkStart w:id="40" w:name="_Toc51762280"/>
      <w:bookmarkEnd w:id="36"/>
      <w:r w:rsidRPr="003A5097">
        <w:t>Determining</w:t>
      </w:r>
      <w:r>
        <w:t xml:space="preserve"> what is a Prohibited Purchase</w:t>
      </w:r>
      <w:bookmarkEnd w:id="37"/>
      <w:bookmarkEnd w:id="38"/>
      <w:bookmarkEnd w:id="39"/>
      <w:bookmarkEnd w:id="40"/>
    </w:p>
    <w:p w14:paraId="6CE703F9" w14:textId="77777777" w:rsidR="00A623DF" w:rsidRDefault="00A623DF" w:rsidP="00A623DF">
      <w:pPr>
        <w:pStyle w:val="guidelinetext"/>
      </w:pPr>
      <w:r>
        <w:t>A Provider must not claim Reimbursement through the Employment Fund General Account for prohibited goods and services. Prohibited purchases are:</w:t>
      </w:r>
    </w:p>
    <w:p w14:paraId="75904809" w14:textId="77777777" w:rsidR="00A623DF" w:rsidRDefault="00A623DF" w:rsidP="007B5DA6">
      <w:pPr>
        <w:pStyle w:val="guidelinebullet"/>
      </w:pPr>
      <w:r w:rsidRPr="00EB6E07">
        <w:t>any goods a</w:t>
      </w:r>
      <w:r>
        <w:t xml:space="preserve">nd services purchased prior to </w:t>
      </w:r>
      <w:r w:rsidR="007B5DA6">
        <w:t xml:space="preserve">the </w:t>
      </w:r>
      <w:r w:rsidR="007B5DA6" w:rsidRPr="007B5DA6">
        <w:t>Enhanced Services Start Date</w:t>
      </w:r>
      <w:r w:rsidR="007B5DA6">
        <w:t xml:space="preserve"> as defined in </w:t>
      </w:r>
      <w:r>
        <w:t xml:space="preserve">the </w:t>
      </w:r>
      <w:r w:rsidR="00151CC7">
        <w:t>New Employment Services Trial (</w:t>
      </w:r>
      <w:r w:rsidR="006A412D">
        <w:t>NEST</w:t>
      </w:r>
      <w:r w:rsidR="00151CC7">
        <w:t>)</w:t>
      </w:r>
      <w:r w:rsidR="006A412D">
        <w:t xml:space="preserve"> </w:t>
      </w:r>
      <w:r>
        <w:t>D</w:t>
      </w:r>
      <w:r w:rsidRPr="00EB6E07">
        <w:t>eed</w:t>
      </w:r>
    </w:p>
    <w:p w14:paraId="3B2886B8" w14:textId="4E67EF72" w:rsidR="00996495" w:rsidRPr="00EB6E07" w:rsidRDefault="00996495" w:rsidP="00996495">
      <w:pPr>
        <w:pStyle w:val="guidelinebullet"/>
      </w:pPr>
      <w:r>
        <w:t xml:space="preserve">any goods or services incurred while </w:t>
      </w:r>
      <w:r w:rsidR="005D0DAA">
        <w:t>Participant</w:t>
      </w:r>
      <w:r>
        <w:t>s were participating in</w:t>
      </w:r>
      <w:r w:rsidRPr="00996495">
        <w:t xml:space="preserve"> Digital Services</w:t>
      </w:r>
      <w:r w:rsidRPr="00744D2E">
        <w:t>, OES</w:t>
      </w:r>
      <w:r w:rsidR="00D234EE" w:rsidRPr="00744D2E">
        <w:t>,</w:t>
      </w:r>
      <w:r w:rsidR="00D234EE">
        <w:t xml:space="preserve"> VOEST</w:t>
      </w:r>
      <w:r>
        <w:t xml:space="preserve"> or jobactive</w:t>
      </w:r>
      <w:r w:rsidR="00047509">
        <w:t xml:space="preserve">. This includes Digital First or Digital Plus </w:t>
      </w:r>
      <w:r w:rsidR="005D0DAA">
        <w:t>Participant</w:t>
      </w:r>
      <w:r w:rsidR="00047509">
        <w:t xml:space="preserve">s </w:t>
      </w:r>
      <w:r w:rsidR="0022687F">
        <w:t>allocated</w:t>
      </w:r>
      <w:r w:rsidR="00047509">
        <w:t xml:space="preserve"> to the Provider for activity purposes only.</w:t>
      </w:r>
    </w:p>
    <w:p w14:paraId="1CC507A7" w14:textId="77777777" w:rsidR="00871529" w:rsidRPr="001D01A0" w:rsidRDefault="00871529" w:rsidP="00871529">
      <w:pPr>
        <w:pStyle w:val="guidelinebullet"/>
      </w:pPr>
      <w:r w:rsidRPr="001D01A0">
        <w:t>any costs and overheads</w:t>
      </w:r>
      <w:r>
        <w:t>, such as travel time, travel costs and administration costs</w:t>
      </w:r>
      <w:r w:rsidRPr="001D01A0">
        <w:t xml:space="preserve"> associated with</w:t>
      </w:r>
      <w:r>
        <w:t xml:space="preserve"> either</w:t>
      </w:r>
      <w:r w:rsidRPr="001D01A0">
        <w:t>:</w:t>
      </w:r>
    </w:p>
    <w:p w14:paraId="4DC35E18" w14:textId="77777777" w:rsidR="00871529" w:rsidRPr="00B817C3" w:rsidRDefault="00871529" w:rsidP="00AB37AA">
      <w:pPr>
        <w:pStyle w:val="guidelinebullet"/>
        <w:numPr>
          <w:ilvl w:val="1"/>
          <w:numId w:val="9"/>
        </w:numPr>
      </w:pPr>
      <w:r w:rsidRPr="00B817C3">
        <w:t xml:space="preserve">the provision </w:t>
      </w:r>
      <w:r w:rsidRPr="000838A4">
        <w:t>of employment services</w:t>
      </w:r>
    </w:p>
    <w:p w14:paraId="5AFDA30C" w14:textId="77777777" w:rsidR="00871529" w:rsidRPr="00B817C3" w:rsidRDefault="00871529" w:rsidP="00AB37AA">
      <w:pPr>
        <w:pStyle w:val="guidelinebullet"/>
        <w:numPr>
          <w:ilvl w:val="1"/>
          <w:numId w:val="9"/>
        </w:numPr>
      </w:pPr>
      <w:r w:rsidRPr="00B817C3">
        <w:t xml:space="preserve">cost of Service delivery on an outreach basis </w:t>
      </w:r>
    </w:p>
    <w:p w14:paraId="4F64E584" w14:textId="77777777" w:rsidR="00871529" w:rsidRPr="00B817C3" w:rsidRDefault="00871529" w:rsidP="00AB37AA">
      <w:pPr>
        <w:pStyle w:val="guidelinebullet"/>
        <w:numPr>
          <w:ilvl w:val="1"/>
          <w:numId w:val="9"/>
        </w:numPr>
      </w:pPr>
      <w:r w:rsidRPr="00B817C3">
        <w:t>the administration of the Employment Fund</w:t>
      </w:r>
    </w:p>
    <w:p w14:paraId="6CC5D0D7" w14:textId="77777777" w:rsidR="00A623DF" w:rsidRPr="001D01A0" w:rsidRDefault="00871529" w:rsidP="007455BC">
      <w:pPr>
        <w:pStyle w:val="guidelinebullet"/>
      </w:pPr>
      <w:r>
        <w:t xml:space="preserve">any goods and services considered </w:t>
      </w:r>
      <w:r w:rsidRPr="0032153C">
        <w:t>core services</w:t>
      </w:r>
      <w:r>
        <w:t xml:space="preserve"> under the Deed, including Contacts with </w:t>
      </w:r>
      <w:r w:rsidR="005D0DAA">
        <w:t>Participant</w:t>
      </w:r>
      <w:r>
        <w:t xml:space="preserve">s, </w:t>
      </w:r>
      <w:r w:rsidRPr="00871529">
        <w:t>verification of Employment or Education Outcome claim</w:t>
      </w:r>
      <w:r>
        <w:t xml:space="preserve">, reverse marketing, </w:t>
      </w:r>
      <w:r w:rsidR="00A623DF" w:rsidRPr="001D01A0">
        <w:t>job search training</w:t>
      </w:r>
      <w:r>
        <w:t xml:space="preserve"> (</w:t>
      </w:r>
      <w:r w:rsidR="00A623DF" w:rsidRPr="001D01A0">
        <w:t>r</w:t>
      </w:r>
      <w:r w:rsidR="00A623DF">
        <w:t xml:space="preserve">ésumé writing, job application and </w:t>
      </w:r>
      <w:r w:rsidR="00A623DF" w:rsidRPr="001D01A0">
        <w:t>interview skills development</w:t>
      </w:r>
      <w:r w:rsidR="00B258D2">
        <w:t xml:space="preserve">), </w:t>
      </w:r>
      <w:r w:rsidR="0029409C">
        <w:t>and general mentoring and post placement support.</w:t>
      </w:r>
    </w:p>
    <w:p w14:paraId="7BE9CAC7" w14:textId="77777777" w:rsidR="00A4531B" w:rsidRPr="001D01A0" w:rsidRDefault="00A4531B" w:rsidP="00A4531B">
      <w:pPr>
        <w:pStyle w:val="guidelinebullet"/>
      </w:pPr>
      <w:r w:rsidRPr="001D01A0">
        <w:t xml:space="preserve">legal fees or security costs incurred by </w:t>
      </w:r>
      <w:r>
        <w:t>a</w:t>
      </w:r>
      <w:r w:rsidRPr="001D01A0">
        <w:t xml:space="preserve"> Provider</w:t>
      </w:r>
    </w:p>
    <w:p w14:paraId="53152C1A" w14:textId="77777777" w:rsidR="00A4531B" w:rsidRDefault="00A4531B" w:rsidP="00A4531B">
      <w:pPr>
        <w:pStyle w:val="guidelinebullet"/>
      </w:pPr>
      <w:r w:rsidRPr="00C214EA">
        <w:t>any interest charged on credit cards</w:t>
      </w:r>
      <w:r>
        <w:t>, including account and credit card fees</w:t>
      </w:r>
    </w:p>
    <w:p w14:paraId="6E49CC5E" w14:textId="77777777" w:rsidR="00A4531B" w:rsidRPr="001D01A0" w:rsidRDefault="00A4531B" w:rsidP="00A4531B">
      <w:pPr>
        <w:pStyle w:val="guidelinebullet"/>
      </w:pPr>
      <w:r w:rsidRPr="00EB6E07">
        <w:t xml:space="preserve">gifts, cash and incentives to </w:t>
      </w:r>
      <w:r w:rsidR="005D0DAA">
        <w:t>Participant</w:t>
      </w:r>
      <w:r>
        <w:t>s</w:t>
      </w:r>
      <w:r w:rsidRPr="001D01A0">
        <w:t xml:space="preserve"> or Employers, including payout of loans or credit cards</w:t>
      </w:r>
    </w:p>
    <w:p w14:paraId="203213B5" w14:textId="77777777" w:rsidR="00A4531B" w:rsidRPr="00EB6E07" w:rsidRDefault="00A4531B" w:rsidP="00A4531B">
      <w:pPr>
        <w:pStyle w:val="guidelinebullet"/>
      </w:pPr>
      <w:r w:rsidRPr="00EB6E07">
        <w:t xml:space="preserve">assets that remain the property of </w:t>
      </w:r>
      <w:r>
        <w:t>a</w:t>
      </w:r>
      <w:r w:rsidRPr="00EB6E07">
        <w:t xml:space="preserve"> Provider</w:t>
      </w:r>
    </w:p>
    <w:p w14:paraId="3C2ACD69" w14:textId="77777777" w:rsidR="00A4531B" w:rsidRPr="00EB6E07" w:rsidRDefault="00A4531B" w:rsidP="00A4531B">
      <w:pPr>
        <w:pStyle w:val="guidelinebullet"/>
      </w:pPr>
      <w:r w:rsidRPr="00EB6E07">
        <w:t xml:space="preserve">assets for a </w:t>
      </w:r>
      <w:r w:rsidR="005D0DAA">
        <w:t>Participant</w:t>
      </w:r>
      <w:r w:rsidRPr="00EB6E07">
        <w:t xml:space="preserve"> or Employer that are not used primarily to assist the </w:t>
      </w:r>
      <w:r w:rsidR="005D0DAA">
        <w:t>Participant</w:t>
      </w:r>
      <w:r w:rsidRPr="00EB6E07">
        <w:t xml:space="preserve"> in accordance with the</w:t>
      </w:r>
      <w:r>
        <w:t xml:space="preserve"> </w:t>
      </w:r>
      <w:hyperlink w:anchor="_Making_Purchases_–" w:history="1">
        <w:r w:rsidRPr="00F35815">
          <w:rPr>
            <w:rStyle w:val="Hyperlink"/>
          </w:rPr>
          <w:t>Employment Fund Principles</w:t>
        </w:r>
      </w:hyperlink>
    </w:p>
    <w:p w14:paraId="511719FF" w14:textId="77777777" w:rsidR="00467B55" w:rsidRDefault="00A4531B" w:rsidP="00467B55">
      <w:pPr>
        <w:pStyle w:val="guidelinebullet"/>
      </w:pPr>
      <w:r w:rsidRPr="001C174B">
        <w:t xml:space="preserve">goods or </w:t>
      </w:r>
      <w:r w:rsidRPr="001D01A0">
        <w:t>services</w:t>
      </w:r>
      <w:r w:rsidRPr="001C174B">
        <w:t xml:space="preserve"> </w:t>
      </w:r>
      <w:r>
        <w:t>if a P</w:t>
      </w:r>
      <w:r w:rsidRPr="001C174B">
        <w:t xml:space="preserve">rovider is entitled to payment from </w:t>
      </w:r>
      <w:r w:rsidRPr="001D01A0">
        <w:t>the Department</w:t>
      </w:r>
      <w:r w:rsidRPr="008A0B50">
        <w:t xml:space="preserve">, other </w:t>
      </w:r>
      <w:r>
        <w:t>Australian Government</w:t>
      </w:r>
      <w:r w:rsidRPr="008A0B50">
        <w:t xml:space="preserve"> sources or state, territory or local government bodies for those items</w:t>
      </w:r>
      <w:r>
        <w:t>, such as</w:t>
      </w:r>
      <w:r w:rsidR="00467B55">
        <w:t>:</w:t>
      </w:r>
    </w:p>
    <w:p w14:paraId="7E4D3834" w14:textId="77777777" w:rsidR="00467B55" w:rsidRDefault="00A4531B" w:rsidP="00AB37AA">
      <w:pPr>
        <w:pStyle w:val="guidelinebullet"/>
        <w:numPr>
          <w:ilvl w:val="1"/>
          <w:numId w:val="9"/>
        </w:numPr>
      </w:pPr>
      <w:r>
        <w:lastRenderedPageBreak/>
        <w:t>National Work Experience Programme Payments</w:t>
      </w:r>
    </w:p>
    <w:p w14:paraId="7DDB7453" w14:textId="77777777" w:rsidR="00A4531B" w:rsidRPr="001D01A0" w:rsidRDefault="00467B55" w:rsidP="00AB37AA">
      <w:pPr>
        <w:pStyle w:val="guidelinebullet"/>
        <w:numPr>
          <w:ilvl w:val="1"/>
          <w:numId w:val="9"/>
        </w:numPr>
      </w:pPr>
      <w:r w:rsidRPr="00467B55">
        <w:t>PaTH Internship Host Business payments</w:t>
      </w:r>
    </w:p>
    <w:p w14:paraId="670A99BF" w14:textId="77777777" w:rsidR="00A4531B" w:rsidRDefault="00A4531B" w:rsidP="00AB37AA">
      <w:pPr>
        <w:pStyle w:val="guidelinebullet"/>
        <w:numPr>
          <w:ilvl w:val="1"/>
          <w:numId w:val="9"/>
        </w:numPr>
      </w:pPr>
      <w:r>
        <w:t xml:space="preserve">goods </w:t>
      </w:r>
      <w:r w:rsidRPr="001D01A0">
        <w:t>or services that are directly funded through the Indigenous Advancement Strategy</w:t>
      </w:r>
      <w:r>
        <w:t>, including</w:t>
      </w:r>
      <w:r w:rsidRPr="001D01A0">
        <w:t xml:space="preserve"> </w:t>
      </w:r>
      <w:r w:rsidRPr="00E60FBB">
        <w:t xml:space="preserve">costs already paid for by a Vocational Training Employment Centre </w:t>
      </w:r>
      <w:r>
        <w:t>(</w:t>
      </w:r>
      <w:r w:rsidRPr="00E60FBB">
        <w:t>VTEC</w:t>
      </w:r>
      <w:r>
        <w:t xml:space="preserve">), </w:t>
      </w:r>
      <w:r w:rsidRPr="00E60FBB">
        <w:t>such as mentoring s</w:t>
      </w:r>
      <w:r>
        <w:t>upport</w:t>
      </w:r>
    </w:p>
    <w:p w14:paraId="1CB92F7F" w14:textId="77777777" w:rsidR="00A4531B" w:rsidRDefault="00A4531B" w:rsidP="00AB37AA">
      <w:pPr>
        <w:pStyle w:val="guidelinebullet"/>
        <w:numPr>
          <w:ilvl w:val="1"/>
          <w:numId w:val="9"/>
        </w:numPr>
      </w:pPr>
      <w:r w:rsidRPr="00846117">
        <w:t>goods or services that are directly funded through other Government programs or grants, such as Regional Employment Trials</w:t>
      </w:r>
    </w:p>
    <w:p w14:paraId="075FDF53" w14:textId="77777777" w:rsidR="005F5D6A" w:rsidRDefault="005F5D6A" w:rsidP="00AB37AA">
      <w:pPr>
        <w:pStyle w:val="guidelinebullet"/>
        <w:numPr>
          <w:ilvl w:val="1"/>
          <w:numId w:val="9"/>
        </w:numPr>
      </w:pPr>
      <w:r w:rsidRPr="00DB4DC0">
        <w:t>Digital Training</w:t>
      </w:r>
      <w:r>
        <w:t xml:space="preserve"> Fee payments</w:t>
      </w:r>
      <w:r w:rsidDel="002C3A25">
        <w:t xml:space="preserve"> </w:t>
      </w:r>
    </w:p>
    <w:p w14:paraId="040731DF" w14:textId="465A7D1B" w:rsidR="00B4358B" w:rsidRDefault="00DB4DC0" w:rsidP="00AB37AA">
      <w:pPr>
        <w:pStyle w:val="guidelinebullet"/>
        <w:numPr>
          <w:ilvl w:val="1"/>
          <w:numId w:val="9"/>
        </w:numPr>
      </w:pPr>
      <w:r w:rsidRPr="00DB4DC0">
        <w:t xml:space="preserve">Employment Preparation Activity </w:t>
      </w:r>
      <w:r w:rsidR="00B4358B">
        <w:t>payments</w:t>
      </w:r>
    </w:p>
    <w:p w14:paraId="2310ECC3" w14:textId="780F0F62" w:rsidR="00A4531B" w:rsidRDefault="00A4531B" w:rsidP="005D0151">
      <w:pPr>
        <w:pStyle w:val="guidelinebullet"/>
        <w:numPr>
          <w:ilvl w:val="1"/>
          <w:numId w:val="9"/>
        </w:numPr>
      </w:pPr>
      <w:r>
        <w:t xml:space="preserve">Youth Bonus Wage Subsidy </w:t>
      </w:r>
    </w:p>
    <w:p w14:paraId="74CE1384" w14:textId="6A587F6F" w:rsidR="000F7419" w:rsidRPr="008F6D57" w:rsidRDefault="000F7419" w:rsidP="00CB2A5E">
      <w:pPr>
        <w:pStyle w:val="guidelinebullet"/>
        <w:numPr>
          <w:ilvl w:val="1"/>
          <w:numId w:val="9"/>
        </w:numPr>
      </w:pPr>
      <w:r w:rsidRPr="008F6D57">
        <w:t>Career Transition Assistance payments from</w:t>
      </w:r>
      <w:r w:rsidR="006B37E9" w:rsidRPr="008F6D57">
        <w:t xml:space="preserve"> </w:t>
      </w:r>
      <w:r w:rsidR="00E12120" w:rsidRPr="008F6D57">
        <w:t>4</w:t>
      </w:r>
      <w:r w:rsidR="00CB2A5E" w:rsidRPr="008F6D57">
        <w:t xml:space="preserve"> May </w:t>
      </w:r>
      <w:r w:rsidR="006B37E9" w:rsidRPr="008F6D57">
        <w:t>2020.</w:t>
      </w:r>
    </w:p>
    <w:p w14:paraId="5B57C9E2" w14:textId="133E5820" w:rsidR="00A4531B" w:rsidRPr="00324B3D" w:rsidRDefault="00A4531B" w:rsidP="00A4531B">
      <w:pPr>
        <w:pStyle w:val="guidelinebullet"/>
      </w:pPr>
      <w:r w:rsidRPr="00324B3D">
        <w:t>any assessment tool costs, including the cost of accessing or using any skills, vocational or non-vocational assessment tools, except:</w:t>
      </w:r>
    </w:p>
    <w:p w14:paraId="51E8C329" w14:textId="36E213AE" w:rsidR="00A4531B" w:rsidRPr="009F0AB1" w:rsidRDefault="00A4531B" w:rsidP="00C54D51">
      <w:pPr>
        <w:pStyle w:val="guidelinebullet"/>
        <w:numPr>
          <w:ilvl w:val="1"/>
          <w:numId w:val="8"/>
        </w:numPr>
      </w:pPr>
      <w:r w:rsidRPr="009F0AB1">
        <w:t xml:space="preserve">Comprehensive </w:t>
      </w:r>
      <w:r w:rsidR="009F0AB1">
        <w:t>s</w:t>
      </w:r>
      <w:r w:rsidR="009F0AB1" w:rsidRPr="009F0AB1">
        <w:t xml:space="preserve">kills </w:t>
      </w:r>
      <w:r w:rsidR="009F0AB1">
        <w:t>a</w:t>
      </w:r>
      <w:r w:rsidR="009F0AB1" w:rsidRPr="009F0AB1">
        <w:t xml:space="preserve">ssessments </w:t>
      </w:r>
      <w:r w:rsidRPr="009F0AB1">
        <w:t>for Stronger Transitions Eligible Participants.</w:t>
      </w:r>
      <w:r w:rsidR="000F7419">
        <w:t xml:space="preserve"> Assessments claimed prior to 1 July 2020 must be conducted by Transition Services Panel Members, or any other Departmental approved service providers.</w:t>
      </w:r>
    </w:p>
    <w:p w14:paraId="6993D07D" w14:textId="77777777" w:rsidR="0029409C" w:rsidRDefault="0029409C" w:rsidP="0029409C">
      <w:pPr>
        <w:pStyle w:val="guidelinebullet"/>
      </w:pPr>
      <w:r w:rsidRPr="001D01A0">
        <w:t>an Employer’s workers compensation or insurance policy Payments</w:t>
      </w:r>
      <w:r w:rsidRPr="00F7648E">
        <w:t xml:space="preserve"> </w:t>
      </w:r>
    </w:p>
    <w:p w14:paraId="66B22805" w14:textId="77777777" w:rsidR="0029409C" w:rsidRPr="00FB574F" w:rsidRDefault="0029409C" w:rsidP="0029409C">
      <w:pPr>
        <w:pStyle w:val="guidelinebullet"/>
      </w:pPr>
      <w:r w:rsidRPr="00AE2863">
        <w:t xml:space="preserve">any costs </w:t>
      </w:r>
      <w:r>
        <w:t xml:space="preserve">that can be claimed or are subject to a claim </w:t>
      </w:r>
      <w:r w:rsidRPr="00AE2863">
        <w:t xml:space="preserve">under the Department’s personal accident insurance and combined public and/or product liability insurance policies for </w:t>
      </w:r>
      <w:r w:rsidR="005D0DAA">
        <w:t>Participant</w:t>
      </w:r>
      <w:r>
        <w:t>s</w:t>
      </w:r>
      <w:r w:rsidRPr="00AE2863">
        <w:t xml:space="preserve"> undertaking Activities</w:t>
      </w:r>
      <w:r>
        <w:t xml:space="preserve"> </w:t>
      </w:r>
      <w:r w:rsidRPr="00FB574F">
        <w:t xml:space="preserve">or the </w:t>
      </w:r>
      <w:r>
        <w:t>P</w:t>
      </w:r>
      <w:r w:rsidRPr="00FB574F">
        <w:t>rovider</w:t>
      </w:r>
      <w:r>
        <w:t>’s</w:t>
      </w:r>
      <w:r w:rsidRPr="00FB574F">
        <w:t xml:space="preserve"> insurance policies </w:t>
      </w:r>
    </w:p>
    <w:p w14:paraId="5BB63523" w14:textId="77777777" w:rsidR="00A623DF" w:rsidRPr="001D01A0" w:rsidRDefault="00A623DF" w:rsidP="00A623DF">
      <w:pPr>
        <w:pStyle w:val="guidelinebullet"/>
      </w:pPr>
      <w:r>
        <w:t xml:space="preserve">any costs associated with </w:t>
      </w:r>
      <w:r w:rsidR="00C95098">
        <w:t xml:space="preserve">Department approved </w:t>
      </w:r>
      <w:r w:rsidRPr="001D01A0">
        <w:t>non-government program</w:t>
      </w:r>
      <w:r w:rsidR="00C95098">
        <w:t>s</w:t>
      </w:r>
      <w:r w:rsidRPr="001D01A0">
        <w:t xml:space="preserve"> </w:t>
      </w:r>
      <w:r>
        <w:t>if</w:t>
      </w:r>
      <w:r w:rsidRPr="001D01A0">
        <w:t xml:space="preserve"> delivered by </w:t>
      </w:r>
      <w:r>
        <w:t>a Provider’s</w:t>
      </w:r>
      <w:r w:rsidRPr="001D01A0">
        <w:t xml:space="preserve"> Own Organisation or a Related Entity</w:t>
      </w:r>
    </w:p>
    <w:p w14:paraId="78215A13" w14:textId="77777777" w:rsidR="0029409C" w:rsidRDefault="0029409C" w:rsidP="0029409C">
      <w:pPr>
        <w:pStyle w:val="guidelinebullet"/>
      </w:pPr>
      <w:r w:rsidRPr="001D01A0">
        <w:t>any costs</w:t>
      </w:r>
      <w:r>
        <w:t xml:space="preserve"> </w:t>
      </w:r>
      <w:r w:rsidRPr="001D01A0">
        <w:t>associated with Work for the Dole or fu</w:t>
      </w:r>
      <w:r>
        <w:t>nded through Work for the Dole A</w:t>
      </w:r>
      <w:r w:rsidRPr="001D01A0">
        <w:t>ctivities</w:t>
      </w:r>
      <w:r>
        <w:t xml:space="preserve">, </w:t>
      </w:r>
      <w:r w:rsidR="00BD3FEF" w:rsidRPr="00BD3FEF">
        <w:t xml:space="preserve">unless specified in </w:t>
      </w:r>
      <w:hyperlink w:anchor="_Table_1_–" w:history="1">
        <w:r w:rsidR="00BD3FEF" w:rsidRPr="00171544">
          <w:rPr>
            <w:rStyle w:val="Hyperlink"/>
          </w:rPr>
          <w:t>Table 1 – Category Details and Documentary Evidence Requirements</w:t>
        </w:r>
      </w:hyperlink>
    </w:p>
    <w:p w14:paraId="32898D5B" w14:textId="77777777" w:rsidR="0029409C" w:rsidRDefault="0029409C" w:rsidP="0029409C">
      <w:pPr>
        <w:pStyle w:val="guidelinebullet"/>
      </w:pPr>
      <w:r w:rsidRPr="001C174B">
        <w:t xml:space="preserve">the </w:t>
      </w:r>
      <w:r w:rsidRPr="001D01A0">
        <w:t>costs</w:t>
      </w:r>
      <w:r w:rsidRPr="001C174B">
        <w:t xml:space="preserve"> of police or </w:t>
      </w:r>
      <w:r w:rsidRPr="001D01A0">
        <w:t>criminal</w:t>
      </w:r>
      <w:r w:rsidRPr="001C174B">
        <w:t xml:space="preserve"> records checks for Superv</w:t>
      </w:r>
      <w:r>
        <w:t>isors on non-Work for the Dole A</w:t>
      </w:r>
      <w:r w:rsidRPr="001C174B">
        <w:t>ctivities</w:t>
      </w:r>
    </w:p>
    <w:p w14:paraId="620098AD" w14:textId="77777777" w:rsidR="00A623DF" w:rsidRPr="00ED2EF4" w:rsidRDefault="00A623DF" w:rsidP="005F6D10">
      <w:pPr>
        <w:pStyle w:val="guidelinebullet"/>
      </w:pPr>
      <w:r w:rsidRPr="00777D25">
        <w:t xml:space="preserve">non-accredited training, </w:t>
      </w:r>
      <w:r w:rsidR="005F6D10" w:rsidRPr="00777D25">
        <w:t xml:space="preserve">unless specified in </w:t>
      </w:r>
      <w:hyperlink w:anchor="_Table_1_–" w:history="1">
        <w:r w:rsidR="005F6D10" w:rsidRPr="00171544">
          <w:rPr>
            <w:rStyle w:val="Hyperlink"/>
          </w:rPr>
          <w:t>Table 1 – Category Details and Documentary Evidence Requirements</w:t>
        </w:r>
      </w:hyperlink>
    </w:p>
    <w:p w14:paraId="4BEDFCAA" w14:textId="77777777" w:rsidR="00A623DF" w:rsidRPr="00B25038" w:rsidRDefault="00A623DF" w:rsidP="00A623DF">
      <w:pPr>
        <w:pStyle w:val="guidelinebullet"/>
      </w:pPr>
      <w:r w:rsidRPr="00B25038">
        <w:t xml:space="preserve">Provider-supplied transport, such as costs associated with </w:t>
      </w:r>
      <w:r>
        <w:t xml:space="preserve">hiring, </w:t>
      </w:r>
      <w:r w:rsidRPr="00B25038">
        <w:t>purchasing, running and</w:t>
      </w:r>
      <w:r>
        <w:t>/or</w:t>
      </w:r>
      <w:r w:rsidRPr="00B25038">
        <w:t xml:space="preserve"> maintaining vehicles owned by a Provider’s Own Organisation to trans</w:t>
      </w:r>
      <w:r>
        <w:t>port</w:t>
      </w:r>
      <w:r w:rsidRPr="00B25038">
        <w:t xml:space="preserve"> multiple </w:t>
      </w:r>
      <w:r w:rsidR="005D0DAA">
        <w:t>Participant</w:t>
      </w:r>
      <w:r>
        <w:t>s</w:t>
      </w:r>
      <w:r w:rsidRPr="00B25038">
        <w:t xml:space="preserve"> to a training activity or Employment location </w:t>
      </w:r>
    </w:p>
    <w:p w14:paraId="0402DB1B" w14:textId="77777777" w:rsidR="00A623DF" w:rsidRPr="001D01A0" w:rsidRDefault="00A623DF" w:rsidP="00A623DF">
      <w:pPr>
        <w:pStyle w:val="guidelinebullet"/>
      </w:pPr>
      <w:r>
        <w:t xml:space="preserve">penalties, </w:t>
      </w:r>
      <w:r w:rsidRPr="001D01A0">
        <w:t>fines or court fees</w:t>
      </w:r>
      <w:r>
        <w:t xml:space="preserve"> (examples of penalties include costs associated with participation in any </w:t>
      </w:r>
      <w:r w:rsidRPr="00030239">
        <w:t>Alcohol Interlock Program/Scheme</w:t>
      </w:r>
      <w:r>
        <w:t xml:space="preserve"> or </w:t>
      </w:r>
      <w:r w:rsidRPr="00030239">
        <w:t>Traffic Offender Intervention Program</w:t>
      </w:r>
      <w:r>
        <w:t xml:space="preserve">) </w:t>
      </w:r>
    </w:p>
    <w:p w14:paraId="7C9C4A03" w14:textId="77777777" w:rsidR="00A623DF" w:rsidRPr="001D01A0" w:rsidRDefault="00A623DF" w:rsidP="00A623DF">
      <w:pPr>
        <w:pStyle w:val="guidelinebullet"/>
      </w:pPr>
      <w:r w:rsidRPr="001D01A0">
        <w:t>relocation</w:t>
      </w:r>
      <w:r w:rsidRPr="001C174B">
        <w:t xml:space="preserve"> </w:t>
      </w:r>
      <w:r w:rsidRPr="001D01A0">
        <w:t xml:space="preserve">assistance </w:t>
      </w:r>
      <w:r w:rsidRPr="001C174B">
        <w:t xml:space="preserve">to assist </w:t>
      </w:r>
      <w:r w:rsidR="005D0DAA">
        <w:t>Participant</w:t>
      </w:r>
      <w:r>
        <w:t>s</w:t>
      </w:r>
      <w:r w:rsidRPr="001C174B">
        <w:t xml:space="preserve"> relocating overseas</w:t>
      </w:r>
    </w:p>
    <w:p w14:paraId="12D03F91" w14:textId="77777777" w:rsidR="00A623DF" w:rsidRPr="001D01A0" w:rsidRDefault="00A623DF" w:rsidP="00A623DF">
      <w:pPr>
        <w:pStyle w:val="guidelinebullet"/>
      </w:pPr>
      <w:r>
        <w:t>long term gym memberships and</w:t>
      </w:r>
      <w:r w:rsidRPr="00EF5A70">
        <w:t xml:space="preserve"> long-term lifestyle/fitness programs</w:t>
      </w:r>
    </w:p>
    <w:p w14:paraId="1893CF57" w14:textId="1A19B987" w:rsidR="0007417F" w:rsidRDefault="00A623DF" w:rsidP="00283B43">
      <w:pPr>
        <w:pStyle w:val="guidelinedeedref"/>
        <w:rPr>
          <w:rFonts w:asciiTheme="majorHAnsi" w:eastAsiaTheme="majorEastAsia" w:hAnsiTheme="majorHAnsi" w:cstheme="majorBidi"/>
          <w:color w:val="2E74B5" w:themeColor="accent1" w:themeShade="BF"/>
          <w:sz w:val="32"/>
          <w:szCs w:val="32"/>
        </w:rPr>
      </w:pPr>
      <w:r>
        <w:t xml:space="preserve">(Deed reference: Clause </w:t>
      </w:r>
      <w:r w:rsidR="007078D1">
        <w:t>12</w:t>
      </w:r>
      <w:r w:rsidR="0063651A">
        <w:t>0</w:t>
      </w:r>
      <w:r>
        <w:t>.1)</w:t>
      </w:r>
      <w:bookmarkStart w:id="41" w:name="_Toc468875611"/>
      <w:r w:rsidR="0007417F">
        <w:br w:type="page"/>
      </w:r>
    </w:p>
    <w:p w14:paraId="79860D26" w14:textId="77777777" w:rsidR="00A623DF" w:rsidRDefault="00A623DF" w:rsidP="00A623DF">
      <w:pPr>
        <w:pStyle w:val="Heading1"/>
        <w:numPr>
          <w:ilvl w:val="0"/>
          <w:numId w:val="7"/>
        </w:numPr>
      </w:pPr>
      <w:bookmarkStart w:id="42" w:name="_Toc21002804"/>
      <w:bookmarkStart w:id="43" w:name="_Toc51762281"/>
      <w:r>
        <w:lastRenderedPageBreak/>
        <w:t>Claiming Reimbursement</w:t>
      </w:r>
      <w:bookmarkEnd w:id="41"/>
      <w:bookmarkEnd w:id="42"/>
      <w:bookmarkEnd w:id="43"/>
    </w:p>
    <w:p w14:paraId="26B37520" w14:textId="08B296D7" w:rsidR="00A623DF" w:rsidRPr="0090156E" w:rsidRDefault="00A4531B" w:rsidP="00A623DF">
      <w:pPr>
        <w:pStyle w:val="guidelinetext"/>
      </w:pPr>
      <w:r>
        <w:t>Provider</w:t>
      </w:r>
      <w:r w:rsidR="00203813">
        <w:t>s</w:t>
      </w:r>
      <w:r>
        <w:t xml:space="preserve"> must </w:t>
      </w:r>
      <w:r w:rsidR="00A623DF" w:rsidRPr="0090156E">
        <w:t xml:space="preserve">claim Reimbursement </w:t>
      </w:r>
      <w:r>
        <w:t>f</w:t>
      </w:r>
      <w:r w:rsidR="00203813">
        <w:t>or</w:t>
      </w:r>
      <w:r>
        <w:t xml:space="preserve"> eligible purchases </w:t>
      </w:r>
      <w:r w:rsidR="00A623DF" w:rsidRPr="0090156E">
        <w:t xml:space="preserve">within 56 days </w:t>
      </w:r>
      <w:r w:rsidR="00A623DF">
        <w:t>from</w:t>
      </w:r>
      <w:r w:rsidR="00A623DF" w:rsidRPr="0090156E">
        <w:t xml:space="preserve"> the date </w:t>
      </w:r>
      <w:r w:rsidR="00A623DF">
        <w:t>that a</w:t>
      </w:r>
      <w:r w:rsidR="00A623DF" w:rsidRPr="0090156E">
        <w:t xml:space="preserve"> Provider paid </w:t>
      </w:r>
      <w:r w:rsidR="00A623DF">
        <w:t xml:space="preserve">the </w:t>
      </w:r>
      <w:r w:rsidR="00A623DF" w:rsidRPr="0038390F">
        <w:t>supplier</w:t>
      </w:r>
      <w:r w:rsidR="00E750A1">
        <w:t>,</w:t>
      </w:r>
      <w:r w:rsidR="00A623DF" w:rsidRPr="0038390F">
        <w:t xml:space="preserve"> </w:t>
      </w:r>
      <w:r w:rsidR="00A623DF" w:rsidRPr="0038390F">
        <w:rPr>
          <w:iCs/>
        </w:rPr>
        <w:t xml:space="preserve">unless otherwise provided for in the </w:t>
      </w:r>
      <w:hyperlink r:id="rId27" w:history="1">
        <w:r w:rsidR="00EB6BA2">
          <w:rPr>
            <w:rStyle w:val="Hyperlink"/>
          </w:rPr>
          <w:t>New Employment Services Trial Employment Fund General Account IT Supporting Document</w:t>
        </w:r>
      </w:hyperlink>
      <w:r w:rsidR="00A623DF">
        <w:t xml:space="preserve"> (refer to Actioning Overrides section).</w:t>
      </w:r>
    </w:p>
    <w:p w14:paraId="4DA10C17" w14:textId="77777777" w:rsidR="00A623DF" w:rsidRPr="0090156E" w:rsidRDefault="00A623DF" w:rsidP="00A623DF">
      <w:pPr>
        <w:pStyle w:val="docev"/>
        <w:ind w:left="1418" w:hanging="1418"/>
      </w:pPr>
      <w:r w:rsidRPr="00E8532A">
        <w:rPr>
          <w:b/>
        </w:rPr>
        <w:t>Documentary evidence</w:t>
      </w:r>
      <w:r>
        <w:rPr>
          <w:b/>
        </w:rPr>
        <w:t xml:space="preserve">: </w:t>
      </w:r>
      <w:r>
        <w:t>A</w:t>
      </w:r>
      <w:r w:rsidRPr="0090156E">
        <w:t xml:space="preserve"> Provider must </w:t>
      </w:r>
      <w:r w:rsidR="001B31CF">
        <w:t>meet</w:t>
      </w:r>
      <w:r w:rsidRPr="0090156E">
        <w:t xml:space="preserve"> all Documentary Evidence requirements</w:t>
      </w:r>
      <w:r w:rsidRPr="00FE6217">
        <w:t xml:space="preserve"> </w:t>
      </w:r>
      <w:r>
        <w:t>a</w:t>
      </w:r>
      <w:r w:rsidRPr="0090156E">
        <w:t>t the time of claiming Reimbursement. For more information, refer to the</w:t>
      </w:r>
      <w:r>
        <w:t xml:space="preserve"> </w:t>
      </w:r>
      <w:hyperlink w:anchor="_Summary_of_required" w:history="1">
        <w:r w:rsidRPr="002F45B8">
          <w:rPr>
            <w:rStyle w:val="Hyperlink"/>
          </w:rPr>
          <w:t>Summary of required Documentary Evidence</w:t>
        </w:r>
      </w:hyperlink>
      <w:r w:rsidRPr="0090156E">
        <w:t xml:space="preserve"> section.</w:t>
      </w:r>
    </w:p>
    <w:p w14:paraId="3659A26D" w14:textId="77777777" w:rsidR="00A623DF" w:rsidRPr="0090156E" w:rsidRDefault="00A623DF" w:rsidP="00A623DF">
      <w:pPr>
        <w:pStyle w:val="Systemstep"/>
        <w:ind w:left="1418" w:hanging="1418"/>
      </w:pPr>
      <w:r w:rsidRPr="007A1B89">
        <w:rPr>
          <w:b/>
        </w:rPr>
        <w:t>System step</w:t>
      </w:r>
      <w:r>
        <w:rPr>
          <w:b/>
        </w:rPr>
        <w:t xml:space="preserve">: </w:t>
      </w:r>
      <w:r w:rsidR="001B31CF">
        <w:t>A Provider must enter t</w:t>
      </w:r>
      <w:r w:rsidRPr="0090156E">
        <w:t xml:space="preserve">he Australian Business Number (ABN) and name of the supplier into the Department’s IT System for each eligible purchase. </w:t>
      </w:r>
      <w:r w:rsidR="001B31CF">
        <w:t>Providers must use t</w:t>
      </w:r>
      <w:r w:rsidRPr="0090156E">
        <w:t xml:space="preserve">he generic ABN (99 999 999 999) </w:t>
      </w:r>
      <w:r>
        <w:t>w</w:t>
      </w:r>
      <w:r w:rsidRPr="0090156E">
        <w:t>hen reimburs</w:t>
      </w:r>
      <w:r w:rsidR="001B31CF">
        <w:t>ing</w:t>
      </w:r>
      <w:r w:rsidRPr="0090156E">
        <w:t xml:space="preserve"> a </w:t>
      </w:r>
      <w:r w:rsidR="005D0DAA">
        <w:t>Participant</w:t>
      </w:r>
      <w:r w:rsidRPr="0090156E">
        <w:t xml:space="preserve"> directly or the supplier does not have an ABN (such as an international supplier). </w:t>
      </w:r>
    </w:p>
    <w:p w14:paraId="27B901CC" w14:textId="77777777" w:rsidR="00A623DF" w:rsidRPr="0090156E" w:rsidRDefault="00A623DF" w:rsidP="00A623DF">
      <w:pPr>
        <w:pStyle w:val="guidelinetext"/>
      </w:pPr>
      <w:r w:rsidRPr="0090156E">
        <w:t xml:space="preserve">If </w:t>
      </w:r>
      <w:r w:rsidR="00C006D9">
        <w:t xml:space="preserve">a supplier charges </w:t>
      </w:r>
      <w:r w:rsidRPr="0090156E">
        <w:t xml:space="preserve">a layby fee or credit card surcharge for a purchase, </w:t>
      </w:r>
      <w:r>
        <w:t xml:space="preserve">a </w:t>
      </w:r>
      <w:r w:rsidRPr="0090156E">
        <w:t>Provider may claim Reimbursement for the full amount (i.e. the cost of the item or service and the fee or surcharge).</w:t>
      </w:r>
    </w:p>
    <w:p w14:paraId="7F86AC8C" w14:textId="4727C418" w:rsidR="00A623DF" w:rsidRPr="0090156E" w:rsidRDefault="00A623DF" w:rsidP="00A623DF">
      <w:pPr>
        <w:pStyle w:val="guidelinetext"/>
      </w:pPr>
      <w:r w:rsidRPr="0090156E">
        <w:t xml:space="preserve">Refer to the </w:t>
      </w:r>
      <w:r w:rsidR="00503140" w:rsidRPr="00503140">
        <w:t>New Employment Services Trial Employment Fund General Account IT Supporting Document</w:t>
      </w:r>
      <w:r w:rsidR="004A2C22">
        <w:t xml:space="preserve"> </w:t>
      </w:r>
      <w:r w:rsidRPr="0090156E">
        <w:t>for guidance on how to claim Reimbursement in the Department’s IT System.</w:t>
      </w:r>
    </w:p>
    <w:p w14:paraId="6C9674F6" w14:textId="77777777" w:rsidR="00A623DF" w:rsidRDefault="00A623DF" w:rsidP="00A623DF">
      <w:pPr>
        <w:pStyle w:val="guidelinedeedref"/>
      </w:pPr>
      <w:r w:rsidRPr="0090156E">
        <w:t xml:space="preserve">(Deed references: Clauses </w:t>
      </w:r>
      <w:r w:rsidR="007078D1">
        <w:t>12</w:t>
      </w:r>
      <w:r w:rsidR="0063651A">
        <w:t>0</w:t>
      </w:r>
      <w:r w:rsidRPr="0090156E">
        <w:t xml:space="preserve">.1, </w:t>
      </w:r>
      <w:r w:rsidR="007078D1">
        <w:t>12</w:t>
      </w:r>
      <w:r w:rsidR="0063651A">
        <w:t>0</w:t>
      </w:r>
      <w:r w:rsidRPr="0090156E">
        <w:t>.2)</w:t>
      </w:r>
    </w:p>
    <w:p w14:paraId="6311F62E" w14:textId="77777777" w:rsidR="00A623DF" w:rsidRPr="0090156E" w:rsidRDefault="00A623DF" w:rsidP="00A623DF">
      <w:pPr>
        <w:pStyle w:val="Heading2"/>
      </w:pPr>
      <w:bookmarkStart w:id="44" w:name="_Claiming_Reimbursements_for"/>
      <w:bookmarkStart w:id="45" w:name="_Toc21002805"/>
      <w:bookmarkStart w:id="46" w:name="_Toc51762282"/>
      <w:bookmarkEnd w:id="44"/>
      <w:r>
        <w:t>Claiming Reimbursements for Wage Subsidies</w:t>
      </w:r>
      <w:bookmarkEnd w:id="45"/>
      <w:bookmarkEnd w:id="46"/>
    </w:p>
    <w:p w14:paraId="431E2372" w14:textId="77777777" w:rsidR="00A623DF" w:rsidRDefault="006640F0" w:rsidP="00A623DF">
      <w:pPr>
        <w:pStyle w:val="guidelinetext"/>
      </w:pPr>
      <w:r>
        <w:t xml:space="preserve">Providers reimburse certain </w:t>
      </w:r>
      <w:r w:rsidR="00A623DF">
        <w:t>Wage Subsidies through the Employment Fund General Account:</w:t>
      </w:r>
    </w:p>
    <w:p w14:paraId="764292FE" w14:textId="77777777" w:rsidR="00A623DF" w:rsidRDefault="00A623DF" w:rsidP="00A623DF">
      <w:pPr>
        <w:pStyle w:val="guidelinebullet"/>
      </w:pPr>
      <w:r>
        <w:t>Restart Wage Subsidy</w:t>
      </w:r>
    </w:p>
    <w:p w14:paraId="730E1E85" w14:textId="77777777" w:rsidR="00A623DF" w:rsidRDefault="00A623DF" w:rsidP="00A623DF">
      <w:pPr>
        <w:pStyle w:val="guidelinebullet"/>
      </w:pPr>
      <w:r>
        <w:t>Youth Wage Subsidy</w:t>
      </w:r>
    </w:p>
    <w:p w14:paraId="7FB5C514" w14:textId="77777777" w:rsidR="00A623DF" w:rsidRPr="00414352" w:rsidRDefault="00A623DF" w:rsidP="00A623DF">
      <w:pPr>
        <w:pStyle w:val="guidelinebullet"/>
      </w:pPr>
      <w:r>
        <w:t>Long Term U</w:t>
      </w:r>
      <w:r w:rsidRPr="00811FAD">
        <w:t>nemployed</w:t>
      </w:r>
      <w:r>
        <w:t xml:space="preserve"> &amp; Indigenous Wage Subsidy</w:t>
      </w:r>
    </w:p>
    <w:p w14:paraId="7B569EB3" w14:textId="77777777" w:rsidR="00A623DF" w:rsidRDefault="00A623DF" w:rsidP="00A623DF">
      <w:pPr>
        <w:pStyle w:val="guidelinebullet"/>
      </w:pPr>
      <w:r w:rsidRPr="00811FAD">
        <w:t>Parents</w:t>
      </w:r>
      <w:r>
        <w:t xml:space="preserve"> Wage Subsidy.</w:t>
      </w:r>
    </w:p>
    <w:p w14:paraId="451344C5" w14:textId="77777777" w:rsidR="00A623DF" w:rsidRDefault="00A623DF" w:rsidP="00A623DF">
      <w:pPr>
        <w:pStyle w:val="guidelinetext"/>
      </w:pPr>
      <w:r w:rsidRPr="000F4FDA">
        <w:t>When</w:t>
      </w:r>
      <w:r>
        <w:t xml:space="preserve"> P</w:t>
      </w:r>
      <w:r w:rsidRPr="008B08FF">
        <w:t>roviders create a Wage Subsidy</w:t>
      </w:r>
      <w:r>
        <w:t xml:space="preserve"> Agreement,</w:t>
      </w:r>
      <w:r w:rsidRPr="008B08FF">
        <w:t xml:space="preserve"> the </w:t>
      </w:r>
      <w:r>
        <w:t>total Wage S</w:t>
      </w:r>
      <w:r w:rsidRPr="008B08FF">
        <w:t xml:space="preserve">ubsidy amount of either $10,000 or $6,500 </w:t>
      </w:r>
      <w:r>
        <w:t xml:space="preserve">(GST inclusive) </w:t>
      </w:r>
      <w:r w:rsidR="006640F0">
        <w:t>is</w:t>
      </w:r>
      <w:r w:rsidRPr="008B08FF">
        <w:t xml:space="preserve"> committed out of the</w:t>
      </w:r>
      <w:r>
        <w:t xml:space="preserve"> relevant Site’s</w:t>
      </w:r>
      <w:r w:rsidRPr="008B08FF">
        <w:t xml:space="preserve"> </w:t>
      </w:r>
      <w:r>
        <w:t>notional bank b</w:t>
      </w:r>
      <w:r w:rsidRPr="008B08FF">
        <w:t xml:space="preserve">alance. This commitment </w:t>
      </w:r>
      <w:r>
        <w:t>is</w:t>
      </w:r>
      <w:r w:rsidRPr="008B08FF">
        <w:t xml:space="preserve"> held </w:t>
      </w:r>
      <w:r>
        <w:t xml:space="preserve">to </w:t>
      </w:r>
      <w:r w:rsidRPr="008B08FF">
        <w:t>fund a</w:t>
      </w:r>
      <w:r>
        <w:t>ll Reimbursements against that Wage S</w:t>
      </w:r>
      <w:r w:rsidRPr="008B08FF">
        <w:t xml:space="preserve">ubsidy </w:t>
      </w:r>
      <w:r>
        <w:t>A</w:t>
      </w:r>
      <w:r w:rsidRPr="008B08FF">
        <w:t xml:space="preserve">greement. At the end of the </w:t>
      </w:r>
      <w:r>
        <w:t>Wage Subsidy A</w:t>
      </w:r>
      <w:r w:rsidRPr="008B08FF">
        <w:t xml:space="preserve">greement period, any </w:t>
      </w:r>
      <w:r>
        <w:t>unclaimed credits of the Wage Subsidy Agreement return to the relevant Site’s</w:t>
      </w:r>
      <w:r w:rsidRPr="008B08FF">
        <w:t xml:space="preserve"> </w:t>
      </w:r>
      <w:r>
        <w:t>n</w:t>
      </w:r>
      <w:r w:rsidRPr="008B08FF">
        <w:t xml:space="preserve">otional </w:t>
      </w:r>
      <w:r>
        <w:t>b</w:t>
      </w:r>
      <w:r w:rsidRPr="008B08FF">
        <w:t xml:space="preserve">ank </w:t>
      </w:r>
      <w:r>
        <w:t>b</w:t>
      </w:r>
      <w:r w:rsidRPr="008B08FF">
        <w:t xml:space="preserve">alance. </w:t>
      </w:r>
    </w:p>
    <w:p w14:paraId="0F420A44" w14:textId="133A86FF" w:rsidR="00A623DF" w:rsidRPr="0054117B" w:rsidRDefault="00A623DF" w:rsidP="00A623DF">
      <w:pPr>
        <w:pStyle w:val="guidelinetext"/>
      </w:pPr>
      <w:r w:rsidRPr="0054117B">
        <w:t xml:space="preserve">Providers must refer to </w:t>
      </w:r>
      <w:r>
        <w:t xml:space="preserve">the </w:t>
      </w:r>
      <w:hyperlink r:id="rId28" w:history="1">
        <w:r w:rsidR="00EB6BA2">
          <w:rPr>
            <w:rStyle w:val="Hyperlink"/>
          </w:rPr>
          <w:t>New Employment Services Trial Managing Wage Subsidies Guideline</w:t>
        </w:r>
      </w:hyperlink>
      <w:r w:rsidRPr="0054117B">
        <w:t xml:space="preserve"> to ensure that the Wage Subsidy meets the Wage Subsidy Placement eligibility and </w:t>
      </w:r>
      <w:r>
        <w:t>D</w:t>
      </w:r>
      <w:r w:rsidRPr="0054117B">
        <w:t xml:space="preserve">ocumentary </w:t>
      </w:r>
      <w:r>
        <w:t>E</w:t>
      </w:r>
      <w:r w:rsidRPr="0054117B">
        <w:t>vidence requirement</w:t>
      </w:r>
      <w:r>
        <w:t>s prior to claiming R</w:t>
      </w:r>
      <w:r w:rsidRPr="0054117B">
        <w:t>eimbursement through the Employment Fund.</w:t>
      </w:r>
    </w:p>
    <w:p w14:paraId="73909E3A" w14:textId="5671DC92" w:rsidR="00A623DF" w:rsidRDefault="00A623DF" w:rsidP="00A623DF">
      <w:pPr>
        <w:pStyle w:val="Systemstep"/>
        <w:ind w:left="1418" w:hanging="1418"/>
      </w:pPr>
      <w:r w:rsidRPr="000A59CC">
        <w:rPr>
          <w:rFonts w:cstheme="minorHAnsi"/>
          <w:b/>
        </w:rPr>
        <w:t>System step:</w:t>
      </w:r>
      <w:r>
        <w:t xml:space="preserve"> Providers must refer to the </w:t>
      </w:r>
      <w:hyperlink r:id="rId29" w:history="1">
        <w:r w:rsidR="00EB6BA2">
          <w:rPr>
            <w:rStyle w:val="Hyperlink"/>
          </w:rPr>
          <w:t>New Employment Services Trial Managing Wage Subsidies Guideline</w:t>
        </w:r>
      </w:hyperlink>
      <w:r>
        <w:rPr>
          <w:rFonts w:cstheme="minorHAnsi"/>
        </w:rPr>
        <w:t xml:space="preserve"> for system steps on claiming Reimbursement for Wage Subsidies.</w:t>
      </w:r>
    </w:p>
    <w:p w14:paraId="4A417867" w14:textId="77777777" w:rsidR="00A623DF" w:rsidRPr="0090156E" w:rsidRDefault="00A623DF" w:rsidP="00A623DF">
      <w:pPr>
        <w:pStyle w:val="Heading2"/>
      </w:pPr>
      <w:bookmarkStart w:id="47" w:name="_Career_Transition_Assistance"/>
      <w:bookmarkStart w:id="48" w:name="_Toc468875615"/>
      <w:bookmarkStart w:id="49" w:name="_Toc21002807"/>
      <w:bookmarkStart w:id="50" w:name="_Toc51762283"/>
      <w:bookmarkEnd w:id="47"/>
      <w:r w:rsidRPr="0090156E">
        <w:lastRenderedPageBreak/>
        <w:t xml:space="preserve">Entering the correct </w:t>
      </w:r>
      <w:r>
        <w:t>Dates</w:t>
      </w:r>
      <w:bookmarkEnd w:id="48"/>
      <w:bookmarkEnd w:id="49"/>
      <w:bookmarkEnd w:id="50"/>
    </w:p>
    <w:p w14:paraId="4CB4DC9C" w14:textId="77777777" w:rsidR="00A623DF" w:rsidRPr="0090156E" w:rsidRDefault="00A623DF" w:rsidP="00A623DF">
      <w:pPr>
        <w:pStyle w:val="Systemstep"/>
        <w:ind w:left="1418" w:hanging="1418"/>
      </w:pPr>
      <w:r w:rsidRPr="007A1B89">
        <w:rPr>
          <w:b/>
        </w:rPr>
        <w:t>System step</w:t>
      </w:r>
      <w:r>
        <w:rPr>
          <w:b/>
        </w:rPr>
        <w:t xml:space="preserve">: </w:t>
      </w:r>
      <w:r>
        <w:t xml:space="preserve">A </w:t>
      </w:r>
      <w:r w:rsidRPr="0090156E">
        <w:t xml:space="preserve">Provider must enter </w:t>
      </w:r>
      <w:r>
        <w:t xml:space="preserve">the date the supplier was paid for </w:t>
      </w:r>
      <w:r w:rsidRPr="0090156E">
        <w:t>each Reimbursement</w:t>
      </w:r>
      <w:r>
        <w:t xml:space="preserve"> in the Department’s IT System</w:t>
      </w:r>
      <w:r w:rsidR="00E81326">
        <w:t>s</w:t>
      </w:r>
      <w:r>
        <w:t>.</w:t>
      </w:r>
    </w:p>
    <w:p w14:paraId="51803AAA" w14:textId="77777777" w:rsidR="00A623DF" w:rsidRPr="0090156E" w:rsidRDefault="00A623DF" w:rsidP="00A623DF">
      <w:pPr>
        <w:pStyle w:val="Systemstep"/>
        <w:ind w:left="1418" w:hanging="1418"/>
      </w:pPr>
      <w:r w:rsidRPr="007A1B89">
        <w:rPr>
          <w:b/>
        </w:rPr>
        <w:t>System step</w:t>
      </w:r>
      <w:r>
        <w:rPr>
          <w:b/>
        </w:rPr>
        <w:t xml:space="preserve">: </w:t>
      </w:r>
      <w:r>
        <w:t>A</w:t>
      </w:r>
      <w:r w:rsidRPr="0090156E">
        <w:t xml:space="preserve"> date of service/purchase is </w:t>
      </w:r>
      <w:r w:rsidR="003B0E33">
        <w:t xml:space="preserve">also </w:t>
      </w:r>
      <w:r w:rsidRPr="0090156E">
        <w:t xml:space="preserve">required </w:t>
      </w:r>
      <w:r>
        <w:t>a</w:t>
      </w:r>
      <w:r w:rsidRPr="0090156E">
        <w:t xml:space="preserve">gainst each individual </w:t>
      </w:r>
      <w:r w:rsidR="005D0DAA">
        <w:t>Participant</w:t>
      </w:r>
      <w:r w:rsidRPr="0090156E">
        <w:t xml:space="preserve"> </w:t>
      </w:r>
      <w:r>
        <w:t>attributed to the Reimbursement</w:t>
      </w:r>
      <w:r w:rsidRPr="0090156E">
        <w:t xml:space="preserve">. </w:t>
      </w:r>
      <w:r>
        <w:t>The date will be either</w:t>
      </w:r>
      <w:r w:rsidRPr="0090156E">
        <w:t>:</w:t>
      </w:r>
    </w:p>
    <w:p w14:paraId="3F577E79" w14:textId="77777777" w:rsidR="00A623DF" w:rsidRPr="0090156E" w:rsidRDefault="00A623DF" w:rsidP="00A623DF">
      <w:pPr>
        <w:pStyle w:val="guidelinebullet"/>
      </w:pPr>
      <w:r w:rsidRPr="0090156E">
        <w:t xml:space="preserve">the date that the goods or items were given to the </w:t>
      </w:r>
      <w:r w:rsidR="005D0DAA">
        <w:t>Participant</w:t>
      </w:r>
    </w:p>
    <w:p w14:paraId="1A9BC552" w14:textId="77777777" w:rsidR="00A623DF" w:rsidRPr="0090156E" w:rsidRDefault="00A623DF" w:rsidP="00A623DF">
      <w:pPr>
        <w:pStyle w:val="guidelinebullet"/>
      </w:pPr>
      <w:r w:rsidRPr="0090156E">
        <w:t xml:space="preserve">the date that the </w:t>
      </w:r>
      <w:r w:rsidR="005D0DAA">
        <w:t>Participant</w:t>
      </w:r>
      <w:r w:rsidRPr="0090156E">
        <w:t xml:space="preserve"> attended an appointment</w:t>
      </w:r>
    </w:p>
    <w:p w14:paraId="64ED9AB3" w14:textId="77777777" w:rsidR="00A623DF" w:rsidRDefault="00A623DF" w:rsidP="00A623DF">
      <w:pPr>
        <w:pStyle w:val="guidelinebullet"/>
      </w:pPr>
      <w:r w:rsidRPr="0090156E">
        <w:t xml:space="preserve">the date that the </w:t>
      </w:r>
      <w:r w:rsidR="005D0DAA">
        <w:t>Participant</w:t>
      </w:r>
      <w:r w:rsidRPr="0090156E">
        <w:t xml:space="preserve"> started in the Activity</w:t>
      </w:r>
      <w:r w:rsidR="001E43EB">
        <w:t>.</w:t>
      </w:r>
    </w:p>
    <w:p w14:paraId="0A54C2E9" w14:textId="77777777" w:rsidR="00A623DF" w:rsidRDefault="00A623DF" w:rsidP="00A623DF">
      <w:pPr>
        <w:pStyle w:val="guidelinedeedref"/>
      </w:pPr>
      <w:r w:rsidRPr="0090156E">
        <w:t xml:space="preserve">(Deed reference: Clause </w:t>
      </w:r>
      <w:r w:rsidR="007078D1">
        <w:t>12</w:t>
      </w:r>
      <w:r w:rsidR="0063651A">
        <w:t>0</w:t>
      </w:r>
      <w:r w:rsidRPr="0090156E">
        <w:t>.1)</w:t>
      </w:r>
    </w:p>
    <w:p w14:paraId="70C61E1D" w14:textId="77777777" w:rsidR="00A623DF" w:rsidRPr="0090156E" w:rsidRDefault="00A623DF" w:rsidP="00A623DF">
      <w:pPr>
        <w:pStyle w:val="Heading2"/>
      </w:pPr>
      <w:bookmarkStart w:id="51" w:name="_Toc468875616"/>
      <w:bookmarkStart w:id="52" w:name="_Toc21002808"/>
      <w:bookmarkStart w:id="53" w:name="_Toc51762284"/>
      <w:r w:rsidRPr="0090156E">
        <w:t>Determining the correct GST Treatment</w:t>
      </w:r>
      <w:bookmarkEnd w:id="51"/>
      <w:bookmarkEnd w:id="52"/>
      <w:bookmarkEnd w:id="53"/>
    </w:p>
    <w:p w14:paraId="7B7E2496" w14:textId="77777777" w:rsidR="00A623DF" w:rsidRPr="0090156E" w:rsidRDefault="00A623DF" w:rsidP="00A623DF">
      <w:pPr>
        <w:pStyle w:val="guidelinetext"/>
      </w:pPr>
      <w:r>
        <w:t>T</w:t>
      </w:r>
      <w:r w:rsidRPr="0090156E">
        <w:t>he Department considers that all Reimbursements from the Employment Fund constitute ‘consideration for a taxable supply made by a Provider to the Department’</w:t>
      </w:r>
      <w:r>
        <w:t xml:space="preserve"> i</w:t>
      </w:r>
      <w:r w:rsidRPr="0090156E">
        <w:t>n line with the Australian Taxation (ATO) Private Ruling 1011478547799</w:t>
      </w:r>
      <w:r>
        <w:t>.</w:t>
      </w:r>
    </w:p>
    <w:p w14:paraId="314E779E" w14:textId="77777777" w:rsidR="00A623DF" w:rsidRPr="0090156E" w:rsidRDefault="00A623DF" w:rsidP="00A623DF">
      <w:pPr>
        <w:pStyle w:val="guidelinetext"/>
      </w:pPr>
      <w:r w:rsidRPr="0090156E">
        <w:t xml:space="preserve">The relevant taxable supply is the supply of contracted services to </w:t>
      </w:r>
      <w:r w:rsidR="005D0DAA">
        <w:t>Participant</w:t>
      </w:r>
      <w:r>
        <w:t>s</w:t>
      </w:r>
      <w:r w:rsidRPr="0090156E">
        <w:t xml:space="preserve"> as described under the Deed. This means a Provider will need to remit 1/11th of all Reimbursements from the Employment Fund as Goods and Services Tax (GST) to the ATO. </w:t>
      </w:r>
    </w:p>
    <w:p w14:paraId="2A4FBC3F" w14:textId="27E58FD9" w:rsidR="00A623DF" w:rsidRPr="0090156E" w:rsidRDefault="00A623DF" w:rsidP="00A623DF">
      <w:pPr>
        <w:pStyle w:val="guidelinetext"/>
      </w:pPr>
      <w:r>
        <w:t>A Provider</w:t>
      </w:r>
      <w:r w:rsidRPr="0090156E">
        <w:t xml:space="preserve"> should refer to the </w:t>
      </w:r>
      <w:hyperlink r:id="rId30" w:history="1">
        <w:r w:rsidR="00EB6BA2">
          <w:rPr>
            <w:rStyle w:val="Hyperlink"/>
          </w:rPr>
          <w:t>New Employment Services Trial Employment Fund General Account IT Supporting Document</w:t>
        </w:r>
      </w:hyperlink>
      <w:r w:rsidRPr="0090156E">
        <w:t xml:space="preserve"> for guidance on selecting the correct GST treatment</w:t>
      </w:r>
      <w:r>
        <w:t xml:space="preserve"> in the Department’s IT System for purchases of goods and services.</w:t>
      </w:r>
    </w:p>
    <w:p w14:paraId="4FF57A2D" w14:textId="77777777" w:rsidR="00A623DF" w:rsidRPr="0090156E" w:rsidRDefault="00A623DF" w:rsidP="00A623DF">
      <w:pPr>
        <w:pStyle w:val="guidelinetext"/>
      </w:pPr>
      <w:r w:rsidRPr="0090156E">
        <w:t xml:space="preserve">The explanations below are provided as examples only and do not constitute tax advice. </w:t>
      </w:r>
      <w:r>
        <w:t>A Provider</w:t>
      </w:r>
      <w:r w:rsidRPr="0090156E">
        <w:t xml:space="preserve"> must obtain their own independent tax advice relevan</w:t>
      </w:r>
      <w:r>
        <w:t>t to their particular situation</w:t>
      </w:r>
      <w:r w:rsidRPr="0090156E">
        <w:t>.</w:t>
      </w:r>
    </w:p>
    <w:p w14:paraId="175D0085" w14:textId="77777777" w:rsidR="00A623DF" w:rsidRPr="0090156E" w:rsidRDefault="00A623DF" w:rsidP="00A623DF">
      <w:pPr>
        <w:pStyle w:val="Heading3"/>
      </w:pPr>
      <w:bookmarkStart w:id="54" w:name="_Toc468875618"/>
      <w:bookmarkStart w:id="55" w:name="_Toc21002809"/>
      <w:bookmarkStart w:id="56" w:name="_Toc51762285"/>
      <w:bookmarkStart w:id="57" w:name="_Toc468875617"/>
      <w:r w:rsidRPr="0090156E">
        <w:t>Reimbur</w:t>
      </w:r>
      <w:r>
        <w:t xml:space="preserve">sing </w:t>
      </w:r>
      <w:r w:rsidRPr="0090156E">
        <w:t>Goods or Services purchased from a third party supplier</w:t>
      </w:r>
      <w:bookmarkEnd w:id="54"/>
      <w:bookmarkEnd w:id="55"/>
      <w:bookmarkEnd w:id="56"/>
    </w:p>
    <w:p w14:paraId="65E99E91" w14:textId="77777777" w:rsidR="00A623DF" w:rsidRPr="0090156E" w:rsidRDefault="00A623DF" w:rsidP="00A623DF">
      <w:pPr>
        <w:pStyle w:val="guidelinetext"/>
      </w:pPr>
      <w:r w:rsidRPr="0090156E">
        <w:t xml:space="preserve">If a Reimbursement is sought from the Employment Fund for a purchase on behalf of a </w:t>
      </w:r>
      <w:r w:rsidR="005D0DAA">
        <w:t>Participant</w:t>
      </w:r>
      <w:r w:rsidRPr="0090156E">
        <w:t xml:space="preserve"> and the purchase includes GST, then </w:t>
      </w:r>
      <w:r>
        <w:t>a Provider</w:t>
      </w:r>
      <w:r w:rsidRPr="0090156E">
        <w:t xml:space="preserve"> can usually claim an input tax credit for the GST component of the cost of the purchase. </w:t>
      </w:r>
    </w:p>
    <w:p w14:paraId="4E751FFA" w14:textId="77777777" w:rsidR="00A623DF" w:rsidRPr="0090156E" w:rsidRDefault="00A623DF" w:rsidP="00A623DF">
      <w:pPr>
        <w:pStyle w:val="guidelinetext"/>
      </w:pPr>
      <w:r w:rsidRPr="0090156E">
        <w:t xml:space="preserve">The Department will reimburse </w:t>
      </w:r>
      <w:r>
        <w:t>a</w:t>
      </w:r>
      <w:r w:rsidRPr="0090156E">
        <w:t xml:space="preserve"> Provider the amount paid, less the input tax credit amount. However, the Department will add GST as the Reimbursement is ‘consideration for a taxable supply made by the Provider to the Department’ and therefore </w:t>
      </w:r>
      <w:r>
        <w:t>a</w:t>
      </w:r>
      <w:r w:rsidRPr="0090156E">
        <w:t xml:space="preserve"> Provider has to remit GST to the ATO in respect to the Reimbursement. This means the GST is taken off (the input tax credit), but then the GST is added on (the GST on the serv</w:t>
      </w:r>
      <w:r>
        <w:t>ice supplied to the Department).</w:t>
      </w:r>
      <w:r w:rsidRPr="0090156E">
        <w:t xml:space="preserve"> </w:t>
      </w:r>
      <w:r>
        <w:t>S</w:t>
      </w:r>
      <w:r w:rsidRPr="0090156E">
        <w:t xml:space="preserve">o the final Reimbursement is equal to </w:t>
      </w:r>
      <w:r>
        <w:t>a</w:t>
      </w:r>
      <w:r w:rsidRPr="0090156E">
        <w:t xml:space="preserve"> Provider’s original cost for the item.</w:t>
      </w:r>
    </w:p>
    <w:p w14:paraId="7E58AAF5" w14:textId="77777777" w:rsidR="00A623DF" w:rsidRPr="0090156E" w:rsidRDefault="00A623DF" w:rsidP="00A623DF">
      <w:pPr>
        <w:pStyle w:val="guidelinetext"/>
      </w:pPr>
      <w:r w:rsidRPr="0090156E">
        <w:t xml:space="preserve">If the Employment Fund is used to pay for a purchase on behalf of a </w:t>
      </w:r>
      <w:r w:rsidR="005D0DAA">
        <w:t>Participant</w:t>
      </w:r>
      <w:r w:rsidRPr="0090156E">
        <w:t xml:space="preserve"> and the item purchased is GST free, then </w:t>
      </w:r>
      <w:r>
        <w:t xml:space="preserve">a </w:t>
      </w:r>
      <w:r w:rsidRPr="0090156E">
        <w:t xml:space="preserve">Provider cannot claim an input tax credit, as there is no GST component of the purchase. </w:t>
      </w:r>
    </w:p>
    <w:p w14:paraId="2AA383D9" w14:textId="77777777" w:rsidR="00A623DF" w:rsidRPr="0090156E" w:rsidRDefault="00A623DF" w:rsidP="00A623DF">
      <w:pPr>
        <w:pStyle w:val="guidelinetext"/>
      </w:pPr>
      <w:r w:rsidRPr="0090156E">
        <w:t xml:space="preserve">The Department will reimburse </w:t>
      </w:r>
      <w:r>
        <w:t>a</w:t>
      </w:r>
      <w:r w:rsidRPr="0090156E">
        <w:t xml:space="preserve"> Provider the amount paid, but will add GST as the Reimbursement is a separate taxable supply and </w:t>
      </w:r>
      <w:r>
        <w:t>a</w:t>
      </w:r>
      <w:r w:rsidRPr="0090156E">
        <w:t xml:space="preserve"> Provider has to remit GST to the ATO in respect to the Reimbursement. This means that nothing is taken off </w:t>
      </w:r>
      <w:r>
        <w:t xml:space="preserve">but </w:t>
      </w:r>
      <w:r>
        <w:lastRenderedPageBreak/>
        <w:t>10</w:t>
      </w:r>
      <w:r w:rsidR="00B05C0D">
        <w:t> </w:t>
      </w:r>
      <w:r>
        <w:t>per cent GST is added.</w:t>
      </w:r>
      <w:r w:rsidRPr="0090156E">
        <w:t xml:space="preserve"> </w:t>
      </w:r>
      <w:r>
        <w:t>S</w:t>
      </w:r>
      <w:r w:rsidRPr="0090156E">
        <w:t xml:space="preserve">o the final Reimbursement is equal to </w:t>
      </w:r>
      <w:r>
        <w:t>a</w:t>
      </w:r>
      <w:r w:rsidRPr="0090156E">
        <w:t xml:space="preserve"> Provider’s original cost plus 10 per cent.</w:t>
      </w:r>
    </w:p>
    <w:p w14:paraId="5E05E5A3" w14:textId="77777777" w:rsidR="00A623DF" w:rsidRPr="0090156E" w:rsidRDefault="00A623DF" w:rsidP="00A623DF">
      <w:pPr>
        <w:pStyle w:val="Heading3"/>
      </w:pPr>
      <w:bookmarkStart w:id="58" w:name="_Toc21002810"/>
      <w:bookmarkStart w:id="59" w:name="_Toc51762286"/>
      <w:r>
        <w:t>Reimbursing</w:t>
      </w:r>
      <w:r w:rsidRPr="0090156E">
        <w:t xml:space="preserve"> Goods or Services purchased by a </w:t>
      </w:r>
      <w:bookmarkEnd w:id="57"/>
      <w:r w:rsidR="005D0DAA">
        <w:t>Participant</w:t>
      </w:r>
      <w:bookmarkEnd w:id="58"/>
      <w:bookmarkEnd w:id="59"/>
    </w:p>
    <w:p w14:paraId="234774D6" w14:textId="77777777" w:rsidR="00A623DF" w:rsidRPr="0090156E" w:rsidRDefault="00A623DF" w:rsidP="00A623DF">
      <w:pPr>
        <w:pStyle w:val="guidelinetext"/>
      </w:pPr>
      <w:r w:rsidRPr="0090156E">
        <w:t xml:space="preserve">If a Reimbursement is sought from the Employment Fund to pay for goods or services paid for directly by a </w:t>
      </w:r>
      <w:r w:rsidR="005D0DAA">
        <w:t>Participant</w:t>
      </w:r>
      <w:r w:rsidRPr="0090156E">
        <w:t xml:space="preserve"> and </w:t>
      </w:r>
      <w:r>
        <w:t>a</w:t>
      </w:r>
      <w:r w:rsidRPr="0090156E">
        <w:t xml:space="preserve"> Provider has reimbursed the </w:t>
      </w:r>
      <w:r w:rsidR="005D0DAA">
        <w:t>Participant</w:t>
      </w:r>
      <w:r w:rsidRPr="0090156E">
        <w:t xml:space="preserve">, then </w:t>
      </w:r>
      <w:r>
        <w:t>a</w:t>
      </w:r>
      <w:r w:rsidRPr="0090156E">
        <w:t xml:space="preserve"> Provider cannot claim an input tax credit because there has been no purchase. </w:t>
      </w:r>
    </w:p>
    <w:p w14:paraId="0759E853" w14:textId="505D5A03" w:rsidR="00A623DF" w:rsidRDefault="00A623DF" w:rsidP="00A623DF">
      <w:pPr>
        <w:pStyle w:val="guidelinetext"/>
        <w:rPr>
          <w:rFonts w:asciiTheme="majorHAnsi" w:eastAsiaTheme="majorEastAsia" w:hAnsiTheme="majorHAnsi" w:cstheme="majorBidi"/>
          <w:color w:val="2E74B5" w:themeColor="accent1" w:themeShade="BF"/>
          <w:sz w:val="32"/>
          <w:szCs w:val="32"/>
        </w:rPr>
      </w:pPr>
      <w:r w:rsidRPr="0090156E">
        <w:t xml:space="preserve">The Department will reimburse </w:t>
      </w:r>
      <w:r>
        <w:t>a</w:t>
      </w:r>
      <w:r w:rsidRPr="0090156E">
        <w:t xml:space="preserve"> Provider the amount paid</w:t>
      </w:r>
      <w:r>
        <w:t xml:space="preserve">, but will add GST </w:t>
      </w:r>
      <w:r w:rsidRPr="0090156E">
        <w:t xml:space="preserve">as the Reimbursement is a separate taxable supply and </w:t>
      </w:r>
      <w:r>
        <w:t>a</w:t>
      </w:r>
      <w:r w:rsidRPr="0090156E">
        <w:t xml:space="preserve"> Provider has to remit GST to the ATO in respect to the Reimbursement. This means that nothing is taken off </w:t>
      </w:r>
      <w:r>
        <w:t>but 10</w:t>
      </w:r>
      <w:r w:rsidR="00B05C0D">
        <w:t> </w:t>
      </w:r>
      <w:r>
        <w:t>per cent GST is added.</w:t>
      </w:r>
      <w:r w:rsidRPr="0090156E">
        <w:t xml:space="preserve"> </w:t>
      </w:r>
      <w:r>
        <w:t>S</w:t>
      </w:r>
      <w:r w:rsidRPr="0090156E">
        <w:t xml:space="preserve">o the final Reimbursement is equal to </w:t>
      </w:r>
      <w:r>
        <w:t>a</w:t>
      </w:r>
      <w:r w:rsidRPr="0090156E">
        <w:t xml:space="preserve"> Provider’s original cost plus 10 per cent.</w:t>
      </w:r>
      <w:bookmarkStart w:id="60" w:name="_Toc468875619"/>
    </w:p>
    <w:p w14:paraId="1F325C92" w14:textId="505D5A03" w:rsidR="002408F9" w:rsidRDefault="002408F9" w:rsidP="002507C1">
      <w:pPr>
        <w:rPr>
          <w:rFonts w:asciiTheme="majorHAnsi" w:eastAsiaTheme="majorEastAsia" w:hAnsiTheme="majorHAnsi" w:cstheme="majorBidi"/>
          <w:color w:val="2E74B5" w:themeColor="accent1" w:themeShade="BF"/>
          <w:sz w:val="32"/>
          <w:szCs w:val="32"/>
        </w:rPr>
      </w:pPr>
      <w:r>
        <w:br w:type="page"/>
      </w:r>
    </w:p>
    <w:p w14:paraId="6A160B27" w14:textId="77777777" w:rsidR="00A623DF" w:rsidRDefault="00A623DF" w:rsidP="00A623DF">
      <w:pPr>
        <w:pStyle w:val="Heading1"/>
        <w:numPr>
          <w:ilvl w:val="0"/>
          <w:numId w:val="7"/>
        </w:numPr>
      </w:pPr>
      <w:bookmarkStart w:id="61" w:name="_Toc21002811"/>
      <w:bookmarkStart w:id="62" w:name="_Toc51762287"/>
      <w:r>
        <w:lastRenderedPageBreak/>
        <w:t>Purchasing Goods or Services in Bulk</w:t>
      </w:r>
      <w:bookmarkEnd w:id="60"/>
      <w:bookmarkEnd w:id="61"/>
      <w:bookmarkEnd w:id="62"/>
    </w:p>
    <w:p w14:paraId="6AB6C742" w14:textId="77777777" w:rsidR="00A623DF" w:rsidRDefault="00A623DF" w:rsidP="00777D25">
      <w:pPr>
        <w:pStyle w:val="Systemstep"/>
        <w:numPr>
          <w:ilvl w:val="0"/>
          <w:numId w:val="0"/>
        </w:numPr>
        <w:ind w:left="1418"/>
      </w:pPr>
      <w:r>
        <w:t xml:space="preserve">A Provider can choose to purchase eligible goods or services in advance. These purchases are known as bulk purchases. Bulk purchases are used when eligible goods or services are purchased but a Provider is yet to determine which </w:t>
      </w:r>
      <w:r w:rsidR="005D0DAA">
        <w:t>Participant</w:t>
      </w:r>
      <w:r>
        <w:t xml:space="preserve"> the good or service will assist.</w:t>
      </w:r>
    </w:p>
    <w:p w14:paraId="010724FE" w14:textId="77777777" w:rsidR="00A623DF" w:rsidRDefault="00A623DF" w:rsidP="00A623DF">
      <w:pPr>
        <w:pStyle w:val="guidelinedeedref"/>
      </w:pPr>
      <w:r>
        <w:t xml:space="preserve">(Deed references: Clauses </w:t>
      </w:r>
      <w:r w:rsidR="007078D1">
        <w:t>12</w:t>
      </w:r>
      <w:r w:rsidR="0063651A">
        <w:t>0</w:t>
      </w:r>
      <w:r>
        <w:t xml:space="preserve">.1, </w:t>
      </w:r>
      <w:r w:rsidR="007078D1">
        <w:t>12</w:t>
      </w:r>
      <w:r w:rsidR="0063651A">
        <w:t>0</w:t>
      </w:r>
      <w:r>
        <w:t xml:space="preserve">.2, </w:t>
      </w:r>
      <w:r w:rsidR="007078D1">
        <w:t>12</w:t>
      </w:r>
      <w:r w:rsidR="0063651A">
        <w:t>0</w:t>
      </w:r>
      <w:r>
        <w:t>.3)</w:t>
      </w:r>
    </w:p>
    <w:p w14:paraId="0A22DAFA" w14:textId="77777777" w:rsidR="00A623DF" w:rsidRDefault="00A623DF" w:rsidP="00A623DF">
      <w:pPr>
        <w:pStyle w:val="Heading2"/>
      </w:pPr>
      <w:bookmarkStart w:id="63" w:name="_Toc468875620"/>
      <w:bookmarkStart w:id="64" w:name="_Toc21002812"/>
      <w:bookmarkStart w:id="65" w:name="_Toc51762288"/>
      <w:r>
        <w:t>Making Bulk Purchases</w:t>
      </w:r>
      <w:bookmarkEnd w:id="63"/>
      <w:bookmarkEnd w:id="64"/>
      <w:bookmarkEnd w:id="65"/>
    </w:p>
    <w:p w14:paraId="76374CDC" w14:textId="77777777" w:rsidR="00A623DF" w:rsidRDefault="00A623DF" w:rsidP="00A623DF">
      <w:pPr>
        <w:pStyle w:val="guidelinetext"/>
      </w:pPr>
      <w:r>
        <w:t xml:space="preserve">Providers who have the required Documentary Evidence, are able to immediately claim Reimbursement for </w:t>
      </w:r>
      <w:r w:rsidR="00A74CA8">
        <w:t xml:space="preserve">eligible bulk </w:t>
      </w:r>
      <w:r>
        <w:t>purchase</w:t>
      </w:r>
      <w:r w:rsidR="00A74CA8">
        <w:t>s</w:t>
      </w:r>
      <w:r>
        <w:t xml:space="preserve"> prior to attributing to individual </w:t>
      </w:r>
      <w:r w:rsidR="005D0DAA">
        <w:t>Participant</w:t>
      </w:r>
      <w:r>
        <w:t>s.</w:t>
      </w:r>
    </w:p>
    <w:p w14:paraId="428C876D" w14:textId="34AB2D90" w:rsidR="00A74CA8" w:rsidRDefault="00A74CA8" w:rsidP="00A74CA8">
      <w:pPr>
        <w:pStyle w:val="guidelinetext"/>
      </w:pPr>
      <w:r>
        <w:t xml:space="preserve">Providers must </w:t>
      </w:r>
      <w:r w:rsidR="00A623DF">
        <w:t xml:space="preserve">claim Reimbursement </w:t>
      </w:r>
      <w:r>
        <w:t>for eligible</w:t>
      </w:r>
      <w:r w:rsidR="00A623DF">
        <w:t xml:space="preserve"> bulk purchase</w:t>
      </w:r>
      <w:r>
        <w:t>s</w:t>
      </w:r>
      <w:r w:rsidR="00A623DF">
        <w:t xml:space="preserve"> within 56 days from the date that a Provider paid the supplier</w:t>
      </w:r>
      <w:r>
        <w:t xml:space="preserve"> </w:t>
      </w:r>
      <w:r w:rsidRPr="0038390F">
        <w:rPr>
          <w:iCs/>
        </w:rPr>
        <w:t xml:space="preserve">unless otherwise provided for in the </w:t>
      </w:r>
      <w:hyperlink r:id="rId31" w:history="1">
        <w:r w:rsidR="00EB6BA2">
          <w:rPr>
            <w:rStyle w:val="Hyperlink"/>
          </w:rPr>
          <w:t>New Employment Services Trial Employment Fund General Account IT Supporting Document</w:t>
        </w:r>
      </w:hyperlink>
      <w:r>
        <w:t xml:space="preserve"> (refer to Actioning Overrides section).</w:t>
      </w:r>
    </w:p>
    <w:p w14:paraId="24342742" w14:textId="77777777" w:rsidR="00A623DF" w:rsidRDefault="00A623DF" w:rsidP="00A623DF">
      <w:pPr>
        <w:pStyle w:val="Systemstep"/>
        <w:ind w:left="1418" w:hanging="1418"/>
      </w:pPr>
      <w:r w:rsidRPr="007A1B89">
        <w:rPr>
          <w:b/>
        </w:rPr>
        <w:t>System step</w:t>
      </w:r>
      <w:r>
        <w:rPr>
          <w:b/>
        </w:rPr>
        <w:t xml:space="preserve">: </w:t>
      </w:r>
      <w:r w:rsidR="00A74CA8">
        <w:t>A</w:t>
      </w:r>
      <w:r>
        <w:t xml:space="preserve"> Provider </w:t>
      </w:r>
      <w:r w:rsidR="00A74CA8">
        <w:t xml:space="preserve">must enter the quantity of items purchased </w:t>
      </w:r>
      <w:r>
        <w:t xml:space="preserve">into the Department’s IT System. </w:t>
      </w:r>
    </w:p>
    <w:p w14:paraId="7FD2CD77" w14:textId="4501E2D6" w:rsidR="00A623DF" w:rsidRDefault="00A623DF" w:rsidP="00A623DF">
      <w:pPr>
        <w:pStyle w:val="guidelinetext"/>
      </w:pPr>
      <w:r>
        <w:t xml:space="preserve">Refer to the </w:t>
      </w:r>
      <w:r w:rsidR="00333793" w:rsidRPr="00503140">
        <w:t>New Employment Services Trial Employment Fund General Account IT Supporting Document</w:t>
      </w:r>
      <w:r w:rsidR="00333793">
        <w:t xml:space="preserve"> </w:t>
      </w:r>
      <w:r>
        <w:t>for guidance on how to claim Reimbursement of Bulk purchases in the Department’s IT System.</w:t>
      </w:r>
    </w:p>
    <w:p w14:paraId="55213ACD" w14:textId="77777777" w:rsidR="00A623DF" w:rsidRDefault="00A623DF" w:rsidP="00A623DF">
      <w:pPr>
        <w:pStyle w:val="guidelinedeedref"/>
      </w:pPr>
      <w:r>
        <w:t xml:space="preserve">(Deed references: Clauses </w:t>
      </w:r>
      <w:r w:rsidR="007078D1">
        <w:t>12</w:t>
      </w:r>
      <w:r w:rsidR="0063651A">
        <w:t>0</w:t>
      </w:r>
      <w:r>
        <w:t xml:space="preserve">.2, </w:t>
      </w:r>
      <w:r w:rsidR="007078D1">
        <w:t>12</w:t>
      </w:r>
      <w:r w:rsidR="0063651A">
        <w:t>0</w:t>
      </w:r>
      <w:r>
        <w:t>.3)</w:t>
      </w:r>
    </w:p>
    <w:p w14:paraId="76D9ABF4" w14:textId="77777777" w:rsidR="00A623DF" w:rsidRDefault="00A623DF" w:rsidP="00A623DF">
      <w:pPr>
        <w:pStyle w:val="Heading3"/>
        <w:spacing w:before="180"/>
      </w:pPr>
      <w:bookmarkStart w:id="66" w:name="_Toc468875621"/>
      <w:bookmarkStart w:id="67" w:name="_Toc21002813"/>
      <w:bookmarkStart w:id="68" w:name="_Toc51762289"/>
      <w:r>
        <w:t>Determining Eligible Categories</w:t>
      </w:r>
      <w:bookmarkEnd w:id="66"/>
      <w:bookmarkEnd w:id="67"/>
      <w:bookmarkEnd w:id="68"/>
    </w:p>
    <w:p w14:paraId="17A6958C" w14:textId="77777777" w:rsidR="00A623DF" w:rsidRDefault="00A623DF" w:rsidP="00A623DF">
      <w:pPr>
        <w:pStyle w:val="guidelinetext"/>
      </w:pPr>
      <w:r>
        <w:t>Bulk purchases are permitted for:</w:t>
      </w:r>
    </w:p>
    <w:p w14:paraId="6CC3D088" w14:textId="77777777" w:rsidR="00A623DF" w:rsidRPr="003B0E33" w:rsidRDefault="003B0E33" w:rsidP="00A623DF">
      <w:pPr>
        <w:pStyle w:val="guidelinebullet"/>
      </w:pPr>
      <w:r w:rsidRPr="003B0E33">
        <w:t>Accredited Training</w:t>
      </w:r>
    </w:p>
    <w:p w14:paraId="2F23E5D9" w14:textId="77777777" w:rsidR="003B0E33" w:rsidRDefault="003B0E33" w:rsidP="00A623DF">
      <w:pPr>
        <w:pStyle w:val="guidelinebullet"/>
      </w:pPr>
      <w:r w:rsidRPr="003B0E33">
        <w:t>Certified Interpreters</w:t>
      </w:r>
    </w:p>
    <w:p w14:paraId="0F3573CD" w14:textId="4F0DEEF4" w:rsidR="00624FE1" w:rsidRDefault="00624FE1" w:rsidP="007D4A43">
      <w:pPr>
        <w:pStyle w:val="guidelinebullet"/>
      </w:pPr>
      <w:r>
        <w:t>Communication and Technology</w:t>
      </w:r>
    </w:p>
    <w:p w14:paraId="6494F89B" w14:textId="5E56EF59" w:rsidR="008A717A" w:rsidRDefault="008A717A" w:rsidP="008A717A">
      <w:pPr>
        <w:pStyle w:val="guidelinebullet"/>
      </w:pPr>
      <w:r w:rsidRPr="008A717A">
        <w:t>Non Vocational Support – Food</w:t>
      </w:r>
    </w:p>
    <w:p w14:paraId="10A83B45" w14:textId="77777777" w:rsidR="00624FE1" w:rsidRDefault="00624FE1" w:rsidP="00624FE1">
      <w:pPr>
        <w:pStyle w:val="guidelinebullet"/>
      </w:pPr>
      <w:r w:rsidRPr="00624FE1">
        <w:t>Transport and Driver’s Licenc</w:t>
      </w:r>
      <w:r w:rsidR="00880E10">
        <w:t>es</w:t>
      </w:r>
    </w:p>
    <w:p w14:paraId="20F67799" w14:textId="77777777" w:rsidR="007D4A43" w:rsidRDefault="007D4A43" w:rsidP="00624FE1">
      <w:pPr>
        <w:pStyle w:val="guidelinebullet"/>
      </w:pPr>
      <w:r>
        <w:t xml:space="preserve">Vocational </w:t>
      </w:r>
      <w:r w:rsidRPr="00624FE1">
        <w:t>Tickets, Cards and Licenc</w:t>
      </w:r>
      <w:r w:rsidR="00E22CB5">
        <w:t>es</w:t>
      </w:r>
      <w:r>
        <w:t xml:space="preserve">; and </w:t>
      </w:r>
    </w:p>
    <w:p w14:paraId="2A56DE88" w14:textId="77777777" w:rsidR="00624FE1" w:rsidRPr="003B0E33" w:rsidRDefault="00624FE1" w:rsidP="00624FE1">
      <w:pPr>
        <w:pStyle w:val="guidelinebullet"/>
      </w:pPr>
      <w:r>
        <w:t>Work Related Items.</w:t>
      </w:r>
    </w:p>
    <w:p w14:paraId="61A3D8DA" w14:textId="77777777" w:rsidR="00A623DF" w:rsidRDefault="00A623DF" w:rsidP="00A623DF">
      <w:pPr>
        <w:pStyle w:val="Heading3"/>
        <w:spacing w:before="180"/>
      </w:pPr>
      <w:bookmarkStart w:id="69" w:name="_Toc468875622"/>
      <w:bookmarkStart w:id="70" w:name="_Toc21002814"/>
      <w:bookmarkStart w:id="71" w:name="_Toc51762290"/>
      <w:r>
        <w:t xml:space="preserve">Attributing Bulk Purchases to </w:t>
      </w:r>
      <w:bookmarkEnd w:id="69"/>
      <w:r>
        <w:t>Participants</w:t>
      </w:r>
      <w:bookmarkEnd w:id="70"/>
      <w:bookmarkEnd w:id="71"/>
    </w:p>
    <w:p w14:paraId="65C30E0B" w14:textId="77777777" w:rsidR="00A623DF" w:rsidRDefault="00A623DF" w:rsidP="00A623DF">
      <w:pPr>
        <w:pStyle w:val="Systemstep"/>
        <w:ind w:left="1418" w:hanging="1418"/>
      </w:pPr>
      <w:r w:rsidRPr="007A1B89">
        <w:rPr>
          <w:b/>
        </w:rPr>
        <w:t>System step</w:t>
      </w:r>
      <w:r>
        <w:rPr>
          <w:b/>
        </w:rPr>
        <w:t xml:space="preserve">: </w:t>
      </w:r>
      <w:r w:rsidR="00507222">
        <w:t>Providers must fully attribute b</w:t>
      </w:r>
      <w:r>
        <w:t xml:space="preserve">ulk purchases that are $300 (GST inclusive) or more in total to individual </w:t>
      </w:r>
      <w:r w:rsidR="005D0DAA">
        <w:t>Participant</w:t>
      </w:r>
      <w:r>
        <w:t xml:space="preserve">s in the Department’s IT System.  </w:t>
      </w:r>
    </w:p>
    <w:p w14:paraId="06FE9697" w14:textId="77777777" w:rsidR="00A623DF" w:rsidRDefault="00A623DF" w:rsidP="00A623DF">
      <w:pPr>
        <w:pStyle w:val="Systemstep"/>
        <w:ind w:left="1418" w:hanging="1418"/>
      </w:pPr>
      <w:r w:rsidRPr="007A1B89">
        <w:rPr>
          <w:b/>
        </w:rPr>
        <w:t>System step</w:t>
      </w:r>
      <w:r>
        <w:rPr>
          <w:b/>
        </w:rPr>
        <w:t xml:space="preserve">: </w:t>
      </w:r>
      <w:r w:rsidR="00507222">
        <w:t>Providers must also fully attribute b</w:t>
      </w:r>
      <w:r>
        <w:t>ulk purchases</w:t>
      </w:r>
      <w:r w:rsidR="00507222">
        <w:t>, regardless of the value,</w:t>
      </w:r>
      <w:r>
        <w:t xml:space="preserve"> for: </w:t>
      </w:r>
    </w:p>
    <w:p w14:paraId="6FE3C31E" w14:textId="77777777" w:rsidR="00A623DF" w:rsidRDefault="00F15DC5" w:rsidP="00A623DF">
      <w:pPr>
        <w:pStyle w:val="guidelinebullet"/>
      </w:pPr>
      <w:r>
        <w:t>A</w:t>
      </w:r>
      <w:r w:rsidRPr="00F15DC5">
        <w:t xml:space="preserve">ccredited </w:t>
      </w:r>
      <w:r>
        <w:t>T</w:t>
      </w:r>
      <w:r w:rsidRPr="00F15DC5">
        <w:t>raining</w:t>
      </w:r>
    </w:p>
    <w:p w14:paraId="0FC152CF" w14:textId="188BA25B" w:rsidR="00F15DC5" w:rsidRDefault="00F15DC5" w:rsidP="00A623DF">
      <w:pPr>
        <w:pStyle w:val="guidelinebullet"/>
      </w:pPr>
      <w:r>
        <w:t>Communication and Technology</w:t>
      </w:r>
    </w:p>
    <w:p w14:paraId="3FE03448" w14:textId="256B23FD" w:rsidR="008A717A" w:rsidRDefault="008A717A" w:rsidP="00A623DF">
      <w:pPr>
        <w:pStyle w:val="guidelinebullet"/>
      </w:pPr>
      <w:r w:rsidRPr="008A717A">
        <w:t>Non Vocational Support – Food</w:t>
      </w:r>
    </w:p>
    <w:p w14:paraId="06927AE3" w14:textId="77777777" w:rsidR="00F15DC5" w:rsidRDefault="00F15DC5" w:rsidP="00F15DC5">
      <w:pPr>
        <w:pStyle w:val="guidelinebullet"/>
      </w:pPr>
      <w:r w:rsidRPr="00624FE1">
        <w:t>Transport and Driver’s Licenc</w:t>
      </w:r>
      <w:r w:rsidR="004B03FB">
        <w:t>es</w:t>
      </w:r>
      <w:r>
        <w:t>; and</w:t>
      </w:r>
    </w:p>
    <w:p w14:paraId="3C8105F8" w14:textId="77777777" w:rsidR="00F15DC5" w:rsidRPr="00F15DC5" w:rsidRDefault="00F15DC5" w:rsidP="00F15DC5">
      <w:pPr>
        <w:pStyle w:val="guidelinebullet"/>
      </w:pPr>
      <w:r>
        <w:t>Work Related Items.</w:t>
      </w:r>
    </w:p>
    <w:p w14:paraId="3CCEDB14" w14:textId="77777777" w:rsidR="00A623DF" w:rsidRDefault="00A623DF" w:rsidP="00A623DF">
      <w:pPr>
        <w:pStyle w:val="guidelinetext"/>
      </w:pPr>
      <w:r>
        <w:lastRenderedPageBreak/>
        <w:t xml:space="preserve">For any other bulk purchases, a Provider </w:t>
      </w:r>
      <w:r w:rsidR="00507222">
        <w:t xml:space="preserve">is </w:t>
      </w:r>
      <w:r>
        <w:t xml:space="preserve">not required to fully attribute the purchases to individual </w:t>
      </w:r>
      <w:r w:rsidR="005D0DAA">
        <w:t>Participant</w:t>
      </w:r>
      <w:r>
        <w:t>s in the Department’s IT System</w:t>
      </w:r>
      <w:r w:rsidR="00507222">
        <w:t>,</w:t>
      </w:r>
      <w:r>
        <w:t xml:space="preserve"> unless the bulk purchase is randomly selected by the Department.</w:t>
      </w:r>
    </w:p>
    <w:p w14:paraId="66B75BE4" w14:textId="77777777" w:rsidR="00A623DF" w:rsidRDefault="00507222" w:rsidP="00A623DF">
      <w:pPr>
        <w:pStyle w:val="guidelinetext"/>
      </w:pPr>
      <w:r>
        <w:t xml:space="preserve">For bulk purchases that require full attribution, Providers must complete attributing individual </w:t>
      </w:r>
      <w:r w:rsidR="005D0DAA">
        <w:t>Participant</w:t>
      </w:r>
      <w:r>
        <w:t xml:space="preserve">s in the Department’s IT System </w:t>
      </w:r>
      <w:r w:rsidR="00A623DF">
        <w:t xml:space="preserve">within 183 days from the </w:t>
      </w:r>
      <w:r w:rsidR="00035DAD">
        <w:t xml:space="preserve">Reimbursement </w:t>
      </w:r>
      <w:r w:rsidR="00A623DF">
        <w:t>date.</w:t>
      </w:r>
    </w:p>
    <w:p w14:paraId="234D1A90" w14:textId="77777777" w:rsidR="00A623DF" w:rsidRDefault="00A623DF" w:rsidP="00A623DF">
      <w:pPr>
        <w:pStyle w:val="Heading3"/>
        <w:spacing w:before="180"/>
      </w:pPr>
      <w:bookmarkStart w:id="72" w:name="_Toc468875623"/>
      <w:bookmarkStart w:id="73" w:name="_Toc21002815"/>
      <w:bookmarkStart w:id="74" w:name="_Toc51762291"/>
      <w:r>
        <w:t>Acquitting Bulk Purchases randomly selected by the Department</w:t>
      </w:r>
      <w:bookmarkEnd w:id="72"/>
      <w:bookmarkEnd w:id="73"/>
      <w:bookmarkEnd w:id="74"/>
    </w:p>
    <w:p w14:paraId="6000CCE5" w14:textId="77777777" w:rsidR="00A623DF" w:rsidRDefault="00A623DF" w:rsidP="00A623DF">
      <w:pPr>
        <w:pStyle w:val="guidelinetext"/>
      </w:pPr>
      <w:r>
        <w:t>The Department will notify a Provider of randomly selected bulk purchases</w:t>
      </w:r>
      <w:r w:rsidR="00E75C6A">
        <w:t>,</w:t>
      </w:r>
      <w:r>
        <w:t xml:space="preserve"> and advise the timeframes to fully attribute the purchases to individual </w:t>
      </w:r>
      <w:r w:rsidR="005D0DAA">
        <w:t>Participant</w:t>
      </w:r>
      <w:r>
        <w:t>s.</w:t>
      </w:r>
    </w:p>
    <w:p w14:paraId="19C14B14" w14:textId="77777777" w:rsidR="00A623DF" w:rsidRDefault="00A623DF" w:rsidP="00A623DF">
      <w:pPr>
        <w:pStyle w:val="guidelinetext"/>
      </w:pPr>
      <w:r>
        <w:t>The Department will determine the size of the random sample. In determining the size of this random sample – which may be up to 100 per cent - the Department will consider:</w:t>
      </w:r>
    </w:p>
    <w:p w14:paraId="276A0899" w14:textId="77777777" w:rsidR="00A623DF" w:rsidRDefault="00A623DF" w:rsidP="00A623DF">
      <w:pPr>
        <w:pStyle w:val="guidelinebullet"/>
      </w:pPr>
      <w:r>
        <w:t xml:space="preserve">a Provider’s level of compliance in attributing bulk purchased goods and services to individual </w:t>
      </w:r>
      <w:r w:rsidR="005D0DAA">
        <w:t>Participant</w:t>
      </w:r>
      <w:r>
        <w:t>s within the set timeframes</w:t>
      </w:r>
    </w:p>
    <w:p w14:paraId="29D89041" w14:textId="77777777" w:rsidR="00A623DF" w:rsidRDefault="00A623DF" w:rsidP="00A623DF">
      <w:pPr>
        <w:pStyle w:val="guidelinebullet"/>
      </w:pPr>
      <w:r>
        <w:t>the rate of non-compliant bulk purchases, and</w:t>
      </w:r>
    </w:p>
    <w:p w14:paraId="7422C9B4" w14:textId="77777777" w:rsidR="00A623DF" w:rsidRDefault="00A623DF" w:rsidP="00A623DF">
      <w:pPr>
        <w:pStyle w:val="guidelinebullet"/>
      </w:pPr>
      <w:r>
        <w:t>a Provider’s overall use of bulk purchases.</w:t>
      </w:r>
    </w:p>
    <w:p w14:paraId="75A0F227" w14:textId="77777777" w:rsidR="00A623DF" w:rsidRDefault="00A623DF" w:rsidP="00A623DF">
      <w:pPr>
        <w:pStyle w:val="Heading1"/>
        <w:numPr>
          <w:ilvl w:val="0"/>
          <w:numId w:val="7"/>
        </w:numPr>
      </w:pPr>
      <w:bookmarkStart w:id="75" w:name="_Summary_of_required"/>
      <w:bookmarkStart w:id="76" w:name="_Ref469397520"/>
      <w:bookmarkStart w:id="77" w:name="_Ref469397623"/>
      <w:bookmarkStart w:id="78" w:name="_Toc21002816"/>
      <w:bookmarkStart w:id="79" w:name="_Toc51762292"/>
      <w:bookmarkEnd w:id="75"/>
      <w:r>
        <w:t>Summary of required Documentary Evidence</w:t>
      </w:r>
      <w:bookmarkEnd w:id="76"/>
      <w:bookmarkEnd w:id="77"/>
      <w:bookmarkEnd w:id="78"/>
      <w:bookmarkEnd w:id="79"/>
    </w:p>
    <w:p w14:paraId="3A76B46F" w14:textId="77777777" w:rsidR="00A623DF" w:rsidRDefault="00A623DF" w:rsidP="00A623DF">
      <w:pPr>
        <w:pStyle w:val="guidelinetext"/>
      </w:pPr>
      <w:r>
        <w:t>A</w:t>
      </w:r>
      <w:r w:rsidRPr="0090156E">
        <w:t xml:space="preserve"> Provider must have met all of the Documentary Evidence requirements</w:t>
      </w:r>
      <w:r>
        <w:t xml:space="preserve"> a</w:t>
      </w:r>
      <w:r w:rsidRPr="0090156E">
        <w:t>t the time of claiming R</w:t>
      </w:r>
      <w:r>
        <w:t>eimbursement.</w:t>
      </w:r>
      <w:r w:rsidRPr="0090156E">
        <w:t xml:space="preserve"> </w:t>
      </w:r>
    </w:p>
    <w:p w14:paraId="76F4E04F" w14:textId="605CD6C7" w:rsidR="00A623DF" w:rsidRDefault="00295678" w:rsidP="00A623DF">
      <w:pPr>
        <w:pStyle w:val="guidelinetext"/>
        <w:rPr>
          <w:rFonts w:cstheme="minorHAnsi"/>
        </w:rPr>
      </w:pPr>
      <w:r>
        <w:t>For Documentary E</w:t>
      </w:r>
      <w:r w:rsidR="00A623DF">
        <w:t xml:space="preserve">vidence requirements for Wage Subsidies, Providers must refer to the </w:t>
      </w:r>
      <w:hyperlink r:id="rId32" w:history="1">
        <w:r w:rsidR="00EB6BA2">
          <w:rPr>
            <w:rStyle w:val="Hyperlink"/>
          </w:rPr>
          <w:t>New Employment Services Trial Managing Wage Subsidies Guideline</w:t>
        </w:r>
      </w:hyperlink>
      <w:r w:rsidR="00A623DF">
        <w:rPr>
          <w:rFonts w:cstheme="minorHAnsi"/>
        </w:rPr>
        <w:t>.</w:t>
      </w:r>
    </w:p>
    <w:p w14:paraId="737A63A1" w14:textId="77777777" w:rsidR="00A623DF" w:rsidRPr="0090156E" w:rsidRDefault="00A623DF" w:rsidP="00A623DF">
      <w:pPr>
        <w:pStyle w:val="docev"/>
        <w:ind w:left="1418" w:hanging="1418"/>
      </w:pPr>
      <w:r w:rsidRPr="00E8532A">
        <w:rPr>
          <w:b/>
        </w:rPr>
        <w:t>Documentary evidence</w:t>
      </w:r>
      <w:r>
        <w:rPr>
          <w:b/>
        </w:rPr>
        <w:t xml:space="preserve">: </w:t>
      </w:r>
      <w:r w:rsidR="00ED2791">
        <w:t>Providers must record t</w:t>
      </w:r>
      <w:r w:rsidRPr="0090156E">
        <w:t>he following information in the Department’s IT System</w:t>
      </w:r>
      <w:r w:rsidRPr="0032716C">
        <w:t xml:space="preserve"> </w:t>
      </w:r>
      <w:r>
        <w:t>prior to claiming Reimbursement</w:t>
      </w:r>
      <w:r w:rsidRPr="0090156E">
        <w:t>:</w:t>
      </w:r>
    </w:p>
    <w:p w14:paraId="394D0CD4" w14:textId="77777777" w:rsidR="00A623DF" w:rsidRPr="0090156E" w:rsidRDefault="00A623DF" w:rsidP="00A623DF">
      <w:pPr>
        <w:pStyle w:val="guidelinebullet"/>
      </w:pPr>
      <w:r w:rsidRPr="0090156E">
        <w:t>the supplier name and ABN or, if applicable, whether the payment was made to a Provider’s Related Entity or Own Organisation</w:t>
      </w:r>
    </w:p>
    <w:p w14:paraId="5BF1E5E0" w14:textId="77777777" w:rsidR="00A623DF" w:rsidRPr="0090156E" w:rsidRDefault="00A623DF" w:rsidP="00A623DF">
      <w:pPr>
        <w:pStyle w:val="guidelinebullet"/>
      </w:pPr>
      <w:r w:rsidRPr="0090156E">
        <w:t>whether the purchase was a bulk purchase, and if it is, the number of purchased items</w:t>
      </w:r>
    </w:p>
    <w:p w14:paraId="6A0C9970" w14:textId="77777777" w:rsidR="00A623DF" w:rsidRPr="0090156E" w:rsidRDefault="00A623DF" w:rsidP="00A623DF">
      <w:pPr>
        <w:pStyle w:val="guidelinebullet"/>
      </w:pPr>
      <w:r>
        <w:t>the total i</w:t>
      </w:r>
      <w:r w:rsidRPr="0090156E">
        <w:t xml:space="preserve">nvoice </w:t>
      </w:r>
      <w:r>
        <w:t>a</w:t>
      </w:r>
      <w:r w:rsidRPr="0090156E">
        <w:t>mount and whether the payment was GST free</w:t>
      </w:r>
    </w:p>
    <w:p w14:paraId="00676071" w14:textId="77777777" w:rsidR="00A623DF" w:rsidRPr="0090156E" w:rsidRDefault="00A623DF" w:rsidP="00A623DF">
      <w:pPr>
        <w:pStyle w:val="guidelinebullet"/>
      </w:pPr>
      <w:r w:rsidRPr="0090156E">
        <w:t>the date the supplier was paid</w:t>
      </w:r>
    </w:p>
    <w:p w14:paraId="18EB811B" w14:textId="77777777" w:rsidR="00A623DF" w:rsidRPr="0090156E" w:rsidRDefault="00A623DF" w:rsidP="00A623DF">
      <w:pPr>
        <w:pStyle w:val="guidelinebullet"/>
      </w:pPr>
      <w:r w:rsidRPr="0090156E">
        <w:t xml:space="preserve">the job seeker’s identification number (JSID) except for bulk purchases that do not require attribution to the individual </w:t>
      </w:r>
      <w:r w:rsidR="005D0DAA">
        <w:t>Participant</w:t>
      </w:r>
      <w:r>
        <w:t>, and</w:t>
      </w:r>
    </w:p>
    <w:p w14:paraId="1DC4A92D" w14:textId="77777777" w:rsidR="00A623DF" w:rsidRPr="0090156E" w:rsidRDefault="00A623DF" w:rsidP="00A623DF">
      <w:pPr>
        <w:pStyle w:val="guidelinebullet"/>
      </w:pPr>
      <w:r w:rsidRPr="0090156E">
        <w:t xml:space="preserve">the date the goods or service was provided to the </w:t>
      </w:r>
      <w:r w:rsidR="005D0DAA">
        <w:t>Participant</w:t>
      </w:r>
      <w:r w:rsidRPr="0090156E">
        <w:t>.</w:t>
      </w:r>
    </w:p>
    <w:p w14:paraId="1C9AE651" w14:textId="77777777" w:rsidR="00A623DF" w:rsidRPr="0090156E" w:rsidRDefault="00A623DF" w:rsidP="00A623DF">
      <w:pPr>
        <w:pStyle w:val="docev"/>
        <w:ind w:left="1418" w:hanging="1418"/>
      </w:pPr>
      <w:r w:rsidRPr="00E8532A">
        <w:rPr>
          <w:b/>
        </w:rPr>
        <w:t>Documentary evidence</w:t>
      </w:r>
      <w:r>
        <w:rPr>
          <w:b/>
        </w:rPr>
        <w:t xml:space="preserve">: </w:t>
      </w:r>
      <w:r w:rsidR="00ED2791">
        <w:t xml:space="preserve">Providers must record </w:t>
      </w:r>
      <w:r w:rsidRPr="0090156E">
        <w:t>additional information in the Department’s IT System</w:t>
      </w:r>
      <w:r w:rsidRPr="0032716C">
        <w:t xml:space="preserve"> </w:t>
      </w:r>
      <w:r>
        <w:t>for some categories</w:t>
      </w:r>
      <w:r w:rsidRPr="0090156E">
        <w:t>. These additional requirements are listed in</w:t>
      </w:r>
      <w:r>
        <w:t xml:space="preserve"> </w:t>
      </w:r>
      <w:hyperlink w:anchor="_Table_1_–" w:history="1">
        <w:r w:rsidRPr="002F45B8">
          <w:rPr>
            <w:rStyle w:val="Hyperlink"/>
          </w:rPr>
          <w:t>Table 1 – Category Details and Documentary Evidence Requirements.</w:t>
        </w:r>
      </w:hyperlink>
    </w:p>
    <w:p w14:paraId="7D827B9A" w14:textId="77777777" w:rsidR="00A623DF" w:rsidRPr="002846BD" w:rsidRDefault="00A623DF" w:rsidP="00A623DF">
      <w:pPr>
        <w:pStyle w:val="guidelinetext"/>
      </w:pPr>
      <w:r>
        <w:t>A Provider</w:t>
      </w:r>
      <w:r w:rsidRPr="002846BD">
        <w:t xml:space="preserve"> must also retain other forms of Documentary Evidence for externally and internally supplied services</w:t>
      </w:r>
      <w:r w:rsidRPr="0032716C">
        <w:t xml:space="preserve"> </w:t>
      </w:r>
      <w:r>
        <w:t>i</w:t>
      </w:r>
      <w:r w:rsidRPr="002846BD">
        <w:t>n addition to the above Departmental IT System requirements.</w:t>
      </w:r>
    </w:p>
    <w:p w14:paraId="11CCBC68" w14:textId="77777777" w:rsidR="00A623DF" w:rsidRPr="00584796" w:rsidRDefault="00A623DF" w:rsidP="00A623DF">
      <w:pPr>
        <w:pStyle w:val="guidelinedeedref"/>
      </w:pPr>
      <w:r w:rsidRPr="00584796">
        <w:t>(Deed references: Clause 15.4</w:t>
      </w:r>
      <w:r>
        <w:t>, 16.2</w:t>
      </w:r>
      <w:r w:rsidRPr="00584796">
        <w:t>)</w:t>
      </w:r>
    </w:p>
    <w:p w14:paraId="7664A630" w14:textId="77777777" w:rsidR="00A623DF" w:rsidRDefault="00A623DF" w:rsidP="00A623DF">
      <w:pPr>
        <w:pStyle w:val="Heading2"/>
      </w:pPr>
      <w:bookmarkStart w:id="80" w:name="_Evidence_to_be"/>
      <w:bookmarkStart w:id="81" w:name="_Toc468875613"/>
      <w:bookmarkStart w:id="82" w:name="_Toc21002817"/>
      <w:bookmarkStart w:id="83" w:name="_Toc51762293"/>
      <w:bookmarkEnd w:id="80"/>
      <w:r>
        <w:lastRenderedPageBreak/>
        <w:t>Evidence to be retained for Externally Supplied Services</w:t>
      </w:r>
      <w:bookmarkEnd w:id="81"/>
      <w:bookmarkEnd w:id="82"/>
      <w:bookmarkEnd w:id="83"/>
      <w:r>
        <w:t xml:space="preserve"> </w:t>
      </w:r>
    </w:p>
    <w:p w14:paraId="0E48796D" w14:textId="77777777" w:rsidR="00A623DF" w:rsidRDefault="00A623DF" w:rsidP="00A623DF">
      <w:pPr>
        <w:pStyle w:val="docev"/>
        <w:ind w:left="1418" w:hanging="1418"/>
      </w:pPr>
      <w:r w:rsidRPr="00E8532A">
        <w:rPr>
          <w:b/>
        </w:rPr>
        <w:t>Documentary evidence</w:t>
      </w:r>
      <w:r>
        <w:rPr>
          <w:b/>
        </w:rPr>
        <w:t xml:space="preserve">: </w:t>
      </w:r>
      <w:r>
        <w:t xml:space="preserve">If a Provider has paid an external supplier (this includes </w:t>
      </w:r>
      <w:r w:rsidR="005D0DAA">
        <w:t>Participant</w:t>
      </w:r>
      <w:r>
        <w:t>s) for a purchase, then a Provider must retain sufficient items of evidence that in combination clearly identifies:</w:t>
      </w:r>
    </w:p>
    <w:p w14:paraId="0D66F2FD" w14:textId="77777777" w:rsidR="00A623DF" w:rsidRDefault="00A623DF" w:rsidP="00A623DF">
      <w:pPr>
        <w:pStyle w:val="guidelinebullet"/>
      </w:pPr>
      <w:r>
        <w:t>prior payment from a Provider to the supplier which reflects payment in full or a zero outstanding balance</w:t>
      </w:r>
    </w:p>
    <w:p w14:paraId="418483B7" w14:textId="77777777" w:rsidR="00A623DF" w:rsidRDefault="00A623DF" w:rsidP="00A623DF">
      <w:pPr>
        <w:pStyle w:val="guidelinebullet"/>
      </w:pPr>
      <w:r>
        <w:t>the date that the supplier was paid</w:t>
      </w:r>
    </w:p>
    <w:p w14:paraId="13BDD8FA" w14:textId="77777777" w:rsidR="00A623DF" w:rsidRDefault="00A623DF" w:rsidP="00A623DF">
      <w:pPr>
        <w:pStyle w:val="guidelinebullet"/>
      </w:pPr>
      <w:r>
        <w:t>the details of the supplier (including ABN) (note: if the generic ABN is used, then the ABN is not required)</w:t>
      </w:r>
    </w:p>
    <w:p w14:paraId="7539ABF5" w14:textId="77777777" w:rsidR="00A623DF" w:rsidRDefault="00A623DF" w:rsidP="00A623DF">
      <w:pPr>
        <w:pStyle w:val="guidelinebullet"/>
      </w:pPr>
      <w:r>
        <w:t>the details of the items purchased and/or details of the service delivered, and</w:t>
      </w:r>
    </w:p>
    <w:p w14:paraId="4086DE99" w14:textId="77777777" w:rsidR="00A623DF" w:rsidRDefault="00A623DF" w:rsidP="00A623DF">
      <w:pPr>
        <w:pStyle w:val="guidelinebullet"/>
      </w:pPr>
      <w:r>
        <w:t>whether the purchase was GST inclusive or GST free.</w:t>
      </w:r>
    </w:p>
    <w:p w14:paraId="11167285" w14:textId="77777777" w:rsidR="00A623DF" w:rsidRDefault="00A623DF" w:rsidP="00A623DF">
      <w:pPr>
        <w:pStyle w:val="guidelinetext"/>
      </w:pPr>
      <w:r>
        <w:t>Suitable items of evidence include a remittance advice, record of transaction or a Tax Invoice, receipt, layby docket, internal billing documentation or purchase order.</w:t>
      </w:r>
    </w:p>
    <w:p w14:paraId="2534111D" w14:textId="77777777" w:rsidR="00A623DF" w:rsidRDefault="00A623DF" w:rsidP="00A623DF">
      <w:pPr>
        <w:pStyle w:val="guidelinetext"/>
      </w:pPr>
      <w:r>
        <w:t>If, in addition to the above:</w:t>
      </w:r>
    </w:p>
    <w:p w14:paraId="5981533C" w14:textId="77777777" w:rsidR="00A623DF" w:rsidRDefault="00A623DF" w:rsidP="00A623DF">
      <w:pPr>
        <w:pStyle w:val="guidelinebullet"/>
      </w:pPr>
      <w:r>
        <w:t>a supplier has authorised another organisation to collect payments on their behalf (e.g. Australia Post) and the Tax Invoice from that third party does not clearly identify the supplier or detail the items to be reimbursed, then additional Documentary Evidence which includes this information must be retained. For example, a completed fork lift licence application; a completed working with vulnerable people application; or a utility bill</w:t>
      </w:r>
    </w:p>
    <w:p w14:paraId="51630C7F" w14:textId="77777777" w:rsidR="00A623DF" w:rsidRDefault="00A623DF" w:rsidP="00A623DF">
      <w:pPr>
        <w:pStyle w:val="guidelinebullet"/>
      </w:pPr>
      <w:r>
        <w:t>a layby fee or credit card surcharge is charged by a supplier for a purchase and the fee or surcharge is charged separately (i.e. does not appear on the Tax Invoice), then additional Documentary Evidence must be retained that supports the total purchase cost to a Provider.</w:t>
      </w:r>
    </w:p>
    <w:p w14:paraId="5FE34CF6" w14:textId="77777777" w:rsidR="00A623DF" w:rsidRDefault="00A623DF" w:rsidP="00A623DF">
      <w:pPr>
        <w:pStyle w:val="guidelinetext"/>
      </w:pPr>
      <w:bookmarkStart w:id="84" w:name="_Toc468875614"/>
      <w:r>
        <w:t>A Provider</w:t>
      </w:r>
      <w:r w:rsidRPr="00C4712A">
        <w:t xml:space="preserve"> should refer to the </w:t>
      </w:r>
      <w:hyperlink r:id="rId33" w:history="1">
        <w:r w:rsidRPr="00F115AA">
          <w:rPr>
            <w:rStyle w:val="Hyperlink"/>
          </w:rPr>
          <w:t>ATO website</w:t>
        </w:r>
      </w:hyperlink>
      <w:r>
        <w:t xml:space="preserve"> </w:t>
      </w:r>
      <w:r w:rsidRPr="00C4712A">
        <w:t xml:space="preserve">to determine what </w:t>
      </w:r>
      <w:r>
        <w:t xml:space="preserve">is considered a valid Tax Invoice. </w:t>
      </w:r>
      <w:r w:rsidRPr="00BD5EF0">
        <w:t>A Recipient Created Tax invoice (RCTI) will be considered valid if it contains all of the information required of a tax invoice (except for ABN if the recipient is not registered for GST). A written agreement between the Supplier and the Recipient does not need to be supplied to the Department.</w:t>
      </w:r>
    </w:p>
    <w:p w14:paraId="2E0C57A1" w14:textId="77777777" w:rsidR="00A623DF" w:rsidRPr="0090156E" w:rsidRDefault="00A623DF" w:rsidP="00A623DF">
      <w:pPr>
        <w:pStyle w:val="docev"/>
        <w:ind w:left="1418" w:hanging="1418"/>
      </w:pPr>
      <w:r w:rsidRPr="00E8532A">
        <w:rPr>
          <w:b/>
        </w:rPr>
        <w:t>Documentary evidence</w:t>
      </w:r>
      <w:r>
        <w:rPr>
          <w:b/>
        </w:rPr>
        <w:t xml:space="preserve">: </w:t>
      </w:r>
      <w:r w:rsidR="00D718A0">
        <w:t>A Provider must also retain</w:t>
      </w:r>
      <w:r w:rsidRPr="0090156E">
        <w:t xml:space="preserve"> additional information </w:t>
      </w:r>
      <w:r>
        <w:t>for some categories</w:t>
      </w:r>
      <w:r w:rsidRPr="0090156E">
        <w:t xml:space="preserve">. These additional requirements are listed in </w:t>
      </w:r>
      <w:hyperlink w:anchor="_Table_1_–" w:history="1">
        <w:r w:rsidRPr="002F45B8">
          <w:rPr>
            <w:rStyle w:val="Hyperlink"/>
          </w:rPr>
          <w:t>Table 1 – Category Details and Documentary Evidence Requirements.</w:t>
        </w:r>
      </w:hyperlink>
    </w:p>
    <w:p w14:paraId="2A8A824C" w14:textId="77777777" w:rsidR="00A623DF" w:rsidRDefault="00A623DF" w:rsidP="00A623DF">
      <w:pPr>
        <w:pStyle w:val="guidelinetext"/>
      </w:pPr>
      <w:r>
        <w:t xml:space="preserve">A Provider must submit the Documentary Evidence retained for Employment Fund </w:t>
      </w:r>
      <w:r w:rsidRPr="0032716C">
        <w:t>Reimbursements</w:t>
      </w:r>
      <w:r>
        <w:t xml:space="preserve"> </w:t>
      </w:r>
      <w:r w:rsidRPr="002846BD">
        <w:t>within five Business Days of any request by the Department to do so</w:t>
      </w:r>
      <w:r w:rsidRPr="0032716C">
        <w:t xml:space="preserve"> </w:t>
      </w:r>
      <w:r>
        <w:t>in accordance with the Deed</w:t>
      </w:r>
      <w:r w:rsidRPr="002846BD">
        <w:t>.</w:t>
      </w:r>
    </w:p>
    <w:p w14:paraId="1EB56A0A" w14:textId="77777777" w:rsidR="00A623DF" w:rsidRPr="0090156E" w:rsidRDefault="00A623DF" w:rsidP="00A623DF">
      <w:pPr>
        <w:pStyle w:val="guidelinedeedref"/>
      </w:pPr>
      <w:r>
        <w:t>(Deed references: Clauses 15.4, 16.2)</w:t>
      </w:r>
    </w:p>
    <w:p w14:paraId="30B1BF9A" w14:textId="77777777" w:rsidR="00A623DF" w:rsidRDefault="00A623DF" w:rsidP="00A623DF">
      <w:pPr>
        <w:pStyle w:val="Heading3"/>
      </w:pPr>
      <w:bookmarkStart w:id="85" w:name="_Toc21002818"/>
      <w:bookmarkStart w:id="86" w:name="_Toc51762294"/>
      <w:r>
        <w:t>Evidence to be retained for Internally Supplied Services</w:t>
      </w:r>
      <w:bookmarkEnd w:id="84"/>
      <w:bookmarkEnd w:id="85"/>
      <w:bookmarkEnd w:id="86"/>
      <w:r>
        <w:t xml:space="preserve"> </w:t>
      </w:r>
    </w:p>
    <w:p w14:paraId="2E1032BD" w14:textId="77777777" w:rsidR="00A623DF" w:rsidRDefault="00A623DF" w:rsidP="00A623DF">
      <w:pPr>
        <w:pStyle w:val="docev"/>
        <w:ind w:left="1418" w:hanging="1418"/>
      </w:pPr>
      <w:r w:rsidRPr="00E8532A">
        <w:rPr>
          <w:b/>
        </w:rPr>
        <w:t>Documentary evidence</w:t>
      </w:r>
      <w:r>
        <w:rPr>
          <w:b/>
        </w:rPr>
        <w:t xml:space="preserve">: </w:t>
      </w:r>
      <w:r>
        <w:t>If a Provider deliver</w:t>
      </w:r>
      <w:r w:rsidR="004B3843">
        <w:t>s</w:t>
      </w:r>
      <w:r>
        <w:t xml:space="preserve"> a service using a Provider’s Own Organisation or a Related Entity, then a Provider must retain sufficient items of evidence</w:t>
      </w:r>
      <w:r w:rsidRPr="00C45858">
        <w:t xml:space="preserve"> </w:t>
      </w:r>
      <w:r w:rsidRPr="0090156E">
        <w:t>that in combination clearly identifies</w:t>
      </w:r>
      <w:r>
        <w:t xml:space="preserve">: </w:t>
      </w:r>
    </w:p>
    <w:p w14:paraId="3E77548D" w14:textId="77777777" w:rsidR="00A623DF" w:rsidRPr="0090156E" w:rsidRDefault="00A623DF" w:rsidP="00A623DF">
      <w:pPr>
        <w:pStyle w:val="guidelinebullet"/>
      </w:pPr>
      <w:r w:rsidRPr="0090156E">
        <w:t>the details of the supplier (including ABN)</w:t>
      </w:r>
    </w:p>
    <w:p w14:paraId="02F3818A" w14:textId="77777777" w:rsidR="00A623DF" w:rsidRPr="0090156E" w:rsidRDefault="00A623DF" w:rsidP="00A623DF">
      <w:pPr>
        <w:pStyle w:val="guidelinebullet"/>
      </w:pPr>
      <w:r w:rsidRPr="0090156E">
        <w:t>the details of the items purchased and/or details of the service delivered</w:t>
      </w:r>
      <w:r>
        <w:t>, and</w:t>
      </w:r>
    </w:p>
    <w:p w14:paraId="52BD3637" w14:textId="77777777" w:rsidR="00A623DF" w:rsidRDefault="00A623DF" w:rsidP="00A623DF">
      <w:pPr>
        <w:pStyle w:val="guidelinebullet"/>
      </w:pPr>
      <w:r w:rsidRPr="0090156E">
        <w:t>whether the purchase was GST inclusive or GST free.</w:t>
      </w:r>
    </w:p>
    <w:p w14:paraId="3FD5C6D5" w14:textId="77777777" w:rsidR="00A623DF" w:rsidRPr="0090156E" w:rsidRDefault="00A623DF" w:rsidP="00A623DF">
      <w:pPr>
        <w:pStyle w:val="guidelinetext"/>
      </w:pPr>
      <w:r>
        <w:lastRenderedPageBreak/>
        <w:t>Suitable items of evidence include a Tax Invoice/receipt, internal billing documentation or purchase order.</w:t>
      </w:r>
    </w:p>
    <w:p w14:paraId="0739A49C" w14:textId="77777777" w:rsidR="00A623DF" w:rsidRPr="0090156E" w:rsidRDefault="00A623DF" w:rsidP="00A623DF">
      <w:pPr>
        <w:pStyle w:val="docev"/>
        <w:ind w:left="1418" w:hanging="1418"/>
      </w:pPr>
      <w:r w:rsidRPr="00E8532A">
        <w:rPr>
          <w:b/>
        </w:rPr>
        <w:t>Documentary evidence</w:t>
      </w:r>
      <w:r>
        <w:rPr>
          <w:b/>
        </w:rPr>
        <w:t xml:space="preserve">: </w:t>
      </w:r>
      <w:r w:rsidR="00D718A0">
        <w:t xml:space="preserve">A Provider must also retain </w:t>
      </w:r>
      <w:r w:rsidRPr="0090156E">
        <w:t xml:space="preserve">additional information </w:t>
      </w:r>
      <w:r>
        <w:t>for some categories</w:t>
      </w:r>
      <w:r w:rsidRPr="0090156E">
        <w:t xml:space="preserve">. These additional requirements are listed in </w:t>
      </w:r>
      <w:hyperlink w:anchor="_Table_1_–" w:history="1">
        <w:r w:rsidRPr="002F45B8">
          <w:rPr>
            <w:rStyle w:val="Hyperlink"/>
          </w:rPr>
          <w:t>Table 1 – Category Details and Documentary Evidence Requirements.</w:t>
        </w:r>
      </w:hyperlink>
    </w:p>
    <w:p w14:paraId="496CB63C" w14:textId="77777777" w:rsidR="00A623DF" w:rsidRDefault="00A623DF" w:rsidP="00A623DF">
      <w:pPr>
        <w:pStyle w:val="guidelinetext"/>
      </w:pPr>
      <w:r>
        <w:t xml:space="preserve">A Provider must submit the Documentary Evidence retained for Employment Fund Reimbursements </w:t>
      </w:r>
      <w:r w:rsidRPr="002846BD">
        <w:t>within five Business Days of any request by the Department to do so</w:t>
      </w:r>
      <w:r w:rsidRPr="0032716C">
        <w:t xml:space="preserve"> </w:t>
      </w:r>
      <w:r>
        <w:t>in accordance with the Deed</w:t>
      </w:r>
      <w:r w:rsidRPr="002846BD">
        <w:t>.</w:t>
      </w:r>
    </w:p>
    <w:p w14:paraId="6A97F329" w14:textId="77777777" w:rsidR="00A623DF" w:rsidRDefault="00A623DF" w:rsidP="00A623DF">
      <w:pPr>
        <w:pStyle w:val="guidelinedeedref"/>
      </w:pPr>
      <w:r>
        <w:t>(Deed references: Clauses 15.4, 16.2)</w:t>
      </w:r>
    </w:p>
    <w:p w14:paraId="62586427" w14:textId="77777777" w:rsidR="00A623DF" w:rsidRDefault="00A623DF" w:rsidP="00A623DF">
      <w:pPr>
        <w:pStyle w:val="guidelinedeedref"/>
        <w:sectPr w:rsidR="00A623DF" w:rsidSect="00832761">
          <w:headerReference w:type="default" r:id="rId34"/>
          <w:footerReference w:type="default" r:id="rId35"/>
          <w:pgSz w:w="11906" w:h="16838"/>
          <w:pgMar w:top="567" w:right="1440" w:bottom="1276" w:left="1440" w:header="708" w:footer="708" w:gutter="0"/>
          <w:cols w:space="708"/>
          <w:titlePg/>
          <w:docGrid w:linePitch="360"/>
        </w:sectPr>
      </w:pPr>
    </w:p>
    <w:p w14:paraId="74071A76" w14:textId="77777777" w:rsidR="00A623DF" w:rsidRPr="00DB2D68" w:rsidRDefault="00A623DF" w:rsidP="00A623DF">
      <w:pPr>
        <w:pStyle w:val="Heading1"/>
        <w:numPr>
          <w:ilvl w:val="0"/>
          <w:numId w:val="7"/>
        </w:numPr>
        <w:spacing w:after="120"/>
        <w:ind w:left="357" w:hanging="357"/>
      </w:pPr>
      <w:bookmarkStart w:id="87" w:name="_Table_1_–"/>
      <w:bookmarkStart w:id="88" w:name="_Ref468870721"/>
      <w:bookmarkStart w:id="89" w:name="_Toc468875609"/>
      <w:bookmarkStart w:id="90" w:name="_Toc21002819"/>
      <w:bookmarkStart w:id="91" w:name="_Toc51762295"/>
      <w:bookmarkEnd w:id="87"/>
      <w:r w:rsidRPr="00DB2D68">
        <w:lastRenderedPageBreak/>
        <w:t>Table 1 –</w:t>
      </w:r>
      <w:r>
        <w:t xml:space="preserve"> Category Details and Documentary Evidence Requirements</w:t>
      </w:r>
      <w:bookmarkEnd w:id="88"/>
      <w:bookmarkEnd w:id="89"/>
      <w:bookmarkEnd w:id="90"/>
      <w:bookmarkEnd w:id="91"/>
    </w:p>
    <w:tbl>
      <w:tblPr>
        <w:tblStyle w:val="TableGrid"/>
        <w:tblW w:w="5000" w:type="pct"/>
        <w:tblInd w:w="108" w:type="dxa"/>
        <w:tblBorders>
          <w:top w:val="none" w:sz="0" w:space="0" w:color="auto"/>
          <w:left w:val="none" w:sz="0" w:space="0" w:color="auto"/>
          <w:bottom w:val="none" w:sz="0" w:space="0" w:color="auto"/>
          <w:right w:val="none" w:sz="0" w:space="0" w:color="auto"/>
          <w:insideH w:val="single" w:sz="2" w:space="0" w:color="404040" w:themeColor="text1" w:themeTint="BF"/>
          <w:insideV w:val="none" w:sz="0" w:space="0" w:color="auto"/>
        </w:tblBorders>
        <w:tblLook w:val="04A0" w:firstRow="1" w:lastRow="0" w:firstColumn="1" w:lastColumn="0" w:noHBand="0" w:noVBand="1"/>
        <w:tblDescription w:val="Table listing Category Details and Documentary Evidence Requirements"/>
      </w:tblPr>
      <w:tblGrid>
        <w:gridCol w:w="2019"/>
        <w:gridCol w:w="2835"/>
        <w:gridCol w:w="10136"/>
        <w:gridCol w:w="6247"/>
      </w:tblGrid>
      <w:tr w:rsidR="00A307D8" w:rsidRPr="00662F9A" w14:paraId="3FFBA685" w14:textId="77777777" w:rsidTr="00827A41">
        <w:trPr>
          <w:tblHeader/>
        </w:trPr>
        <w:tc>
          <w:tcPr>
            <w:tcW w:w="2019" w:type="dxa"/>
          </w:tcPr>
          <w:p w14:paraId="4F8F0918" w14:textId="77777777" w:rsidR="00A307D8" w:rsidRPr="00662F9A" w:rsidRDefault="00A307D8" w:rsidP="00295678">
            <w:pPr>
              <w:pStyle w:val="tabletext"/>
              <w:rPr>
                <w:rFonts w:cstheme="minorHAnsi"/>
                <w:b/>
                <w:sz w:val="22"/>
                <w:szCs w:val="22"/>
              </w:rPr>
            </w:pPr>
            <w:r w:rsidRPr="00662F9A">
              <w:rPr>
                <w:rFonts w:cstheme="minorHAnsi"/>
                <w:b/>
                <w:sz w:val="22"/>
                <w:szCs w:val="22"/>
              </w:rPr>
              <w:t>Category</w:t>
            </w:r>
          </w:p>
        </w:tc>
        <w:tc>
          <w:tcPr>
            <w:tcW w:w="2835" w:type="dxa"/>
          </w:tcPr>
          <w:p w14:paraId="3D5CAAAC" w14:textId="77777777" w:rsidR="00A307D8" w:rsidRDefault="00A307D8" w:rsidP="00295678">
            <w:pPr>
              <w:pStyle w:val="tabletext"/>
              <w:rPr>
                <w:rFonts w:cstheme="minorHAnsi"/>
                <w:b/>
                <w:sz w:val="22"/>
                <w:szCs w:val="22"/>
              </w:rPr>
            </w:pPr>
            <w:r>
              <w:rPr>
                <w:rFonts w:cstheme="minorHAnsi"/>
                <w:b/>
                <w:sz w:val="22"/>
                <w:szCs w:val="22"/>
              </w:rPr>
              <w:t>Sub Category</w:t>
            </w:r>
          </w:p>
        </w:tc>
        <w:tc>
          <w:tcPr>
            <w:tcW w:w="10136" w:type="dxa"/>
          </w:tcPr>
          <w:p w14:paraId="270C50DE" w14:textId="77777777" w:rsidR="00A307D8" w:rsidRPr="00662F9A" w:rsidRDefault="00A307D8" w:rsidP="00295678">
            <w:pPr>
              <w:pStyle w:val="tabletext"/>
              <w:rPr>
                <w:rFonts w:cstheme="minorHAnsi"/>
                <w:b/>
                <w:color w:val="385623" w:themeColor="accent6" w:themeShade="80"/>
                <w:sz w:val="22"/>
                <w:szCs w:val="22"/>
              </w:rPr>
            </w:pPr>
            <w:r>
              <w:rPr>
                <w:rFonts w:cstheme="minorHAnsi"/>
                <w:b/>
                <w:sz w:val="22"/>
                <w:szCs w:val="22"/>
              </w:rPr>
              <w:t xml:space="preserve">Category </w:t>
            </w:r>
            <w:r w:rsidR="009E4825">
              <w:rPr>
                <w:rFonts w:cstheme="minorHAnsi"/>
                <w:b/>
                <w:sz w:val="22"/>
                <w:szCs w:val="22"/>
              </w:rPr>
              <w:t xml:space="preserve">and Sub Category </w:t>
            </w:r>
            <w:r>
              <w:rPr>
                <w:rFonts w:cstheme="minorHAnsi"/>
                <w:b/>
                <w:sz w:val="22"/>
                <w:szCs w:val="22"/>
              </w:rPr>
              <w:t>Details</w:t>
            </w:r>
          </w:p>
        </w:tc>
        <w:tc>
          <w:tcPr>
            <w:tcW w:w="6247" w:type="dxa"/>
          </w:tcPr>
          <w:p w14:paraId="1E8719F6" w14:textId="77777777" w:rsidR="00A307D8" w:rsidRPr="00A37677" w:rsidRDefault="00A307D8" w:rsidP="00295678">
            <w:pPr>
              <w:pStyle w:val="tabletext"/>
              <w:rPr>
                <w:rFonts w:cstheme="minorHAnsi"/>
                <w:b/>
                <w:sz w:val="22"/>
                <w:szCs w:val="22"/>
              </w:rPr>
            </w:pPr>
            <w:r w:rsidRPr="00A37677">
              <w:rPr>
                <w:rFonts w:cstheme="minorHAnsi"/>
                <w:b/>
                <w:sz w:val="22"/>
                <w:szCs w:val="22"/>
              </w:rPr>
              <w:t>Documentary Evidence Requirements</w:t>
            </w:r>
          </w:p>
        </w:tc>
      </w:tr>
      <w:tr w:rsidR="00A307D8" w:rsidRPr="00662F9A" w14:paraId="5911BFA0" w14:textId="77777777" w:rsidTr="00827A41">
        <w:tc>
          <w:tcPr>
            <w:tcW w:w="2019" w:type="dxa"/>
          </w:tcPr>
          <w:p w14:paraId="342FFFFA" w14:textId="77777777" w:rsidR="00A307D8" w:rsidRPr="00662F9A" w:rsidRDefault="00A307D8" w:rsidP="009F211C">
            <w:pPr>
              <w:pStyle w:val="tabletext"/>
              <w:rPr>
                <w:rFonts w:cstheme="minorHAnsi"/>
                <w:b/>
                <w:sz w:val="22"/>
                <w:szCs w:val="22"/>
              </w:rPr>
            </w:pPr>
            <w:r w:rsidRPr="00662F9A">
              <w:rPr>
                <w:rFonts w:cstheme="minorHAnsi"/>
                <w:b/>
                <w:sz w:val="22"/>
                <w:szCs w:val="22"/>
              </w:rPr>
              <w:t xml:space="preserve">Accredited </w:t>
            </w:r>
            <w:r>
              <w:rPr>
                <w:rFonts w:cstheme="minorHAnsi"/>
                <w:b/>
                <w:sz w:val="22"/>
                <w:szCs w:val="22"/>
              </w:rPr>
              <w:t>T</w:t>
            </w:r>
            <w:r w:rsidRPr="00662F9A">
              <w:rPr>
                <w:rFonts w:cstheme="minorHAnsi"/>
                <w:b/>
                <w:sz w:val="22"/>
                <w:szCs w:val="22"/>
              </w:rPr>
              <w:t>raining</w:t>
            </w:r>
          </w:p>
        </w:tc>
        <w:tc>
          <w:tcPr>
            <w:tcW w:w="2835" w:type="dxa"/>
          </w:tcPr>
          <w:p w14:paraId="307BF47C" w14:textId="77777777" w:rsidR="00A307D8" w:rsidRPr="00B12BA3" w:rsidRDefault="00A307D8" w:rsidP="00295678">
            <w:pPr>
              <w:pStyle w:val="tabletext"/>
              <w:rPr>
                <w:rFonts w:cstheme="minorHAnsi"/>
                <w:sz w:val="22"/>
                <w:szCs w:val="22"/>
              </w:rPr>
            </w:pPr>
          </w:p>
        </w:tc>
        <w:tc>
          <w:tcPr>
            <w:tcW w:w="10136" w:type="dxa"/>
          </w:tcPr>
          <w:p w14:paraId="1E5F0AA5" w14:textId="77777777" w:rsidR="00A307D8" w:rsidRDefault="00666832" w:rsidP="00295678">
            <w:pPr>
              <w:pStyle w:val="tabletext"/>
              <w:rPr>
                <w:rFonts w:cstheme="minorHAnsi"/>
                <w:sz w:val="22"/>
                <w:szCs w:val="22"/>
              </w:rPr>
            </w:pPr>
            <w:r>
              <w:rPr>
                <w:rFonts w:cstheme="minorHAnsi"/>
                <w:sz w:val="22"/>
                <w:szCs w:val="22"/>
              </w:rPr>
              <w:t>Providers may use t</w:t>
            </w:r>
            <w:r w:rsidR="00A307D8" w:rsidRPr="00B12BA3">
              <w:rPr>
                <w:rFonts w:cstheme="minorHAnsi"/>
                <w:sz w:val="22"/>
                <w:szCs w:val="22"/>
              </w:rPr>
              <w:t xml:space="preserve">his category for </w:t>
            </w:r>
            <w:r w:rsidR="006F6BF8">
              <w:rPr>
                <w:rFonts w:cstheme="minorHAnsi"/>
                <w:sz w:val="22"/>
                <w:szCs w:val="22"/>
              </w:rPr>
              <w:t xml:space="preserve">nationally recognised </w:t>
            </w:r>
            <w:r w:rsidR="00A307D8" w:rsidRPr="00B12BA3">
              <w:rPr>
                <w:rFonts w:cstheme="minorHAnsi"/>
                <w:sz w:val="22"/>
                <w:szCs w:val="22"/>
              </w:rPr>
              <w:t xml:space="preserve">training. </w:t>
            </w:r>
            <w:r>
              <w:rPr>
                <w:rFonts w:cstheme="minorHAnsi"/>
                <w:sz w:val="22"/>
                <w:szCs w:val="22"/>
              </w:rPr>
              <w:t>A</w:t>
            </w:r>
            <w:r w:rsidR="00A307D8" w:rsidRPr="00B12BA3">
              <w:rPr>
                <w:rFonts w:cstheme="minorHAnsi"/>
                <w:sz w:val="22"/>
                <w:szCs w:val="22"/>
              </w:rPr>
              <w:t xml:space="preserve"> Registered Training Organisation (RTO) </w:t>
            </w:r>
            <w:r>
              <w:rPr>
                <w:rFonts w:cstheme="minorHAnsi"/>
                <w:sz w:val="22"/>
                <w:szCs w:val="22"/>
              </w:rPr>
              <w:t xml:space="preserve">must deliver the training, </w:t>
            </w:r>
            <w:r w:rsidR="00A307D8" w:rsidRPr="00B12BA3">
              <w:rPr>
                <w:rFonts w:cstheme="minorHAnsi"/>
                <w:sz w:val="22"/>
                <w:szCs w:val="22"/>
              </w:rPr>
              <w:t>and the course or unit must be on the RTO’s Vocational Education and Training (VET) scope of registration as listed on</w:t>
            </w:r>
            <w:r w:rsidR="00A307D8">
              <w:rPr>
                <w:rFonts w:cstheme="minorHAnsi"/>
                <w:sz w:val="22"/>
                <w:szCs w:val="22"/>
              </w:rPr>
              <w:t xml:space="preserve"> </w:t>
            </w:r>
            <w:hyperlink r:id="rId36" w:history="1">
              <w:r w:rsidR="00A307D8" w:rsidRPr="00054B18">
                <w:rPr>
                  <w:rFonts w:cstheme="minorHAnsi"/>
                  <w:sz w:val="22"/>
                  <w:szCs w:val="22"/>
                </w:rPr>
                <w:t>training.gov.au</w:t>
              </w:r>
            </w:hyperlink>
            <w:r w:rsidR="00A307D8" w:rsidRPr="00B12BA3">
              <w:rPr>
                <w:rFonts w:cstheme="minorHAnsi"/>
                <w:sz w:val="22"/>
                <w:szCs w:val="22"/>
              </w:rPr>
              <w:t>.</w:t>
            </w:r>
            <w:r w:rsidR="006F6BF8">
              <w:rPr>
                <w:rFonts w:cstheme="minorHAnsi"/>
                <w:sz w:val="22"/>
                <w:szCs w:val="22"/>
              </w:rPr>
              <w:t xml:space="preserve"> </w:t>
            </w:r>
          </w:p>
          <w:p w14:paraId="3F282E5D" w14:textId="77777777" w:rsidR="00A307D8" w:rsidRPr="00B12BA3" w:rsidRDefault="00827A41" w:rsidP="00827A41">
            <w:pPr>
              <w:pStyle w:val="tabletext"/>
              <w:spacing w:before="120"/>
              <w:rPr>
                <w:rFonts w:cstheme="minorHAnsi"/>
                <w:sz w:val="22"/>
                <w:szCs w:val="22"/>
              </w:rPr>
            </w:pPr>
            <w:r>
              <w:rPr>
                <w:rFonts w:cstheme="minorHAnsi"/>
                <w:sz w:val="22"/>
                <w:szCs w:val="22"/>
              </w:rPr>
              <w:t>Providers may also use t</w:t>
            </w:r>
            <w:r w:rsidR="00A307D8">
              <w:rPr>
                <w:rFonts w:cstheme="minorHAnsi"/>
                <w:sz w:val="22"/>
                <w:szCs w:val="22"/>
              </w:rPr>
              <w:t>his category for secondary education</w:t>
            </w:r>
            <w:r w:rsidR="00A307D8">
              <w:t xml:space="preserve">, </w:t>
            </w:r>
            <w:r w:rsidR="00A307D8">
              <w:rPr>
                <w:rFonts w:cstheme="minorHAnsi"/>
                <w:sz w:val="22"/>
                <w:szCs w:val="22"/>
              </w:rPr>
              <w:t xml:space="preserve">although the training organisation and/or course may not be listed on </w:t>
            </w:r>
            <w:hyperlink r:id="rId37" w:history="1">
              <w:r w:rsidR="00A307D8" w:rsidRPr="00054B18">
                <w:rPr>
                  <w:rFonts w:cstheme="minorHAnsi"/>
                  <w:sz w:val="22"/>
                  <w:szCs w:val="22"/>
                </w:rPr>
                <w:t>training.gov.au</w:t>
              </w:r>
            </w:hyperlink>
            <w:r w:rsidR="00A307D8">
              <w:rPr>
                <w:rFonts w:cstheme="minorHAnsi"/>
                <w:sz w:val="22"/>
                <w:szCs w:val="22"/>
              </w:rPr>
              <w:t>.</w:t>
            </w:r>
          </w:p>
        </w:tc>
        <w:tc>
          <w:tcPr>
            <w:tcW w:w="6247" w:type="dxa"/>
          </w:tcPr>
          <w:p w14:paraId="03877823" w14:textId="77777777" w:rsidR="00A307D8" w:rsidRPr="00A37677" w:rsidRDefault="00A307D8" w:rsidP="00295678">
            <w:pPr>
              <w:pStyle w:val="tabletext"/>
              <w:rPr>
                <w:rFonts w:cstheme="minorHAnsi"/>
                <w:sz w:val="22"/>
                <w:szCs w:val="22"/>
              </w:rPr>
            </w:pPr>
            <w:r w:rsidRPr="00A37677">
              <w:rPr>
                <w:rFonts w:cstheme="minorHAnsi"/>
                <w:sz w:val="22"/>
                <w:szCs w:val="22"/>
              </w:rPr>
              <w:t xml:space="preserve">In addition to the Documentary Evidence requirements for all purchases detailed in the </w:t>
            </w:r>
            <w:hyperlink w:anchor="_Summary_of_required" w:history="1">
              <w:r w:rsidRPr="002F45B8">
                <w:rPr>
                  <w:rStyle w:val="Hyperlink"/>
                  <w:sz w:val="22"/>
                  <w:szCs w:val="22"/>
                </w:rPr>
                <w:t>Summary of required Documentary Evidence</w:t>
              </w:r>
            </w:hyperlink>
            <w:r w:rsidRPr="00A37677">
              <w:rPr>
                <w:rFonts w:cstheme="minorHAnsi"/>
                <w:color w:val="2E74B5" w:themeColor="accent1" w:themeShade="BF"/>
                <w:sz w:val="22"/>
                <w:szCs w:val="22"/>
              </w:rPr>
              <w:t xml:space="preserve"> </w:t>
            </w:r>
            <w:r w:rsidRPr="00A37677">
              <w:rPr>
                <w:rFonts w:cstheme="minorHAnsi"/>
                <w:sz w:val="22"/>
                <w:szCs w:val="22"/>
              </w:rPr>
              <w:t xml:space="preserve">section, </w:t>
            </w:r>
            <w:r>
              <w:rPr>
                <w:rFonts w:cstheme="minorHAnsi"/>
                <w:sz w:val="22"/>
                <w:szCs w:val="22"/>
              </w:rPr>
              <w:t>a Provider</w:t>
            </w:r>
            <w:r w:rsidRPr="00A37677">
              <w:rPr>
                <w:rFonts w:cstheme="minorHAnsi"/>
                <w:sz w:val="22"/>
                <w:szCs w:val="22"/>
              </w:rPr>
              <w:t xml:space="preserve"> must: </w:t>
            </w:r>
          </w:p>
          <w:p w14:paraId="7F187BBA" w14:textId="77777777" w:rsidR="00CC5216" w:rsidRDefault="00CC5216" w:rsidP="00295678">
            <w:pPr>
              <w:pStyle w:val="tabletext"/>
              <w:numPr>
                <w:ilvl w:val="0"/>
                <w:numId w:val="6"/>
              </w:numPr>
              <w:ind w:left="351" w:hanging="351"/>
              <w:rPr>
                <w:rFonts w:cstheme="minorHAnsi"/>
                <w:sz w:val="22"/>
                <w:szCs w:val="22"/>
              </w:rPr>
            </w:pPr>
            <w:r>
              <w:rPr>
                <w:rFonts w:cstheme="minorHAnsi"/>
                <w:sz w:val="22"/>
                <w:szCs w:val="22"/>
              </w:rPr>
              <w:t>select the training level in the commitment in the Department’s IT System</w:t>
            </w:r>
          </w:p>
          <w:p w14:paraId="694F846E" w14:textId="77777777" w:rsidR="00CC5216" w:rsidRPr="00A37677" w:rsidRDefault="00CC5216" w:rsidP="00295678">
            <w:pPr>
              <w:pStyle w:val="tabletext"/>
              <w:numPr>
                <w:ilvl w:val="0"/>
                <w:numId w:val="6"/>
              </w:numPr>
              <w:ind w:left="351" w:hanging="351"/>
              <w:rPr>
                <w:rFonts w:cstheme="minorHAnsi"/>
                <w:sz w:val="22"/>
                <w:szCs w:val="22"/>
              </w:rPr>
            </w:pPr>
            <w:r>
              <w:rPr>
                <w:rFonts w:cstheme="minorHAnsi"/>
                <w:sz w:val="22"/>
                <w:szCs w:val="22"/>
              </w:rPr>
              <w:t>select the industry relevant to the commitment in the Department’s IT System</w:t>
            </w:r>
          </w:p>
          <w:p w14:paraId="2A986586" w14:textId="77777777" w:rsidR="00A307D8" w:rsidRPr="00A37677" w:rsidRDefault="00A307D8" w:rsidP="00295678">
            <w:pPr>
              <w:pStyle w:val="tabletext"/>
              <w:numPr>
                <w:ilvl w:val="0"/>
                <w:numId w:val="6"/>
              </w:numPr>
              <w:ind w:left="351" w:hanging="351"/>
              <w:rPr>
                <w:rFonts w:cstheme="minorHAnsi"/>
                <w:sz w:val="22"/>
                <w:szCs w:val="22"/>
              </w:rPr>
            </w:pPr>
            <w:r w:rsidRPr="00A37677">
              <w:rPr>
                <w:rFonts w:cstheme="minorHAnsi"/>
                <w:sz w:val="22"/>
                <w:szCs w:val="22"/>
              </w:rPr>
              <w:t>retain sufficient items of Documentary Evidence that in combination identifies the RTO and the course code or unit code as listed on</w:t>
            </w:r>
            <w:r>
              <w:rPr>
                <w:rFonts w:cstheme="minorHAnsi"/>
                <w:sz w:val="22"/>
                <w:szCs w:val="22"/>
              </w:rPr>
              <w:t xml:space="preserve"> </w:t>
            </w:r>
            <w:r w:rsidRPr="00054B18">
              <w:rPr>
                <w:rFonts w:cstheme="minorHAnsi"/>
                <w:sz w:val="22"/>
                <w:szCs w:val="22"/>
              </w:rPr>
              <w:t>training.gov.au (or the</w:t>
            </w:r>
            <w:r w:rsidRPr="00EC7515">
              <w:rPr>
                <w:sz w:val="22"/>
                <w:szCs w:val="22"/>
              </w:rPr>
              <w:t xml:space="preserve"> course name if secondary education</w:t>
            </w:r>
            <w:r>
              <w:rPr>
                <w:sz w:val="22"/>
                <w:szCs w:val="22"/>
              </w:rPr>
              <w:t xml:space="preserve"> and not listed on training.gov.au</w:t>
            </w:r>
            <w:r w:rsidRPr="00EC7515">
              <w:rPr>
                <w:sz w:val="22"/>
                <w:szCs w:val="22"/>
              </w:rPr>
              <w:t>)</w:t>
            </w:r>
          </w:p>
          <w:p w14:paraId="337B9F4C" w14:textId="0129944A" w:rsidR="00A83E3A" w:rsidRPr="00A37677" w:rsidRDefault="004B3080" w:rsidP="00295678">
            <w:pPr>
              <w:pStyle w:val="tabletext"/>
              <w:numPr>
                <w:ilvl w:val="0"/>
                <w:numId w:val="6"/>
              </w:numPr>
              <w:ind w:left="351" w:hanging="351"/>
              <w:rPr>
                <w:rFonts w:cstheme="minorHAnsi"/>
                <w:sz w:val="22"/>
                <w:szCs w:val="22"/>
              </w:rPr>
            </w:pPr>
            <w:r w:rsidRPr="00A37677">
              <w:rPr>
                <w:rFonts w:cstheme="minorHAnsi"/>
                <w:sz w:val="22"/>
                <w:szCs w:val="22"/>
              </w:rPr>
              <w:t>Retain</w:t>
            </w:r>
            <w:r w:rsidR="00A307D8" w:rsidRPr="00A37677">
              <w:rPr>
                <w:rFonts w:cstheme="minorHAnsi"/>
                <w:sz w:val="22"/>
                <w:szCs w:val="22"/>
              </w:rPr>
              <w:t xml:space="preserve"> additional Document Evidence that demonstrates the relationship between </w:t>
            </w:r>
            <w:r w:rsidR="00827A41">
              <w:rPr>
                <w:rFonts w:cstheme="minorHAnsi"/>
                <w:sz w:val="22"/>
                <w:szCs w:val="22"/>
              </w:rPr>
              <w:t xml:space="preserve">a training organisation who is not a registered RTO but is auspicing through a registered RTO, </w:t>
            </w:r>
            <w:r w:rsidR="00A307D8" w:rsidRPr="00A37677">
              <w:rPr>
                <w:rFonts w:cstheme="minorHAnsi"/>
                <w:sz w:val="22"/>
                <w:szCs w:val="22"/>
              </w:rPr>
              <w:t xml:space="preserve">to substantiate the training is </w:t>
            </w:r>
            <w:r w:rsidR="00B95C3B">
              <w:rPr>
                <w:rFonts w:cstheme="minorHAnsi"/>
                <w:sz w:val="22"/>
                <w:szCs w:val="22"/>
              </w:rPr>
              <w:t>nationally recognised</w:t>
            </w:r>
            <w:r w:rsidR="00A307D8" w:rsidRPr="00A37677">
              <w:rPr>
                <w:rFonts w:cstheme="minorHAnsi"/>
                <w:sz w:val="22"/>
                <w:szCs w:val="22"/>
              </w:rPr>
              <w:t>.</w:t>
            </w:r>
          </w:p>
          <w:p w14:paraId="289AE361" w14:textId="51872678" w:rsidR="00A307D8" w:rsidRPr="00A4152B" w:rsidRDefault="00A307D8" w:rsidP="00333793">
            <w:pPr>
              <w:pStyle w:val="tabletext"/>
              <w:spacing w:before="120"/>
              <w:rPr>
                <w:rFonts w:cstheme="minorHAnsi"/>
                <w:sz w:val="22"/>
                <w:szCs w:val="22"/>
              </w:rPr>
            </w:pPr>
            <w:r w:rsidRPr="00411DED">
              <w:rPr>
                <w:rFonts w:cstheme="minorHAnsi"/>
                <w:sz w:val="22"/>
                <w:szCs w:val="22"/>
              </w:rPr>
              <w:t>Refer</w:t>
            </w:r>
            <w:r w:rsidRPr="00411DED">
              <w:rPr>
                <w:sz w:val="22"/>
                <w:szCs w:val="22"/>
              </w:rPr>
              <w:t xml:space="preserve"> to the </w:t>
            </w:r>
            <w:r w:rsidR="00333793" w:rsidRPr="00333793">
              <w:rPr>
                <w:sz w:val="22"/>
                <w:szCs w:val="22"/>
              </w:rPr>
              <w:t>New Employment Services Trial Employment Fund General Account IT Supporting Document</w:t>
            </w:r>
            <w:r w:rsidRPr="00411DED">
              <w:rPr>
                <w:rStyle w:val="Hyperlink"/>
                <w:sz w:val="22"/>
                <w:szCs w:val="22"/>
              </w:rPr>
              <w:t xml:space="preserve"> </w:t>
            </w:r>
            <w:r w:rsidRPr="00411DED">
              <w:rPr>
                <w:rFonts w:cstheme="minorHAnsi"/>
                <w:sz w:val="22"/>
                <w:szCs w:val="22"/>
              </w:rPr>
              <w:t xml:space="preserve">for further guidance on creating Accredited </w:t>
            </w:r>
            <w:r w:rsidR="00F24B15">
              <w:rPr>
                <w:rFonts w:cstheme="minorHAnsi"/>
                <w:sz w:val="22"/>
                <w:szCs w:val="22"/>
              </w:rPr>
              <w:t>T</w:t>
            </w:r>
            <w:r w:rsidR="00F24B15" w:rsidRPr="00411DED">
              <w:rPr>
                <w:rFonts w:cstheme="minorHAnsi"/>
                <w:sz w:val="22"/>
                <w:szCs w:val="22"/>
              </w:rPr>
              <w:t xml:space="preserve">raining </w:t>
            </w:r>
            <w:r w:rsidRPr="00411DED">
              <w:rPr>
                <w:rFonts w:cstheme="minorHAnsi"/>
                <w:sz w:val="22"/>
                <w:szCs w:val="22"/>
              </w:rPr>
              <w:t>commitments in the Department’s IT System.</w:t>
            </w:r>
          </w:p>
        </w:tc>
      </w:tr>
      <w:tr w:rsidR="00A307D8" w:rsidRPr="00662F9A" w14:paraId="3B69C24C" w14:textId="77777777" w:rsidTr="00827A41">
        <w:tc>
          <w:tcPr>
            <w:tcW w:w="2019" w:type="dxa"/>
          </w:tcPr>
          <w:p w14:paraId="6B621B64" w14:textId="77777777" w:rsidR="00A307D8" w:rsidRPr="00662F9A" w:rsidRDefault="00A307D8" w:rsidP="009F211C">
            <w:pPr>
              <w:pStyle w:val="tabletext"/>
              <w:rPr>
                <w:rFonts w:cstheme="minorHAnsi"/>
                <w:b/>
                <w:sz w:val="22"/>
                <w:szCs w:val="22"/>
              </w:rPr>
            </w:pPr>
            <w:r>
              <w:rPr>
                <w:rFonts w:cstheme="minorHAnsi"/>
                <w:b/>
                <w:sz w:val="22"/>
                <w:szCs w:val="22"/>
              </w:rPr>
              <w:t>Certified</w:t>
            </w:r>
            <w:r w:rsidRPr="003E3BBC">
              <w:rPr>
                <w:rFonts w:cstheme="minorHAnsi"/>
                <w:b/>
                <w:sz w:val="22"/>
                <w:szCs w:val="22"/>
              </w:rPr>
              <w:t xml:space="preserve"> Interpreters</w:t>
            </w:r>
          </w:p>
        </w:tc>
        <w:tc>
          <w:tcPr>
            <w:tcW w:w="2835" w:type="dxa"/>
          </w:tcPr>
          <w:p w14:paraId="2DC1C3BD" w14:textId="77777777" w:rsidR="00A307D8" w:rsidRPr="00662F9A" w:rsidRDefault="00A307D8" w:rsidP="009F211C">
            <w:pPr>
              <w:pStyle w:val="tabletext"/>
              <w:rPr>
                <w:rFonts w:cstheme="minorHAnsi"/>
                <w:sz w:val="22"/>
                <w:szCs w:val="22"/>
              </w:rPr>
            </w:pPr>
          </w:p>
        </w:tc>
        <w:tc>
          <w:tcPr>
            <w:tcW w:w="10136" w:type="dxa"/>
          </w:tcPr>
          <w:p w14:paraId="7D7EFF99" w14:textId="77777777" w:rsidR="00A307D8" w:rsidRPr="00B12BA3" w:rsidRDefault="00101738" w:rsidP="00101738">
            <w:pPr>
              <w:pStyle w:val="tabletext"/>
              <w:rPr>
                <w:rFonts w:cstheme="minorHAnsi"/>
                <w:sz w:val="22"/>
                <w:szCs w:val="22"/>
              </w:rPr>
            </w:pPr>
            <w:r>
              <w:rPr>
                <w:rFonts w:cstheme="minorHAnsi"/>
                <w:sz w:val="22"/>
                <w:szCs w:val="22"/>
              </w:rPr>
              <w:t>Providers may use t</w:t>
            </w:r>
            <w:r w:rsidR="00A307D8" w:rsidRPr="00662F9A">
              <w:rPr>
                <w:rFonts w:cstheme="minorHAnsi"/>
                <w:sz w:val="22"/>
                <w:szCs w:val="22"/>
              </w:rPr>
              <w:t xml:space="preserve">his category for the purchase of </w:t>
            </w:r>
            <w:r w:rsidR="00A307D8">
              <w:rPr>
                <w:rFonts w:cstheme="minorHAnsi"/>
                <w:sz w:val="22"/>
                <w:szCs w:val="22"/>
              </w:rPr>
              <w:t xml:space="preserve">certified </w:t>
            </w:r>
            <w:r w:rsidR="00A307D8" w:rsidRPr="00662F9A">
              <w:rPr>
                <w:rFonts w:cstheme="minorHAnsi"/>
                <w:sz w:val="22"/>
                <w:szCs w:val="22"/>
              </w:rPr>
              <w:t xml:space="preserve">interpreter services for </w:t>
            </w:r>
            <w:r w:rsidR="005D0DAA">
              <w:rPr>
                <w:rFonts w:cstheme="minorHAnsi"/>
                <w:sz w:val="22"/>
                <w:szCs w:val="22"/>
              </w:rPr>
              <w:t>Participant</w:t>
            </w:r>
            <w:r w:rsidR="00A307D8">
              <w:rPr>
                <w:rFonts w:cstheme="minorHAnsi"/>
                <w:sz w:val="22"/>
                <w:szCs w:val="22"/>
              </w:rPr>
              <w:t xml:space="preserve">s, including for pending </w:t>
            </w:r>
            <w:r w:rsidR="005D0DAA">
              <w:rPr>
                <w:rFonts w:cstheme="minorHAnsi"/>
                <w:sz w:val="22"/>
                <w:szCs w:val="22"/>
              </w:rPr>
              <w:t>Participant</w:t>
            </w:r>
            <w:r w:rsidR="00A307D8">
              <w:rPr>
                <w:rFonts w:cstheme="minorHAnsi"/>
                <w:sz w:val="22"/>
                <w:szCs w:val="22"/>
              </w:rPr>
              <w:t>s.</w:t>
            </w:r>
            <w:r w:rsidR="00A307D8" w:rsidRPr="00662F9A">
              <w:rPr>
                <w:rFonts w:cstheme="minorHAnsi"/>
                <w:sz w:val="22"/>
                <w:szCs w:val="22"/>
              </w:rPr>
              <w:t xml:space="preserve"> </w:t>
            </w:r>
            <w:r>
              <w:rPr>
                <w:rFonts w:cstheme="minorHAnsi"/>
                <w:sz w:val="22"/>
                <w:szCs w:val="22"/>
              </w:rPr>
              <w:t xml:space="preserve">Providers can claim the </w:t>
            </w:r>
            <w:r w:rsidR="00A307D8" w:rsidRPr="00662F9A">
              <w:rPr>
                <w:rFonts w:cstheme="minorHAnsi"/>
                <w:sz w:val="22"/>
                <w:szCs w:val="22"/>
              </w:rPr>
              <w:t xml:space="preserve">cost of the </w:t>
            </w:r>
            <w:r w:rsidR="00A307D8">
              <w:rPr>
                <w:rFonts w:cstheme="minorHAnsi"/>
                <w:sz w:val="22"/>
                <w:szCs w:val="22"/>
              </w:rPr>
              <w:t>certified</w:t>
            </w:r>
            <w:r w:rsidR="00A307D8" w:rsidRPr="00662F9A">
              <w:rPr>
                <w:rFonts w:cstheme="minorHAnsi"/>
                <w:sz w:val="22"/>
                <w:szCs w:val="22"/>
              </w:rPr>
              <w:t xml:space="preserve"> interpreter when an interpreter is arranged, but the </w:t>
            </w:r>
            <w:r w:rsidR="005D0DAA">
              <w:rPr>
                <w:rFonts w:cstheme="minorHAnsi"/>
                <w:sz w:val="22"/>
                <w:szCs w:val="22"/>
              </w:rPr>
              <w:t>Participant</w:t>
            </w:r>
            <w:r w:rsidR="00A307D8" w:rsidRPr="00662F9A">
              <w:rPr>
                <w:rFonts w:cstheme="minorHAnsi"/>
                <w:sz w:val="22"/>
                <w:szCs w:val="22"/>
              </w:rPr>
              <w:t xml:space="preserve"> does not attend the scheduled appointment.</w:t>
            </w:r>
          </w:p>
        </w:tc>
        <w:tc>
          <w:tcPr>
            <w:tcW w:w="6247" w:type="dxa"/>
          </w:tcPr>
          <w:p w14:paraId="0C209DE6" w14:textId="77777777" w:rsidR="00A307D8" w:rsidRPr="00A37677" w:rsidRDefault="00A307D8" w:rsidP="009F211C">
            <w:pPr>
              <w:pStyle w:val="tabletext"/>
              <w:rPr>
                <w:rFonts w:cstheme="minorHAnsi"/>
                <w:sz w:val="22"/>
                <w:szCs w:val="22"/>
              </w:rPr>
            </w:pPr>
            <w:r w:rsidRPr="00A37677">
              <w:rPr>
                <w:rFonts w:cstheme="minorHAnsi"/>
                <w:sz w:val="22"/>
                <w:szCs w:val="22"/>
              </w:rPr>
              <w:t xml:space="preserve">Refer to </w:t>
            </w:r>
            <w:hyperlink w:anchor="_Summary_of_required" w:history="1">
              <w:r w:rsidRPr="002F45B8">
                <w:rPr>
                  <w:rStyle w:val="Hyperlink"/>
                  <w:sz w:val="22"/>
                  <w:szCs w:val="22"/>
                </w:rPr>
                <w:t>Summary of required Documentary Evidence</w:t>
              </w:r>
            </w:hyperlink>
            <w:r>
              <w:t xml:space="preserve"> </w:t>
            </w:r>
            <w:r w:rsidRPr="00A37677">
              <w:rPr>
                <w:rFonts w:cstheme="minorHAnsi"/>
                <w:sz w:val="22"/>
                <w:szCs w:val="22"/>
              </w:rPr>
              <w:t xml:space="preserve">section for the Documentary Evidence requirements. </w:t>
            </w:r>
          </w:p>
          <w:p w14:paraId="5A564A35" w14:textId="77777777" w:rsidR="00A307D8" w:rsidRPr="00A37677" w:rsidRDefault="00A307D8" w:rsidP="00777D25">
            <w:pPr>
              <w:pStyle w:val="tabletext"/>
              <w:spacing w:before="120"/>
              <w:rPr>
                <w:rFonts w:cstheme="minorHAnsi"/>
                <w:sz w:val="22"/>
                <w:szCs w:val="22"/>
              </w:rPr>
            </w:pPr>
            <w:r w:rsidRPr="00A37677">
              <w:rPr>
                <w:rFonts w:cstheme="minorHAnsi"/>
                <w:sz w:val="22"/>
                <w:szCs w:val="22"/>
              </w:rPr>
              <w:t xml:space="preserve">There are no additional Documentary Evidence requirements for this category. </w:t>
            </w:r>
          </w:p>
        </w:tc>
      </w:tr>
      <w:tr w:rsidR="00A4152B" w:rsidRPr="00662F9A" w14:paraId="73369B0A" w14:textId="77777777" w:rsidTr="00D1112C">
        <w:tc>
          <w:tcPr>
            <w:tcW w:w="2019" w:type="dxa"/>
            <w:vMerge w:val="restart"/>
          </w:tcPr>
          <w:p w14:paraId="634FBECA" w14:textId="77777777" w:rsidR="00A4152B" w:rsidRDefault="00A4152B" w:rsidP="00A4152B">
            <w:pPr>
              <w:pStyle w:val="tabletext"/>
              <w:rPr>
                <w:rFonts w:cstheme="minorHAnsi"/>
                <w:b/>
                <w:sz w:val="22"/>
                <w:szCs w:val="22"/>
              </w:rPr>
            </w:pPr>
            <w:r w:rsidRPr="009F211C">
              <w:rPr>
                <w:rFonts w:cstheme="minorHAnsi"/>
                <w:b/>
                <w:sz w:val="22"/>
                <w:szCs w:val="22"/>
              </w:rPr>
              <w:t>Communication and Technology</w:t>
            </w:r>
          </w:p>
        </w:tc>
        <w:tc>
          <w:tcPr>
            <w:tcW w:w="2835" w:type="dxa"/>
            <w:tcBorders>
              <w:bottom w:val="nil"/>
            </w:tcBorders>
          </w:tcPr>
          <w:p w14:paraId="05573BC7" w14:textId="77777777" w:rsidR="00A4152B" w:rsidRPr="009F211C" w:rsidRDefault="00A4152B" w:rsidP="00A4152B">
            <w:pPr>
              <w:pStyle w:val="tabletext"/>
              <w:rPr>
                <w:rFonts w:cstheme="minorHAnsi"/>
                <w:sz w:val="22"/>
                <w:szCs w:val="22"/>
              </w:rPr>
            </w:pPr>
            <w:r w:rsidRPr="00411DED">
              <w:rPr>
                <w:rFonts w:cstheme="minorHAnsi"/>
                <w:sz w:val="22"/>
                <w:szCs w:val="22"/>
              </w:rPr>
              <w:t xml:space="preserve">Phone </w:t>
            </w:r>
            <w:r>
              <w:rPr>
                <w:rFonts w:cstheme="minorHAnsi"/>
                <w:sz w:val="22"/>
                <w:szCs w:val="22"/>
              </w:rPr>
              <w:t>c</w:t>
            </w:r>
            <w:r w:rsidRPr="00411DED">
              <w:rPr>
                <w:rFonts w:cstheme="minorHAnsi"/>
                <w:sz w:val="22"/>
                <w:szCs w:val="22"/>
              </w:rPr>
              <w:t xml:space="preserve">redit and </w:t>
            </w:r>
            <w:r>
              <w:rPr>
                <w:rFonts w:cstheme="minorHAnsi"/>
                <w:sz w:val="22"/>
                <w:szCs w:val="22"/>
              </w:rPr>
              <w:t>i</w:t>
            </w:r>
            <w:r w:rsidRPr="00411DED">
              <w:rPr>
                <w:rFonts w:cstheme="minorHAnsi"/>
                <w:sz w:val="22"/>
                <w:szCs w:val="22"/>
              </w:rPr>
              <w:t xml:space="preserve">nternet </w:t>
            </w:r>
            <w:r>
              <w:rPr>
                <w:rFonts w:cstheme="minorHAnsi"/>
                <w:sz w:val="22"/>
                <w:szCs w:val="22"/>
              </w:rPr>
              <w:t>d</w:t>
            </w:r>
            <w:r w:rsidRPr="00411DED">
              <w:rPr>
                <w:rFonts w:cstheme="minorHAnsi"/>
                <w:sz w:val="22"/>
                <w:szCs w:val="22"/>
              </w:rPr>
              <w:t>ata</w:t>
            </w:r>
          </w:p>
        </w:tc>
        <w:tc>
          <w:tcPr>
            <w:tcW w:w="10136" w:type="dxa"/>
            <w:tcBorders>
              <w:bottom w:val="nil"/>
            </w:tcBorders>
          </w:tcPr>
          <w:p w14:paraId="7E9D0673" w14:textId="77777777" w:rsidR="00A4152B" w:rsidRPr="00662F9A" w:rsidRDefault="00A4152B" w:rsidP="00A4152B">
            <w:pPr>
              <w:pStyle w:val="tabletext"/>
              <w:rPr>
                <w:rFonts w:cstheme="minorHAnsi"/>
                <w:sz w:val="22"/>
                <w:szCs w:val="22"/>
              </w:rPr>
            </w:pPr>
            <w:r>
              <w:rPr>
                <w:rFonts w:ascii="Calibri" w:hAnsi="Calibri" w:cs="Calibri"/>
                <w:sz w:val="22"/>
                <w:szCs w:val="22"/>
              </w:rPr>
              <w:t xml:space="preserve">Providers may use this sub category for the </w:t>
            </w:r>
            <w:r w:rsidRPr="001D263C">
              <w:rPr>
                <w:rFonts w:ascii="Calibri" w:hAnsi="Calibri" w:cs="Calibri"/>
                <w:sz w:val="22"/>
                <w:szCs w:val="22"/>
              </w:rPr>
              <w:t xml:space="preserve">purchase of phone or data cards or vouchers, including top-ups, to enable </w:t>
            </w:r>
            <w:r w:rsidR="005D0DAA">
              <w:rPr>
                <w:rFonts w:ascii="Calibri" w:hAnsi="Calibri" w:cs="Calibri"/>
                <w:sz w:val="22"/>
                <w:szCs w:val="22"/>
              </w:rPr>
              <w:t>Participant</w:t>
            </w:r>
            <w:r w:rsidRPr="001D263C">
              <w:rPr>
                <w:rFonts w:ascii="Calibri" w:hAnsi="Calibri" w:cs="Calibri"/>
                <w:sz w:val="22"/>
                <w:szCs w:val="22"/>
              </w:rPr>
              <w:t>s to use phones or the internet.</w:t>
            </w:r>
            <w:r w:rsidDel="00411DED">
              <w:rPr>
                <w:rFonts w:cstheme="minorHAnsi"/>
                <w:sz w:val="22"/>
                <w:szCs w:val="22"/>
              </w:rPr>
              <w:t xml:space="preserve"> </w:t>
            </w:r>
          </w:p>
        </w:tc>
        <w:tc>
          <w:tcPr>
            <w:tcW w:w="6247" w:type="dxa"/>
            <w:vMerge w:val="restart"/>
          </w:tcPr>
          <w:p w14:paraId="690D5CB7" w14:textId="77777777" w:rsidR="00A4152B" w:rsidRPr="00A37677" w:rsidRDefault="00A4152B" w:rsidP="00A4152B">
            <w:pPr>
              <w:pStyle w:val="tabletext"/>
              <w:rPr>
                <w:rFonts w:cstheme="minorHAnsi"/>
                <w:sz w:val="22"/>
                <w:szCs w:val="22"/>
              </w:rPr>
            </w:pPr>
            <w:r w:rsidRPr="00A37677">
              <w:rPr>
                <w:rFonts w:cstheme="minorHAnsi"/>
                <w:sz w:val="22"/>
                <w:szCs w:val="22"/>
              </w:rPr>
              <w:t xml:space="preserve">Refer to </w:t>
            </w:r>
            <w:hyperlink w:anchor="_Summary_of_required" w:history="1">
              <w:r w:rsidRPr="002F45B8">
                <w:rPr>
                  <w:rStyle w:val="Hyperlink"/>
                  <w:sz w:val="22"/>
                  <w:szCs w:val="22"/>
                </w:rPr>
                <w:t>Summary of required Documentary Evidence</w:t>
              </w:r>
            </w:hyperlink>
            <w:r>
              <w:t xml:space="preserve"> </w:t>
            </w:r>
            <w:r w:rsidRPr="00A37677">
              <w:rPr>
                <w:rFonts w:cstheme="minorHAnsi"/>
                <w:sz w:val="22"/>
                <w:szCs w:val="22"/>
              </w:rPr>
              <w:t xml:space="preserve">section for the Documentary Evidence requirements. </w:t>
            </w:r>
          </w:p>
          <w:p w14:paraId="40AACAE5" w14:textId="77777777" w:rsidR="00A4152B" w:rsidRPr="00A37677" w:rsidRDefault="00A4152B" w:rsidP="00777D25">
            <w:pPr>
              <w:pStyle w:val="tabletext"/>
              <w:spacing w:before="120"/>
              <w:rPr>
                <w:rFonts w:cstheme="minorHAnsi"/>
                <w:sz w:val="22"/>
                <w:szCs w:val="22"/>
              </w:rPr>
            </w:pPr>
            <w:r w:rsidRPr="00A37677">
              <w:rPr>
                <w:rFonts w:cstheme="minorHAnsi"/>
                <w:sz w:val="22"/>
                <w:szCs w:val="22"/>
              </w:rPr>
              <w:t xml:space="preserve">There are no additional Documentary Evidence requirements for this category. </w:t>
            </w:r>
          </w:p>
        </w:tc>
      </w:tr>
      <w:tr w:rsidR="00A4152B" w:rsidRPr="00662F9A" w14:paraId="5FDDA381" w14:textId="77777777" w:rsidTr="00D1112C">
        <w:tc>
          <w:tcPr>
            <w:tcW w:w="2019" w:type="dxa"/>
            <w:vMerge/>
          </w:tcPr>
          <w:p w14:paraId="10E6C566" w14:textId="77777777" w:rsidR="00A4152B" w:rsidRPr="009F211C" w:rsidRDefault="00A4152B" w:rsidP="00A4152B">
            <w:pPr>
              <w:pStyle w:val="tabletext"/>
              <w:rPr>
                <w:rFonts w:cstheme="minorHAnsi"/>
                <w:b/>
                <w:sz w:val="22"/>
                <w:szCs w:val="22"/>
              </w:rPr>
            </w:pPr>
          </w:p>
        </w:tc>
        <w:tc>
          <w:tcPr>
            <w:tcW w:w="2835" w:type="dxa"/>
            <w:tcBorders>
              <w:top w:val="nil"/>
              <w:bottom w:val="nil"/>
            </w:tcBorders>
          </w:tcPr>
          <w:p w14:paraId="002F89CA" w14:textId="77777777" w:rsidR="00A4152B" w:rsidRPr="009F211C" w:rsidRDefault="00A4152B" w:rsidP="00777D25">
            <w:pPr>
              <w:pStyle w:val="tabletext"/>
              <w:spacing w:before="120"/>
              <w:rPr>
                <w:rFonts w:cstheme="minorHAnsi"/>
                <w:sz w:val="22"/>
                <w:szCs w:val="22"/>
              </w:rPr>
            </w:pPr>
            <w:r>
              <w:rPr>
                <w:rFonts w:cstheme="minorHAnsi"/>
                <w:sz w:val="22"/>
                <w:szCs w:val="22"/>
              </w:rPr>
              <w:t>Mobile phones</w:t>
            </w:r>
          </w:p>
        </w:tc>
        <w:tc>
          <w:tcPr>
            <w:tcW w:w="10136" w:type="dxa"/>
            <w:tcBorders>
              <w:top w:val="nil"/>
              <w:bottom w:val="nil"/>
            </w:tcBorders>
          </w:tcPr>
          <w:p w14:paraId="3AC5B28C" w14:textId="77777777" w:rsidR="00A4152B" w:rsidRPr="009F211C" w:rsidRDefault="00A4152B" w:rsidP="00777D25">
            <w:pPr>
              <w:pStyle w:val="tabletext"/>
              <w:spacing w:before="120"/>
              <w:rPr>
                <w:rFonts w:cstheme="minorHAnsi"/>
                <w:sz w:val="22"/>
                <w:szCs w:val="22"/>
              </w:rPr>
            </w:pPr>
            <w:r>
              <w:rPr>
                <w:rFonts w:ascii="Calibri" w:hAnsi="Calibri" w:cs="Calibri"/>
                <w:sz w:val="22"/>
                <w:szCs w:val="22"/>
              </w:rPr>
              <w:t xml:space="preserve">Providers may use this sub category for the </w:t>
            </w:r>
            <w:r w:rsidRPr="001D263C">
              <w:rPr>
                <w:rFonts w:ascii="Calibri" w:hAnsi="Calibri" w:cs="Calibri"/>
                <w:sz w:val="22"/>
                <w:szCs w:val="22"/>
              </w:rPr>
              <w:t>purchase of</w:t>
            </w:r>
            <w:r>
              <w:rPr>
                <w:rFonts w:ascii="Calibri" w:hAnsi="Calibri" w:cs="Calibri"/>
                <w:sz w:val="22"/>
                <w:szCs w:val="22"/>
              </w:rPr>
              <w:t xml:space="preserve"> basic mobile phones</w:t>
            </w:r>
            <w:r w:rsidR="00B44B2C">
              <w:rPr>
                <w:rFonts w:ascii="Calibri" w:hAnsi="Calibri" w:cs="Calibri"/>
                <w:sz w:val="22"/>
                <w:szCs w:val="22"/>
              </w:rPr>
              <w:t>.</w:t>
            </w:r>
          </w:p>
        </w:tc>
        <w:tc>
          <w:tcPr>
            <w:tcW w:w="6247" w:type="dxa"/>
            <w:vMerge/>
          </w:tcPr>
          <w:p w14:paraId="4D5F661F" w14:textId="77777777" w:rsidR="00A4152B" w:rsidRPr="00A37677" w:rsidRDefault="00A4152B" w:rsidP="00A4152B">
            <w:pPr>
              <w:pStyle w:val="tabletext"/>
              <w:rPr>
                <w:rFonts w:cstheme="minorHAnsi"/>
                <w:sz w:val="22"/>
                <w:szCs w:val="22"/>
              </w:rPr>
            </w:pPr>
          </w:p>
        </w:tc>
      </w:tr>
      <w:tr w:rsidR="00A4152B" w:rsidRPr="00662F9A" w14:paraId="6232D319" w14:textId="77777777" w:rsidTr="00D1112C">
        <w:tc>
          <w:tcPr>
            <w:tcW w:w="2019" w:type="dxa"/>
            <w:vMerge/>
          </w:tcPr>
          <w:p w14:paraId="54D66973" w14:textId="77777777" w:rsidR="00A4152B" w:rsidRPr="009F211C" w:rsidRDefault="00A4152B" w:rsidP="00A4152B">
            <w:pPr>
              <w:pStyle w:val="tabletext"/>
              <w:rPr>
                <w:rFonts w:cstheme="minorHAnsi"/>
                <w:b/>
                <w:sz w:val="22"/>
                <w:szCs w:val="22"/>
              </w:rPr>
            </w:pPr>
          </w:p>
        </w:tc>
        <w:tc>
          <w:tcPr>
            <w:tcW w:w="2835" w:type="dxa"/>
            <w:tcBorders>
              <w:top w:val="nil"/>
            </w:tcBorders>
          </w:tcPr>
          <w:p w14:paraId="40983599" w14:textId="77777777" w:rsidR="00A4152B" w:rsidRPr="009F211C" w:rsidRDefault="00A4152B" w:rsidP="00777D25">
            <w:pPr>
              <w:pStyle w:val="tabletext"/>
              <w:spacing w:before="120"/>
              <w:rPr>
                <w:rFonts w:cstheme="minorHAnsi"/>
                <w:sz w:val="22"/>
                <w:szCs w:val="22"/>
              </w:rPr>
            </w:pPr>
            <w:r w:rsidRPr="00411DED">
              <w:rPr>
                <w:rFonts w:cstheme="minorHAnsi"/>
                <w:sz w:val="22"/>
                <w:szCs w:val="22"/>
              </w:rPr>
              <w:t xml:space="preserve">Laptops, </w:t>
            </w:r>
            <w:r>
              <w:rPr>
                <w:rFonts w:cstheme="minorHAnsi"/>
                <w:sz w:val="22"/>
                <w:szCs w:val="22"/>
              </w:rPr>
              <w:t>computers, t</w:t>
            </w:r>
            <w:r w:rsidRPr="00411DED">
              <w:rPr>
                <w:rFonts w:cstheme="minorHAnsi"/>
                <w:sz w:val="22"/>
                <w:szCs w:val="22"/>
              </w:rPr>
              <w:t>ablets</w:t>
            </w:r>
          </w:p>
        </w:tc>
        <w:tc>
          <w:tcPr>
            <w:tcW w:w="10136" w:type="dxa"/>
            <w:tcBorders>
              <w:top w:val="nil"/>
            </w:tcBorders>
          </w:tcPr>
          <w:p w14:paraId="2A4CF9BD" w14:textId="77777777" w:rsidR="00A4152B" w:rsidRPr="009F211C" w:rsidRDefault="00A658AF" w:rsidP="0020276D">
            <w:pPr>
              <w:pStyle w:val="tabletext"/>
              <w:spacing w:before="120"/>
              <w:rPr>
                <w:rFonts w:cstheme="minorHAnsi"/>
                <w:sz w:val="22"/>
                <w:szCs w:val="22"/>
              </w:rPr>
            </w:pPr>
            <w:r>
              <w:rPr>
                <w:rFonts w:cstheme="minorHAnsi"/>
                <w:sz w:val="22"/>
                <w:szCs w:val="22"/>
              </w:rPr>
              <w:t>Providers may use t</w:t>
            </w:r>
            <w:r w:rsidRPr="00662F9A">
              <w:rPr>
                <w:rFonts w:cstheme="minorHAnsi"/>
                <w:sz w:val="22"/>
                <w:szCs w:val="22"/>
              </w:rPr>
              <w:t xml:space="preserve">his </w:t>
            </w:r>
            <w:r>
              <w:rPr>
                <w:rFonts w:cstheme="minorHAnsi"/>
                <w:sz w:val="22"/>
                <w:szCs w:val="22"/>
              </w:rPr>
              <w:t xml:space="preserve">sub </w:t>
            </w:r>
            <w:r w:rsidRPr="00662F9A">
              <w:rPr>
                <w:rFonts w:cstheme="minorHAnsi"/>
                <w:sz w:val="22"/>
                <w:szCs w:val="22"/>
              </w:rPr>
              <w:t xml:space="preserve">category for the purchase of </w:t>
            </w:r>
            <w:r w:rsidR="0020276D">
              <w:rPr>
                <w:rFonts w:cstheme="minorHAnsi"/>
                <w:sz w:val="22"/>
                <w:szCs w:val="22"/>
              </w:rPr>
              <w:t xml:space="preserve">hardware </w:t>
            </w:r>
            <w:r>
              <w:rPr>
                <w:rFonts w:cstheme="minorHAnsi"/>
                <w:sz w:val="22"/>
                <w:szCs w:val="22"/>
              </w:rPr>
              <w:t xml:space="preserve">or software packages </w:t>
            </w:r>
            <w:r w:rsidRPr="00662F9A">
              <w:rPr>
                <w:rFonts w:cstheme="minorHAnsi"/>
                <w:sz w:val="22"/>
                <w:szCs w:val="22"/>
              </w:rPr>
              <w:t xml:space="preserve">required by a </w:t>
            </w:r>
            <w:r w:rsidR="005D0DAA">
              <w:rPr>
                <w:rFonts w:cstheme="minorHAnsi"/>
                <w:sz w:val="22"/>
                <w:szCs w:val="22"/>
              </w:rPr>
              <w:t>Participant</w:t>
            </w:r>
            <w:r w:rsidRPr="00662F9A">
              <w:rPr>
                <w:rFonts w:cstheme="minorHAnsi"/>
                <w:sz w:val="22"/>
                <w:szCs w:val="22"/>
              </w:rPr>
              <w:t xml:space="preserve"> to find an</w:t>
            </w:r>
            <w:r>
              <w:rPr>
                <w:rFonts w:cstheme="minorHAnsi"/>
                <w:sz w:val="22"/>
                <w:szCs w:val="22"/>
              </w:rPr>
              <w:t>d keep a job, or to participate in training, programs, PaTH Internships and/or E</w:t>
            </w:r>
            <w:r w:rsidRPr="00662F9A">
              <w:rPr>
                <w:rFonts w:cstheme="minorHAnsi"/>
                <w:sz w:val="22"/>
                <w:szCs w:val="22"/>
              </w:rPr>
              <w:t>ducational placement</w:t>
            </w:r>
            <w:r>
              <w:rPr>
                <w:rFonts w:cstheme="minorHAnsi"/>
                <w:sz w:val="22"/>
                <w:szCs w:val="22"/>
              </w:rPr>
              <w:t>s</w:t>
            </w:r>
            <w:r w:rsidRPr="00662F9A">
              <w:rPr>
                <w:rFonts w:cstheme="minorHAnsi"/>
                <w:sz w:val="22"/>
                <w:szCs w:val="22"/>
              </w:rPr>
              <w:t>.</w:t>
            </w:r>
          </w:p>
        </w:tc>
        <w:tc>
          <w:tcPr>
            <w:tcW w:w="6247" w:type="dxa"/>
            <w:vMerge/>
          </w:tcPr>
          <w:p w14:paraId="66158241" w14:textId="77777777" w:rsidR="00A4152B" w:rsidRPr="00A37677" w:rsidRDefault="00A4152B" w:rsidP="00A4152B">
            <w:pPr>
              <w:pStyle w:val="tabletext"/>
              <w:rPr>
                <w:rFonts w:cstheme="minorHAnsi"/>
                <w:sz w:val="22"/>
                <w:szCs w:val="22"/>
              </w:rPr>
            </w:pPr>
          </w:p>
        </w:tc>
      </w:tr>
      <w:tr w:rsidR="00A4152B" w:rsidRPr="00662F9A" w14:paraId="3F2512CB" w14:textId="77777777" w:rsidTr="00827A41">
        <w:tc>
          <w:tcPr>
            <w:tcW w:w="2019" w:type="dxa"/>
          </w:tcPr>
          <w:p w14:paraId="52D95DF7" w14:textId="77777777" w:rsidR="00A4152B" w:rsidRPr="009F211C" w:rsidRDefault="00A4152B" w:rsidP="004E3BCE">
            <w:pPr>
              <w:pStyle w:val="tabletext"/>
              <w:rPr>
                <w:rFonts w:cstheme="minorHAnsi"/>
                <w:b/>
                <w:sz w:val="22"/>
                <w:szCs w:val="22"/>
              </w:rPr>
            </w:pPr>
            <w:r>
              <w:rPr>
                <w:rFonts w:cstheme="minorHAnsi"/>
                <w:b/>
                <w:sz w:val="22"/>
                <w:szCs w:val="22"/>
              </w:rPr>
              <w:t xml:space="preserve">Indigenous </w:t>
            </w:r>
            <w:r w:rsidR="004E3BCE">
              <w:rPr>
                <w:rFonts w:cstheme="minorHAnsi"/>
                <w:b/>
                <w:sz w:val="22"/>
                <w:szCs w:val="22"/>
              </w:rPr>
              <w:t>T</w:t>
            </w:r>
            <w:r>
              <w:rPr>
                <w:rFonts w:cstheme="minorHAnsi"/>
                <w:b/>
                <w:sz w:val="22"/>
                <w:szCs w:val="22"/>
              </w:rPr>
              <w:t xml:space="preserve">raining and </w:t>
            </w:r>
            <w:r w:rsidR="004E3BCE">
              <w:rPr>
                <w:rFonts w:cstheme="minorHAnsi"/>
                <w:b/>
                <w:sz w:val="22"/>
                <w:szCs w:val="22"/>
              </w:rPr>
              <w:t>M</w:t>
            </w:r>
            <w:r>
              <w:rPr>
                <w:rFonts w:cstheme="minorHAnsi"/>
                <w:b/>
                <w:sz w:val="22"/>
                <w:szCs w:val="22"/>
              </w:rPr>
              <w:t>entoring</w:t>
            </w:r>
          </w:p>
        </w:tc>
        <w:tc>
          <w:tcPr>
            <w:tcW w:w="2835" w:type="dxa"/>
          </w:tcPr>
          <w:p w14:paraId="77F6BE8B" w14:textId="77777777" w:rsidR="00A4152B" w:rsidRDefault="00A4152B" w:rsidP="00A4152B">
            <w:pPr>
              <w:pStyle w:val="tabletext"/>
              <w:rPr>
                <w:rFonts w:cstheme="minorHAnsi"/>
                <w:sz w:val="22"/>
                <w:szCs w:val="22"/>
              </w:rPr>
            </w:pPr>
          </w:p>
        </w:tc>
        <w:tc>
          <w:tcPr>
            <w:tcW w:w="10136" w:type="dxa"/>
          </w:tcPr>
          <w:p w14:paraId="4FF8D753" w14:textId="77777777" w:rsidR="00A4152B" w:rsidRPr="00F130F2" w:rsidRDefault="00DC7BF6" w:rsidP="00A4152B">
            <w:pPr>
              <w:pStyle w:val="tabletext"/>
              <w:rPr>
                <w:rFonts w:cstheme="minorHAnsi"/>
                <w:sz w:val="22"/>
                <w:szCs w:val="22"/>
              </w:rPr>
            </w:pPr>
            <w:r>
              <w:rPr>
                <w:rFonts w:cstheme="minorHAnsi"/>
                <w:sz w:val="22"/>
                <w:szCs w:val="22"/>
              </w:rPr>
              <w:t>Providers may use t</w:t>
            </w:r>
            <w:r w:rsidRPr="00F130F2">
              <w:rPr>
                <w:rFonts w:cstheme="minorHAnsi"/>
                <w:sz w:val="22"/>
                <w:szCs w:val="22"/>
              </w:rPr>
              <w:t xml:space="preserve">his </w:t>
            </w:r>
            <w:r w:rsidR="00A4152B" w:rsidRPr="00F130F2">
              <w:rPr>
                <w:rFonts w:cstheme="minorHAnsi"/>
                <w:sz w:val="22"/>
                <w:szCs w:val="22"/>
              </w:rPr>
              <w:t>category for:</w:t>
            </w:r>
          </w:p>
          <w:p w14:paraId="18697CAC" w14:textId="77777777" w:rsidR="00A4152B" w:rsidRDefault="00A4152B" w:rsidP="00A4152B">
            <w:pPr>
              <w:pStyle w:val="tabletext"/>
              <w:numPr>
                <w:ilvl w:val="0"/>
                <w:numId w:val="6"/>
              </w:numPr>
              <w:ind w:left="351" w:hanging="351"/>
              <w:rPr>
                <w:rFonts w:cstheme="minorHAnsi"/>
                <w:sz w:val="22"/>
                <w:szCs w:val="22"/>
              </w:rPr>
            </w:pPr>
            <w:r w:rsidRPr="00384937">
              <w:rPr>
                <w:rFonts w:cstheme="minorHAnsi"/>
                <w:sz w:val="22"/>
                <w:szCs w:val="22"/>
              </w:rPr>
              <w:t>culturally appropriate non-accredited pre-</w:t>
            </w:r>
            <w:r>
              <w:rPr>
                <w:rFonts w:cstheme="minorHAnsi"/>
                <w:sz w:val="22"/>
                <w:szCs w:val="22"/>
              </w:rPr>
              <w:t>placement</w:t>
            </w:r>
            <w:r w:rsidRPr="00384937">
              <w:rPr>
                <w:rFonts w:cstheme="minorHAnsi"/>
                <w:sz w:val="22"/>
                <w:szCs w:val="22"/>
              </w:rPr>
              <w:t xml:space="preserve"> training that cannot be claimed under the </w:t>
            </w:r>
            <w:r w:rsidR="00DC7BF6">
              <w:rPr>
                <w:rFonts w:cstheme="minorHAnsi"/>
                <w:sz w:val="22"/>
                <w:szCs w:val="22"/>
              </w:rPr>
              <w:t>other</w:t>
            </w:r>
            <w:r w:rsidRPr="00384937">
              <w:rPr>
                <w:rFonts w:cstheme="minorHAnsi"/>
                <w:sz w:val="22"/>
                <w:szCs w:val="22"/>
              </w:rPr>
              <w:t xml:space="preserve"> training categories</w:t>
            </w:r>
          </w:p>
          <w:p w14:paraId="21E08D15" w14:textId="77777777" w:rsidR="00A4152B" w:rsidRDefault="00A4152B" w:rsidP="00A4152B">
            <w:pPr>
              <w:pStyle w:val="tabletext"/>
              <w:numPr>
                <w:ilvl w:val="0"/>
                <w:numId w:val="6"/>
              </w:numPr>
              <w:ind w:left="351" w:hanging="351"/>
              <w:rPr>
                <w:rFonts w:cstheme="minorHAnsi"/>
                <w:sz w:val="22"/>
                <w:szCs w:val="22"/>
              </w:rPr>
            </w:pPr>
            <w:r>
              <w:rPr>
                <w:rFonts w:cstheme="minorHAnsi"/>
                <w:sz w:val="22"/>
                <w:szCs w:val="22"/>
              </w:rPr>
              <w:t xml:space="preserve">pre and post </w:t>
            </w:r>
            <w:r w:rsidRPr="00384937">
              <w:rPr>
                <w:rFonts w:cstheme="minorHAnsi"/>
                <w:sz w:val="22"/>
                <w:szCs w:val="22"/>
              </w:rPr>
              <w:t>placement mentoring.</w:t>
            </w:r>
          </w:p>
          <w:p w14:paraId="3E9113C1" w14:textId="77777777" w:rsidR="00A4152B" w:rsidRDefault="004E3BCE" w:rsidP="00A4152B">
            <w:pPr>
              <w:pStyle w:val="tabletext"/>
              <w:spacing w:before="120"/>
              <w:rPr>
                <w:rFonts w:cstheme="minorHAnsi"/>
                <w:sz w:val="22"/>
                <w:szCs w:val="22"/>
              </w:rPr>
            </w:pPr>
            <w:r w:rsidRPr="00F130F2">
              <w:rPr>
                <w:rFonts w:cstheme="minorHAnsi"/>
                <w:sz w:val="22"/>
                <w:szCs w:val="22"/>
              </w:rPr>
              <w:t xml:space="preserve">Staff members employed by a Provider’s Own Organisation or Related Entity, or by an external organisation can deliver </w:t>
            </w:r>
            <w:r>
              <w:rPr>
                <w:rFonts w:cstheme="minorHAnsi"/>
                <w:sz w:val="22"/>
                <w:szCs w:val="22"/>
              </w:rPr>
              <w:t>I</w:t>
            </w:r>
            <w:r w:rsidRPr="00F130F2">
              <w:rPr>
                <w:rFonts w:cstheme="minorHAnsi"/>
                <w:sz w:val="22"/>
                <w:szCs w:val="22"/>
              </w:rPr>
              <w:t xml:space="preserve">ndigenous </w:t>
            </w:r>
            <w:r>
              <w:rPr>
                <w:rFonts w:cstheme="minorHAnsi"/>
                <w:sz w:val="22"/>
                <w:szCs w:val="22"/>
              </w:rPr>
              <w:t>T</w:t>
            </w:r>
            <w:r w:rsidRPr="00F130F2">
              <w:rPr>
                <w:rFonts w:cstheme="minorHAnsi"/>
                <w:sz w:val="22"/>
                <w:szCs w:val="22"/>
              </w:rPr>
              <w:t xml:space="preserve">raining and </w:t>
            </w:r>
            <w:r>
              <w:rPr>
                <w:rFonts w:cstheme="minorHAnsi"/>
                <w:sz w:val="22"/>
                <w:szCs w:val="22"/>
              </w:rPr>
              <w:t>M</w:t>
            </w:r>
            <w:r w:rsidRPr="00F130F2">
              <w:rPr>
                <w:rFonts w:cstheme="minorHAnsi"/>
                <w:sz w:val="22"/>
                <w:szCs w:val="22"/>
              </w:rPr>
              <w:t>entoring</w:t>
            </w:r>
            <w:r w:rsidR="00A4152B" w:rsidRPr="00F130F2">
              <w:rPr>
                <w:rFonts w:cstheme="minorHAnsi"/>
                <w:sz w:val="22"/>
                <w:szCs w:val="22"/>
              </w:rPr>
              <w:t xml:space="preserve">. </w:t>
            </w:r>
          </w:p>
          <w:p w14:paraId="5EAFA4A2" w14:textId="77777777" w:rsidR="00A4152B" w:rsidRPr="00251187" w:rsidRDefault="00A4152B" w:rsidP="00A4152B">
            <w:pPr>
              <w:pStyle w:val="tabletext"/>
              <w:spacing w:before="120"/>
              <w:rPr>
                <w:rFonts w:cstheme="minorHAnsi"/>
                <w:b/>
              </w:rPr>
            </w:pPr>
            <w:r w:rsidRPr="00251187">
              <w:rPr>
                <w:rFonts w:cstheme="minorHAnsi"/>
                <w:b/>
                <w:sz w:val="22"/>
                <w:szCs w:val="22"/>
              </w:rPr>
              <w:t>Culturally appropriate non-accredited pre-</w:t>
            </w:r>
            <w:r>
              <w:rPr>
                <w:rFonts w:cstheme="minorHAnsi"/>
                <w:b/>
                <w:sz w:val="22"/>
                <w:szCs w:val="22"/>
              </w:rPr>
              <w:t>placement</w:t>
            </w:r>
            <w:r w:rsidRPr="00251187">
              <w:rPr>
                <w:rFonts w:cstheme="minorHAnsi"/>
                <w:b/>
                <w:sz w:val="22"/>
                <w:szCs w:val="22"/>
              </w:rPr>
              <w:t xml:space="preserve"> training</w:t>
            </w:r>
          </w:p>
          <w:p w14:paraId="134BCCAC" w14:textId="77777777" w:rsidR="00A4152B" w:rsidRPr="00F130F2" w:rsidRDefault="00B53922" w:rsidP="00A4152B">
            <w:pPr>
              <w:pStyle w:val="tabletext"/>
              <w:rPr>
                <w:sz w:val="22"/>
              </w:rPr>
            </w:pPr>
            <w:r>
              <w:rPr>
                <w:sz w:val="22"/>
              </w:rPr>
              <w:t>Providers may use t</w:t>
            </w:r>
            <w:r w:rsidR="00A4152B" w:rsidRPr="00F130F2">
              <w:rPr>
                <w:sz w:val="22"/>
              </w:rPr>
              <w:t xml:space="preserve">his service type for non-accredited training delivered to Indigenous </w:t>
            </w:r>
            <w:r w:rsidR="005D0DAA">
              <w:rPr>
                <w:sz w:val="22"/>
              </w:rPr>
              <w:t>Participant</w:t>
            </w:r>
            <w:r w:rsidR="00A4152B" w:rsidRPr="00F130F2">
              <w:rPr>
                <w:sz w:val="22"/>
              </w:rPr>
              <w:t>s and their employers or host organisations</w:t>
            </w:r>
            <w:r w:rsidR="0032153C">
              <w:rPr>
                <w:sz w:val="22"/>
              </w:rPr>
              <w:t xml:space="preserve"> (including Work for the Dole Hosts)</w:t>
            </w:r>
            <w:r w:rsidR="00A4152B" w:rsidRPr="00F130F2">
              <w:rPr>
                <w:sz w:val="22"/>
              </w:rPr>
              <w:t>. Such as:</w:t>
            </w:r>
          </w:p>
          <w:p w14:paraId="5DF79296" w14:textId="77777777" w:rsidR="00A4152B" w:rsidRPr="003E4C00" w:rsidRDefault="00A4152B" w:rsidP="00A4152B">
            <w:pPr>
              <w:pStyle w:val="tabletext"/>
              <w:numPr>
                <w:ilvl w:val="0"/>
                <w:numId w:val="6"/>
              </w:numPr>
              <w:ind w:left="351" w:hanging="351"/>
              <w:rPr>
                <w:rFonts w:cstheme="minorHAnsi"/>
                <w:sz w:val="22"/>
                <w:szCs w:val="22"/>
              </w:rPr>
            </w:pPr>
            <w:r>
              <w:rPr>
                <w:rFonts w:cstheme="minorHAnsi"/>
                <w:sz w:val="22"/>
                <w:szCs w:val="22"/>
              </w:rPr>
              <w:t>f</w:t>
            </w:r>
            <w:r w:rsidRPr="003E4C00">
              <w:rPr>
                <w:rFonts w:cstheme="minorHAnsi"/>
                <w:sz w:val="22"/>
                <w:szCs w:val="22"/>
              </w:rPr>
              <w:t>oundation or life skills (e.g. time management</w:t>
            </w:r>
            <w:r>
              <w:rPr>
                <w:rFonts w:cstheme="minorHAnsi"/>
                <w:sz w:val="22"/>
                <w:szCs w:val="22"/>
              </w:rPr>
              <w:t>, how to use public transport, budgeting</w:t>
            </w:r>
            <w:r w:rsidRPr="003E4C00">
              <w:rPr>
                <w:rFonts w:cstheme="minorHAnsi"/>
                <w:sz w:val="22"/>
                <w:szCs w:val="22"/>
              </w:rPr>
              <w:t>)</w:t>
            </w:r>
          </w:p>
          <w:p w14:paraId="7DBF75DB" w14:textId="77777777" w:rsidR="00A4152B" w:rsidRPr="003E4C00" w:rsidRDefault="00A4152B" w:rsidP="00A4152B">
            <w:pPr>
              <w:pStyle w:val="tabletext"/>
              <w:numPr>
                <w:ilvl w:val="0"/>
                <w:numId w:val="6"/>
              </w:numPr>
              <w:ind w:left="351" w:hanging="351"/>
              <w:rPr>
                <w:rFonts w:cstheme="minorHAnsi"/>
                <w:sz w:val="22"/>
                <w:szCs w:val="22"/>
              </w:rPr>
            </w:pPr>
            <w:r>
              <w:rPr>
                <w:rFonts w:cstheme="minorHAnsi"/>
                <w:sz w:val="22"/>
                <w:szCs w:val="22"/>
              </w:rPr>
              <w:t>v</w:t>
            </w:r>
            <w:r w:rsidRPr="003E4C00">
              <w:rPr>
                <w:rFonts w:cstheme="minorHAnsi"/>
                <w:sz w:val="22"/>
                <w:szCs w:val="22"/>
              </w:rPr>
              <w:t xml:space="preserve">ocational pre-employment training to help </w:t>
            </w:r>
            <w:r w:rsidR="005D0DAA">
              <w:rPr>
                <w:rFonts w:cstheme="minorHAnsi"/>
                <w:sz w:val="22"/>
                <w:szCs w:val="22"/>
              </w:rPr>
              <w:t>Participant</w:t>
            </w:r>
            <w:r>
              <w:rPr>
                <w:rFonts w:cstheme="minorHAnsi"/>
                <w:sz w:val="22"/>
                <w:szCs w:val="22"/>
              </w:rPr>
              <w:t>s</w:t>
            </w:r>
            <w:r w:rsidRPr="003E4C00">
              <w:rPr>
                <w:rFonts w:cstheme="minorHAnsi"/>
                <w:sz w:val="22"/>
                <w:szCs w:val="22"/>
              </w:rPr>
              <w:t xml:space="preserve"> prepare for engagement in the workforce</w:t>
            </w:r>
          </w:p>
          <w:p w14:paraId="35194BF2" w14:textId="77777777" w:rsidR="00A4152B" w:rsidRPr="003E4C00" w:rsidRDefault="00A4152B" w:rsidP="00A4152B">
            <w:pPr>
              <w:pStyle w:val="tabletext"/>
              <w:numPr>
                <w:ilvl w:val="0"/>
                <w:numId w:val="6"/>
              </w:numPr>
              <w:ind w:left="351" w:hanging="351"/>
              <w:rPr>
                <w:rFonts w:cstheme="minorHAnsi"/>
                <w:sz w:val="22"/>
                <w:szCs w:val="22"/>
              </w:rPr>
            </w:pPr>
            <w:r>
              <w:rPr>
                <w:rFonts w:cstheme="minorHAnsi"/>
                <w:sz w:val="22"/>
                <w:szCs w:val="22"/>
              </w:rPr>
              <w:t>c</w:t>
            </w:r>
            <w:r w:rsidRPr="003E4C00">
              <w:rPr>
                <w:rFonts w:cstheme="minorHAnsi"/>
                <w:sz w:val="22"/>
                <w:szCs w:val="22"/>
              </w:rPr>
              <w:t>ultural competency training.</w:t>
            </w:r>
          </w:p>
          <w:p w14:paraId="26834048" w14:textId="77777777" w:rsidR="00A4152B" w:rsidRPr="0081069E" w:rsidRDefault="00A4152B" w:rsidP="00A4152B">
            <w:pPr>
              <w:pStyle w:val="tabletext"/>
              <w:spacing w:before="120"/>
              <w:rPr>
                <w:rFonts w:cstheme="minorHAnsi"/>
                <w:sz w:val="22"/>
                <w:szCs w:val="22"/>
              </w:rPr>
            </w:pPr>
            <w:r w:rsidRPr="0081069E">
              <w:rPr>
                <w:rFonts w:cstheme="minorHAnsi"/>
                <w:sz w:val="22"/>
                <w:szCs w:val="22"/>
              </w:rPr>
              <w:lastRenderedPageBreak/>
              <w:t xml:space="preserve">When </w:t>
            </w:r>
            <w:r>
              <w:rPr>
                <w:rFonts w:cstheme="minorHAnsi"/>
                <w:sz w:val="22"/>
                <w:szCs w:val="22"/>
              </w:rPr>
              <w:t xml:space="preserve">claiming </w:t>
            </w:r>
            <w:r w:rsidRPr="0081069E">
              <w:rPr>
                <w:rFonts w:cstheme="minorHAnsi"/>
                <w:sz w:val="22"/>
                <w:szCs w:val="22"/>
              </w:rPr>
              <w:t xml:space="preserve">Reimbursement for culturally appropriate non-accredited pre-placement training delivered by a Provider’s Own Organisation or Related Entity, assistance is limited to a cap of $1,650 (GST inclusive) per </w:t>
            </w:r>
            <w:r w:rsidR="005D0DAA">
              <w:rPr>
                <w:rFonts w:cstheme="minorHAnsi"/>
                <w:sz w:val="22"/>
                <w:szCs w:val="22"/>
              </w:rPr>
              <w:t>Participant</w:t>
            </w:r>
            <w:r w:rsidRPr="0081069E">
              <w:rPr>
                <w:rFonts w:cstheme="minorHAnsi"/>
                <w:sz w:val="22"/>
                <w:szCs w:val="22"/>
              </w:rPr>
              <w:t>, per financial year.</w:t>
            </w:r>
          </w:p>
          <w:p w14:paraId="1445DAEF" w14:textId="77777777" w:rsidR="00A4152B" w:rsidRDefault="00A4152B" w:rsidP="00A4152B">
            <w:pPr>
              <w:pStyle w:val="tabletext"/>
              <w:spacing w:before="120"/>
              <w:rPr>
                <w:rFonts w:cstheme="minorHAnsi"/>
                <w:sz w:val="22"/>
                <w:szCs w:val="22"/>
              </w:rPr>
            </w:pPr>
            <w:r>
              <w:rPr>
                <w:rFonts w:cstheme="minorHAnsi"/>
                <w:sz w:val="22"/>
                <w:szCs w:val="22"/>
              </w:rPr>
              <w:t>There is no cap for</w:t>
            </w:r>
            <w:r w:rsidRPr="00251187">
              <w:rPr>
                <w:rFonts w:cstheme="minorHAnsi"/>
                <w:sz w:val="22"/>
                <w:szCs w:val="22"/>
              </w:rPr>
              <w:t xml:space="preserve"> culturally appropriate non-accredited pre-</w:t>
            </w:r>
            <w:r>
              <w:rPr>
                <w:rFonts w:cstheme="minorHAnsi"/>
                <w:sz w:val="22"/>
                <w:szCs w:val="22"/>
              </w:rPr>
              <w:t>placement</w:t>
            </w:r>
            <w:r w:rsidRPr="00251187">
              <w:rPr>
                <w:rFonts w:cstheme="minorHAnsi"/>
                <w:sz w:val="22"/>
                <w:szCs w:val="22"/>
              </w:rPr>
              <w:t xml:space="preserve"> training</w:t>
            </w:r>
            <w:r>
              <w:rPr>
                <w:rFonts w:cstheme="minorHAnsi"/>
                <w:sz w:val="22"/>
                <w:szCs w:val="22"/>
              </w:rPr>
              <w:t xml:space="preserve"> delivered by an external organisation.</w:t>
            </w:r>
            <w:r w:rsidRPr="00251187">
              <w:rPr>
                <w:rFonts w:cstheme="minorHAnsi"/>
                <w:sz w:val="22"/>
                <w:szCs w:val="22"/>
              </w:rPr>
              <w:t xml:space="preserve"> </w:t>
            </w:r>
          </w:p>
          <w:p w14:paraId="56ECAEF5" w14:textId="77777777" w:rsidR="00A4152B" w:rsidRPr="00251187" w:rsidRDefault="00A4152B" w:rsidP="00A4152B">
            <w:pPr>
              <w:pStyle w:val="tabletext"/>
              <w:spacing w:before="120"/>
              <w:rPr>
                <w:rFonts w:cstheme="minorHAnsi"/>
                <w:b/>
                <w:sz w:val="22"/>
                <w:szCs w:val="22"/>
              </w:rPr>
            </w:pPr>
            <w:r>
              <w:rPr>
                <w:rFonts w:cstheme="minorHAnsi"/>
                <w:b/>
                <w:sz w:val="22"/>
                <w:szCs w:val="22"/>
              </w:rPr>
              <w:t xml:space="preserve">Pre and post </w:t>
            </w:r>
            <w:r w:rsidRPr="00251187">
              <w:rPr>
                <w:rFonts w:cstheme="minorHAnsi"/>
                <w:b/>
                <w:sz w:val="22"/>
                <w:szCs w:val="22"/>
              </w:rPr>
              <w:t>placement mentoring</w:t>
            </w:r>
          </w:p>
          <w:p w14:paraId="5100C651" w14:textId="77777777" w:rsidR="00A4152B" w:rsidRPr="00F130F2" w:rsidRDefault="002D5DDB" w:rsidP="00A4152B">
            <w:pPr>
              <w:pStyle w:val="tabletext"/>
              <w:rPr>
                <w:rFonts w:cstheme="minorHAnsi"/>
                <w:sz w:val="22"/>
                <w:szCs w:val="22"/>
              </w:rPr>
            </w:pPr>
            <w:r>
              <w:rPr>
                <w:rFonts w:cstheme="minorHAnsi"/>
                <w:sz w:val="22"/>
                <w:szCs w:val="22"/>
              </w:rPr>
              <w:t>Providers may use t</w:t>
            </w:r>
            <w:r w:rsidR="00A4152B" w:rsidRPr="00F130F2">
              <w:rPr>
                <w:rFonts w:cstheme="minorHAnsi"/>
                <w:sz w:val="22"/>
                <w:szCs w:val="22"/>
              </w:rPr>
              <w:t xml:space="preserve">his service type for mentoring services delivered to Indigenous </w:t>
            </w:r>
            <w:r w:rsidR="005D0DAA">
              <w:rPr>
                <w:rFonts w:cstheme="minorHAnsi"/>
                <w:sz w:val="22"/>
                <w:szCs w:val="22"/>
              </w:rPr>
              <w:t>Participant</w:t>
            </w:r>
            <w:r w:rsidR="00A4152B" w:rsidRPr="00F130F2">
              <w:rPr>
                <w:rFonts w:cstheme="minorHAnsi"/>
                <w:sz w:val="22"/>
                <w:szCs w:val="22"/>
              </w:rPr>
              <w:t xml:space="preserve">s and their employers, host organisations </w:t>
            </w:r>
            <w:r w:rsidR="0032153C">
              <w:rPr>
                <w:sz w:val="22"/>
              </w:rPr>
              <w:t>(including Work for the Dole Hosts</w:t>
            </w:r>
            <w:r w:rsidR="004E3BCE">
              <w:rPr>
                <w:sz w:val="22"/>
              </w:rPr>
              <w:t>)</w:t>
            </w:r>
            <w:r w:rsidR="004E3BCE" w:rsidRPr="00F130F2">
              <w:rPr>
                <w:rFonts w:cstheme="minorHAnsi"/>
                <w:sz w:val="22"/>
                <w:szCs w:val="22"/>
              </w:rPr>
              <w:t xml:space="preserve"> and</w:t>
            </w:r>
            <w:r w:rsidR="00A4152B" w:rsidRPr="00F130F2">
              <w:rPr>
                <w:rFonts w:cstheme="minorHAnsi"/>
                <w:sz w:val="22"/>
                <w:szCs w:val="22"/>
              </w:rPr>
              <w:t xml:space="preserve"> family and community members. Such as:</w:t>
            </w:r>
          </w:p>
          <w:p w14:paraId="25C4FF0C" w14:textId="77777777" w:rsidR="00A4152B" w:rsidRPr="004D6FB6" w:rsidRDefault="00A4152B" w:rsidP="00A4152B">
            <w:pPr>
              <w:pStyle w:val="tabletext"/>
              <w:numPr>
                <w:ilvl w:val="0"/>
                <w:numId w:val="6"/>
              </w:numPr>
              <w:ind w:left="351" w:hanging="351"/>
              <w:rPr>
                <w:rFonts w:cstheme="minorHAnsi"/>
                <w:sz w:val="22"/>
                <w:szCs w:val="22"/>
              </w:rPr>
            </w:pPr>
            <w:r>
              <w:rPr>
                <w:rFonts w:cstheme="minorHAnsi"/>
                <w:sz w:val="22"/>
                <w:szCs w:val="22"/>
              </w:rPr>
              <w:t>s</w:t>
            </w:r>
            <w:r w:rsidRPr="004D6FB6">
              <w:rPr>
                <w:rFonts w:cstheme="minorHAnsi"/>
                <w:sz w:val="22"/>
                <w:szCs w:val="22"/>
              </w:rPr>
              <w:t xml:space="preserve">upport to address </w:t>
            </w:r>
            <w:r w:rsidR="005D0DAA">
              <w:rPr>
                <w:rFonts w:cstheme="minorHAnsi"/>
                <w:sz w:val="22"/>
                <w:szCs w:val="22"/>
              </w:rPr>
              <w:t>Participant</w:t>
            </w:r>
            <w:r>
              <w:rPr>
                <w:rFonts w:cstheme="minorHAnsi"/>
                <w:sz w:val="22"/>
                <w:szCs w:val="22"/>
              </w:rPr>
              <w:t xml:space="preserve"> </w:t>
            </w:r>
            <w:r w:rsidRPr="004D6FB6">
              <w:rPr>
                <w:rFonts w:cstheme="minorHAnsi"/>
                <w:sz w:val="22"/>
                <w:szCs w:val="22"/>
              </w:rPr>
              <w:t xml:space="preserve">issues (e.g. work-related, health, </w:t>
            </w:r>
            <w:r>
              <w:rPr>
                <w:rFonts w:cstheme="minorHAnsi"/>
                <w:sz w:val="22"/>
                <w:szCs w:val="22"/>
              </w:rPr>
              <w:t>justice system or housing issues</w:t>
            </w:r>
            <w:r w:rsidRPr="004D6FB6">
              <w:rPr>
                <w:rFonts w:cstheme="minorHAnsi"/>
                <w:sz w:val="22"/>
                <w:szCs w:val="22"/>
              </w:rPr>
              <w:t>)</w:t>
            </w:r>
          </w:p>
          <w:p w14:paraId="11793F3C" w14:textId="77777777" w:rsidR="00A4152B" w:rsidRPr="004D6FB6" w:rsidRDefault="00A4152B" w:rsidP="00A4152B">
            <w:pPr>
              <w:pStyle w:val="tabletext"/>
              <w:numPr>
                <w:ilvl w:val="0"/>
                <w:numId w:val="6"/>
              </w:numPr>
              <w:ind w:left="351" w:hanging="351"/>
              <w:rPr>
                <w:rFonts w:cstheme="minorHAnsi"/>
                <w:sz w:val="22"/>
                <w:szCs w:val="22"/>
              </w:rPr>
            </w:pPr>
            <w:r>
              <w:rPr>
                <w:rFonts w:cstheme="minorHAnsi"/>
                <w:sz w:val="22"/>
                <w:szCs w:val="22"/>
              </w:rPr>
              <w:t>g</w:t>
            </w:r>
            <w:r w:rsidRPr="004D6FB6">
              <w:rPr>
                <w:rFonts w:cstheme="minorHAnsi"/>
                <w:sz w:val="22"/>
                <w:szCs w:val="22"/>
              </w:rPr>
              <w:t>oal setting</w:t>
            </w:r>
          </w:p>
          <w:p w14:paraId="737BAC66" w14:textId="77777777" w:rsidR="00A4152B" w:rsidRPr="004D6FB6" w:rsidRDefault="00A4152B" w:rsidP="00A4152B">
            <w:pPr>
              <w:pStyle w:val="tabletext"/>
              <w:numPr>
                <w:ilvl w:val="0"/>
                <w:numId w:val="6"/>
              </w:numPr>
              <w:ind w:left="351" w:hanging="351"/>
              <w:rPr>
                <w:rFonts w:cstheme="minorHAnsi"/>
                <w:sz w:val="22"/>
                <w:szCs w:val="22"/>
              </w:rPr>
            </w:pPr>
            <w:r>
              <w:rPr>
                <w:rFonts w:cstheme="minorHAnsi"/>
                <w:sz w:val="22"/>
                <w:szCs w:val="22"/>
              </w:rPr>
              <w:t>a</w:t>
            </w:r>
            <w:r w:rsidRPr="004D6FB6">
              <w:rPr>
                <w:rFonts w:cstheme="minorHAnsi"/>
                <w:sz w:val="22"/>
                <w:szCs w:val="22"/>
              </w:rPr>
              <w:t xml:space="preserve">ssisting the </w:t>
            </w:r>
            <w:r w:rsidR="005D0DAA">
              <w:rPr>
                <w:rFonts w:cstheme="minorHAnsi"/>
                <w:sz w:val="22"/>
                <w:szCs w:val="22"/>
              </w:rPr>
              <w:t>Participant</w:t>
            </w:r>
            <w:r w:rsidRPr="004D6FB6">
              <w:rPr>
                <w:rFonts w:cstheme="minorHAnsi"/>
                <w:sz w:val="22"/>
                <w:szCs w:val="22"/>
              </w:rPr>
              <w:t xml:space="preserve">’s family to understand the support that the </w:t>
            </w:r>
            <w:r w:rsidR="005D0DAA">
              <w:rPr>
                <w:rFonts w:cstheme="minorHAnsi"/>
                <w:sz w:val="22"/>
                <w:szCs w:val="22"/>
              </w:rPr>
              <w:t>Participant</w:t>
            </w:r>
            <w:r w:rsidRPr="004D6FB6">
              <w:rPr>
                <w:rFonts w:cstheme="minorHAnsi"/>
                <w:sz w:val="22"/>
                <w:szCs w:val="22"/>
              </w:rPr>
              <w:t xml:space="preserve"> will need from home.</w:t>
            </w:r>
          </w:p>
          <w:p w14:paraId="6A91A975" w14:textId="77777777" w:rsidR="00A4152B" w:rsidRPr="00537FB0" w:rsidRDefault="00A4152B" w:rsidP="00A4152B">
            <w:pPr>
              <w:pStyle w:val="tabletext"/>
              <w:spacing w:before="120"/>
              <w:rPr>
                <w:rFonts w:cstheme="minorHAnsi"/>
                <w:sz w:val="22"/>
                <w:szCs w:val="22"/>
              </w:rPr>
            </w:pPr>
            <w:r w:rsidRPr="00537FB0">
              <w:rPr>
                <w:rFonts w:cstheme="minorHAnsi"/>
                <w:sz w:val="22"/>
                <w:szCs w:val="22"/>
              </w:rPr>
              <w:t xml:space="preserve">When </w:t>
            </w:r>
            <w:r>
              <w:rPr>
                <w:rFonts w:cstheme="minorHAnsi"/>
                <w:sz w:val="22"/>
                <w:szCs w:val="22"/>
              </w:rPr>
              <w:t xml:space="preserve">claiming Reimbursement for pre and post </w:t>
            </w:r>
            <w:r w:rsidRPr="00537FB0">
              <w:rPr>
                <w:rFonts w:cstheme="minorHAnsi"/>
                <w:sz w:val="22"/>
                <w:szCs w:val="22"/>
              </w:rPr>
              <w:t xml:space="preserve">placement mentoring delivered by a staff member of a Provider’s Own Organisation or Related Entity, assistance is limited to a cap of $1,650 (GST inclusive) per </w:t>
            </w:r>
            <w:r w:rsidR="005D0DAA">
              <w:rPr>
                <w:rFonts w:cstheme="minorHAnsi"/>
                <w:sz w:val="22"/>
                <w:szCs w:val="22"/>
              </w:rPr>
              <w:t>Participant</w:t>
            </w:r>
            <w:r w:rsidRPr="00537FB0">
              <w:rPr>
                <w:rFonts w:cstheme="minorHAnsi"/>
                <w:sz w:val="22"/>
                <w:szCs w:val="22"/>
              </w:rPr>
              <w:t>, per financial year.</w:t>
            </w:r>
          </w:p>
          <w:p w14:paraId="711ED6A0" w14:textId="77777777" w:rsidR="00A4152B" w:rsidRPr="009F211C" w:rsidRDefault="00A4152B" w:rsidP="00A83E3A">
            <w:pPr>
              <w:pStyle w:val="tabletext"/>
              <w:spacing w:before="120"/>
              <w:rPr>
                <w:rFonts w:cstheme="minorHAnsi"/>
                <w:sz w:val="22"/>
                <w:szCs w:val="22"/>
              </w:rPr>
            </w:pPr>
            <w:r w:rsidRPr="00251187">
              <w:rPr>
                <w:rFonts w:cstheme="minorHAnsi"/>
                <w:sz w:val="22"/>
                <w:szCs w:val="22"/>
              </w:rPr>
              <w:t>The</w:t>
            </w:r>
            <w:r>
              <w:rPr>
                <w:rFonts w:cstheme="minorHAnsi"/>
                <w:sz w:val="22"/>
                <w:szCs w:val="22"/>
              </w:rPr>
              <w:t>re is no cap for</w:t>
            </w:r>
            <w:r w:rsidRPr="00251187">
              <w:rPr>
                <w:rFonts w:cstheme="minorHAnsi"/>
                <w:sz w:val="22"/>
                <w:szCs w:val="22"/>
              </w:rPr>
              <w:t xml:space="preserve"> </w:t>
            </w:r>
            <w:r>
              <w:rPr>
                <w:rFonts w:cstheme="minorHAnsi"/>
                <w:sz w:val="22"/>
                <w:szCs w:val="22"/>
              </w:rPr>
              <w:t xml:space="preserve">pre and post </w:t>
            </w:r>
            <w:r w:rsidRPr="00384937">
              <w:rPr>
                <w:rFonts w:cstheme="minorHAnsi"/>
                <w:sz w:val="22"/>
                <w:szCs w:val="22"/>
              </w:rPr>
              <w:t xml:space="preserve">placement mentoring delivered </w:t>
            </w:r>
            <w:r>
              <w:rPr>
                <w:rFonts w:cstheme="minorHAnsi"/>
                <w:sz w:val="22"/>
                <w:szCs w:val="22"/>
              </w:rPr>
              <w:t>by an external organisation.</w:t>
            </w:r>
          </w:p>
        </w:tc>
        <w:tc>
          <w:tcPr>
            <w:tcW w:w="6247" w:type="dxa"/>
          </w:tcPr>
          <w:p w14:paraId="471CB242" w14:textId="77777777" w:rsidR="00A4152B" w:rsidRPr="00E4538E" w:rsidRDefault="00A4152B" w:rsidP="00A4152B">
            <w:pPr>
              <w:pStyle w:val="tabletext"/>
              <w:rPr>
                <w:rFonts w:cstheme="minorHAnsi"/>
                <w:sz w:val="22"/>
                <w:szCs w:val="22"/>
              </w:rPr>
            </w:pPr>
            <w:r w:rsidRPr="00A37677">
              <w:rPr>
                <w:rFonts w:cstheme="minorHAnsi"/>
                <w:sz w:val="22"/>
                <w:szCs w:val="22"/>
              </w:rPr>
              <w:lastRenderedPageBreak/>
              <w:t xml:space="preserve">In addition to the Documentary </w:t>
            </w:r>
            <w:r w:rsidRPr="00E4538E">
              <w:rPr>
                <w:rFonts w:cstheme="minorHAnsi"/>
                <w:sz w:val="22"/>
                <w:szCs w:val="22"/>
              </w:rPr>
              <w:t xml:space="preserve">Evidence requirements for all purchases detailed in the </w:t>
            </w:r>
            <w:hyperlink w:anchor="_Summary_of_required" w:history="1">
              <w:r w:rsidRPr="00E4538E">
                <w:rPr>
                  <w:rStyle w:val="Hyperlink"/>
                  <w:sz w:val="22"/>
                  <w:szCs w:val="22"/>
                </w:rPr>
                <w:t>Summary of required Documentary Evidence</w:t>
              </w:r>
            </w:hyperlink>
            <w:r w:rsidRPr="00E4538E">
              <w:rPr>
                <w:rFonts w:cstheme="minorHAnsi"/>
                <w:color w:val="2E74B5" w:themeColor="accent1" w:themeShade="BF"/>
                <w:sz w:val="22"/>
                <w:szCs w:val="22"/>
              </w:rPr>
              <w:t xml:space="preserve"> </w:t>
            </w:r>
            <w:r w:rsidRPr="00E4538E">
              <w:rPr>
                <w:rFonts w:cstheme="minorHAnsi"/>
                <w:sz w:val="22"/>
                <w:szCs w:val="22"/>
              </w:rPr>
              <w:t>section, a Provider must:</w:t>
            </w:r>
          </w:p>
          <w:p w14:paraId="32EF6AD0" w14:textId="77777777" w:rsidR="00A4152B" w:rsidRPr="00AA1C5F" w:rsidRDefault="00A4152B" w:rsidP="00A4152B">
            <w:pPr>
              <w:pStyle w:val="tabletext"/>
              <w:numPr>
                <w:ilvl w:val="0"/>
                <w:numId w:val="6"/>
              </w:numPr>
              <w:ind w:left="351" w:hanging="351"/>
              <w:rPr>
                <w:rFonts w:cstheme="minorHAnsi"/>
                <w:sz w:val="22"/>
                <w:szCs w:val="22"/>
              </w:rPr>
            </w:pPr>
            <w:r>
              <w:rPr>
                <w:rFonts w:cstheme="minorHAnsi"/>
                <w:sz w:val="22"/>
                <w:szCs w:val="22"/>
              </w:rPr>
              <w:t>select</w:t>
            </w:r>
            <w:r w:rsidRPr="00AA1C5F">
              <w:rPr>
                <w:rFonts w:cstheme="minorHAnsi"/>
                <w:sz w:val="22"/>
                <w:szCs w:val="22"/>
              </w:rPr>
              <w:t xml:space="preserve"> the </w:t>
            </w:r>
            <w:r>
              <w:rPr>
                <w:rFonts w:cstheme="minorHAnsi"/>
                <w:sz w:val="22"/>
                <w:szCs w:val="22"/>
              </w:rPr>
              <w:t>service</w:t>
            </w:r>
            <w:r w:rsidRPr="00AA1C5F">
              <w:rPr>
                <w:rFonts w:cstheme="minorHAnsi"/>
                <w:sz w:val="22"/>
                <w:szCs w:val="22"/>
              </w:rPr>
              <w:t xml:space="preserve"> type (pre-</w:t>
            </w:r>
            <w:r>
              <w:rPr>
                <w:rFonts w:cstheme="minorHAnsi"/>
                <w:sz w:val="22"/>
                <w:szCs w:val="22"/>
              </w:rPr>
              <w:t>placement</w:t>
            </w:r>
            <w:r w:rsidRPr="00AA1C5F">
              <w:rPr>
                <w:rFonts w:cstheme="minorHAnsi"/>
                <w:sz w:val="22"/>
                <w:szCs w:val="22"/>
              </w:rPr>
              <w:t xml:space="preserve"> training or mentoring) in the commitmen</w:t>
            </w:r>
            <w:r>
              <w:rPr>
                <w:rFonts w:cstheme="minorHAnsi"/>
                <w:sz w:val="22"/>
                <w:szCs w:val="22"/>
              </w:rPr>
              <w:t>t in the Department’s IT System</w:t>
            </w:r>
          </w:p>
          <w:p w14:paraId="25E1896D" w14:textId="77777777" w:rsidR="00A4152B" w:rsidRPr="00E4538E" w:rsidRDefault="00A4152B" w:rsidP="00A4152B">
            <w:pPr>
              <w:pStyle w:val="tabletext"/>
              <w:numPr>
                <w:ilvl w:val="0"/>
                <w:numId w:val="6"/>
              </w:numPr>
              <w:ind w:left="351" w:hanging="351"/>
              <w:rPr>
                <w:rFonts w:cstheme="minorHAnsi"/>
                <w:sz w:val="22"/>
                <w:szCs w:val="22"/>
              </w:rPr>
            </w:pPr>
            <w:r w:rsidRPr="00E4538E">
              <w:rPr>
                <w:rFonts w:cstheme="minorHAnsi"/>
                <w:sz w:val="22"/>
                <w:szCs w:val="22"/>
              </w:rPr>
              <w:t xml:space="preserve">retain sufficient items of Documentary Evidence that in combination </w:t>
            </w:r>
            <w:r>
              <w:rPr>
                <w:rFonts w:cstheme="minorHAnsi"/>
                <w:sz w:val="22"/>
                <w:szCs w:val="22"/>
              </w:rPr>
              <w:t xml:space="preserve">identifies </w:t>
            </w:r>
            <w:r w:rsidRPr="00E84FC4">
              <w:rPr>
                <w:rFonts w:cstheme="minorHAnsi"/>
                <w:sz w:val="22"/>
                <w:szCs w:val="22"/>
              </w:rPr>
              <w:t xml:space="preserve">the service type </w:t>
            </w:r>
            <w:r>
              <w:rPr>
                <w:rFonts w:cstheme="minorHAnsi"/>
                <w:sz w:val="22"/>
                <w:szCs w:val="22"/>
              </w:rPr>
              <w:t xml:space="preserve">as either </w:t>
            </w:r>
            <w:r w:rsidRPr="00E84FC4">
              <w:rPr>
                <w:rFonts w:cstheme="minorHAnsi"/>
                <w:sz w:val="22"/>
                <w:szCs w:val="22"/>
              </w:rPr>
              <w:t xml:space="preserve">pre-placement training or mentoring </w:t>
            </w:r>
            <w:r w:rsidRPr="00E4538E">
              <w:rPr>
                <w:rFonts w:cstheme="minorHAnsi"/>
                <w:sz w:val="22"/>
                <w:szCs w:val="22"/>
              </w:rPr>
              <w:t xml:space="preserve">for </w:t>
            </w:r>
            <w:r>
              <w:rPr>
                <w:rFonts w:cstheme="minorHAnsi"/>
                <w:sz w:val="22"/>
                <w:szCs w:val="22"/>
              </w:rPr>
              <w:t xml:space="preserve">services </w:t>
            </w:r>
            <w:r w:rsidRPr="00E4538E">
              <w:rPr>
                <w:rFonts w:cstheme="minorHAnsi"/>
                <w:sz w:val="22"/>
                <w:szCs w:val="22"/>
              </w:rPr>
              <w:t>delivered by a Provider’s Own O</w:t>
            </w:r>
            <w:r>
              <w:rPr>
                <w:rFonts w:cstheme="minorHAnsi"/>
                <w:sz w:val="22"/>
                <w:szCs w:val="22"/>
              </w:rPr>
              <w:t>rganisation or a Related Entity.</w:t>
            </w:r>
          </w:p>
          <w:p w14:paraId="5861E899" w14:textId="09106BE8" w:rsidR="00A4152B" w:rsidRPr="00A37677" w:rsidRDefault="00A4152B">
            <w:pPr>
              <w:pStyle w:val="tabletext"/>
              <w:spacing w:before="120"/>
              <w:rPr>
                <w:rFonts w:cstheme="minorHAnsi"/>
                <w:sz w:val="22"/>
                <w:szCs w:val="22"/>
              </w:rPr>
            </w:pPr>
            <w:r w:rsidRPr="006A3981">
              <w:rPr>
                <w:rFonts w:cstheme="minorHAnsi"/>
                <w:sz w:val="22"/>
                <w:szCs w:val="22"/>
              </w:rPr>
              <w:t>Refer</w:t>
            </w:r>
            <w:r w:rsidRPr="006A3981">
              <w:rPr>
                <w:sz w:val="22"/>
                <w:szCs w:val="22"/>
              </w:rPr>
              <w:t xml:space="preserve"> to the </w:t>
            </w:r>
            <w:hyperlink r:id="rId38" w:history="1">
              <w:r w:rsidR="00EB6BA2">
                <w:rPr>
                  <w:rStyle w:val="Hyperlink"/>
                  <w:sz w:val="22"/>
                  <w:szCs w:val="22"/>
                </w:rPr>
                <w:t>New Employment Services Trial Employment Fund General Account IT Supporting Document</w:t>
              </w:r>
            </w:hyperlink>
            <w:r w:rsidR="00333793">
              <w:rPr>
                <w:sz w:val="22"/>
                <w:szCs w:val="22"/>
              </w:rPr>
              <w:t xml:space="preserve"> </w:t>
            </w:r>
            <w:r w:rsidRPr="006A3981">
              <w:rPr>
                <w:rFonts w:cstheme="minorHAnsi"/>
                <w:sz w:val="22"/>
                <w:szCs w:val="22"/>
              </w:rPr>
              <w:t xml:space="preserve">for further guidance on creating Indigenous </w:t>
            </w:r>
            <w:r w:rsidR="00F24B15">
              <w:rPr>
                <w:rFonts w:cstheme="minorHAnsi"/>
                <w:sz w:val="22"/>
                <w:szCs w:val="22"/>
              </w:rPr>
              <w:t>T</w:t>
            </w:r>
            <w:r w:rsidR="00F24B15" w:rsidRPr="006A3981">
              <w:rPr>
                <w:rFonts w:cstheme="minorHAnsi"/>
                <w:sz w:val="22"/>
                <w:szCs w:val="22"/>
              </w:rPr>
              <w:t xml:space="preserve">raining </w:t>
            </w:r>
            <w:r w:rsidRPr="006A3981">
              <w:rPr>
                <w:rFonts w:cstheme="minorHAnsi"/>
                <w:sz w:val="22"/>
                <w:szCs w:val="22"/>
              </w:rPr>
              <w:t xml:space="preserve">and </w:t>
            </w:r>
            <w:r w:rsidR="00F24B15">
              <w:rPr>
                <w:rFonts w:cstheme="minorHAnsi"/>
                <w:sz w:val="22"/>
                <w:szCs w:val="22"/>
              </w:rPr>
              <w:t>M</w:t>
            </w:r>
            <w:r w:rsidR="00F24B15" w:rsidRPr="006A3981">
              <w:rPr>
                <w:rFonts w:cstheme="minorHAnsi"/>
                <w:sz w:val="22"/>
                <w:szCs w:val="22"/>
              </w:rPr>
              <w:t xml:space="preserve">entoring </w:t>
            </w:r>
            <w:r w:rsidRPr="006A3981">
              <w:rPr>
                <w:rFonts w:cstheme="minorHAnsi"/>
                <w:sz w:val="22"/>
                <w:szCs w:val="22"/>
              </w:rPr>
              <w:t>commitments in the Department’s IT System.</w:t>
            </w:r>
          </w:p>
        </w:tc>
      </w:tr>
      <w:tr w:rsidR="00A4152B" w:rsidRPr="00662F9A" w14:paraId="16E09034" w14:textId="77777777" w:rsidTr="00827A41">
        <w:tc>
          <w:tcPr>
            <w:tcW w:w="2019" w:type="dxa"/>
          </w:tcPr>
          <w:p w14:paraId="0C4ECE17" w14:textId="77777777" w:rsidR="00A4152B" w:rsidRDefault="00A4152B" w:rsidP="00A4152B">
            <w:pPr>
              <w:pStyle w:val="tabletext"/>
              <w:rPr>
                <w:rFonts w:cstheme="minorHAnsi"/>
                <w:b/>
                <w:sz w:val="22"/>
                <w:szCs w:val="22"/>
              </w:rPr>
            </w:pPr>
            <w:r w:rsidRPr="009F211C">
              <w:rPr>
                <w:rFonts w:cstheme="minorHAnsi"/>
                <w:b/>
                <w:sz w:val="22"/>
                <w:szCs w:val="22"/>
              </w:rPr>
              <w:t>Non</w:t>
            </w:r>
            <w:r w:rsidR="005D1634">
              <w:rPr>
                <w:rFonts w:cstheme="minorHAnsi"/>
                <w:b/>
                <w:sz w:val="22"/>
                <w:szCs w:val="22"/>
              </w:rPr>
              <w:t xml:space="preserve"> </w:t>
            </w:r>
            <w:r w:rsidRPr="009F211C">
              <w:rPr>
                <w:rFonts w:cstheme="minorHAnsi"/>
                <w:b/>
                <w:sz w:val="22"/>
                <w:szCs w:val="22"/>
              </w:rPr>
              <w:t>Accredited Training</w:t>
            </w:r>
          </w:p>
        </w:tc>
        <w:tc>
          <w:tcPr>
            <w:tcW w:w="2835" w:type="dxa"/>
          </w:tcPr>
          <w:p w14:paraId="464501C0" w14:textId="77777777" w:rsidR="00A4152B" w:rsidRPr="001D263C" w:rsidRDefault="00A4152B" w:rsidP="00A83E3A">
            <w:pPr>
              <w:pStyle w:val="tabletext"/>
              <w:rPr>
                <w:rFonts w:ascii="Calibri" w:hAnsi="Calibri" w:cs="Calibri"/>
                <w:sz w:val="22"/>
                <w:szCs w:val="22"/>
              </w:rPr>
            </w:pPr>
          </w:p>
        </w:tc>
        <w:tc>
          <w:tcPr>
            <w:tcW w:w="10136" w:type="dxa"/>
          </w:tcPr>
          <w:p w14:paraId="606101D5" w14:textId="77777777" w:rsidR="00A83E3A" w:rsidRPr="00A83E3A" w:rsidRDefault="00695E71" w:rsidP="00A83E3A">
            <w:pPr>
              <w:pStyle w:val="tabletext"/>
              <w:rPr>
                <w:rFonts w:ascii="Calibri" w:hAnsi="Calibri" w:cs="Calibri"/>
                <w:sz w:val="22"/>
                <w:szCs w:val="22"/>
              </w:rPr>
            </w:pPr>
            <w:r w:rsidRPr="00CC2A84">
              <w:rPr>
                <w:rFonts w:ascii="Calibri" w:hAnsi="Calibri" w:cs="Calibri"/>
                <w:sz w:val="22"/>
                <w:szCs w:val="22"/>
              </w:rPr>
              <w:t xml:space="preserve">Providers may use this category for </w:t>
            </w:r>
            <w:r w:rsidR="00901D14" w:rsidRPr="00CC2A84">
              <w:rPr>
                <w:rFonts w:ascii="Calibri" w:hAnsi="Calibri" w:cs="Calibri"/>
                <w:sz w:val="22"/>
                <w:szCs w:val="22"/>
              </w:rPr>
              <w:t>job</w:t>
            </w:r>
            <w:r w:rsidR="00ED2EF4" w:rsidRPr="00CC2A84">
              <w:rPr>
                <w:rFonts w:ascii="Calibri" w:hAnsi="Calibri" w:cs="Calibri"/>
                <w:sz w:val="22"/>
                <w:szCs w:val="22"/>
              </w:rPr>
              <w:t>, industry</w:t>
            </w:r>
            <w:r w:rsidR="00901D14" w:rsidRPr="00CC2A84">
              <w:rPr>
                <w:rFonts w:ascii="Calibri" w:hAnsi="Calibri" w:cs="Calibri"/>
                <w:sz w:val="22"/>
                <w:szCs w:val="22"/>
              </w:rPr>
              <w:t xml:space="preserve"> or employer specific </w:t>
            </w:r>
            <w:r w:rsidR="00A4152B" w:rsidRPr="00CC2A84">
              <w:rPr>
                <w:rFonts w:ascii="Calibri" w:hAnsi="Calibri" w:cs="Calibri"/>
                <w:sz w:val="22"/>
                <w:szCs w:val="22"/>
              </w:rPr>
              <w:t>non-accredited training</w:t>
            </w:r>
            <w:r w:rsidRPr="00CC2A84">
              <w:rPr>
                <w:rFonts w:ascii="Calibri" w:hAnsi="Calibri" w:cs="Calibri"/>
                <w:sz w:val="22"/>
                <w:szCs w:val="22"/>
              </w:rPr>
              <w:t>.</w:t>
            </w:r>
            <w:r w:rsidR="00A83E3A" w:rsidRPr="00CC2A84">
              <w:rPr>
                <w:rFonts w:ascii="Calibri" w:hAnsi="Calibri" w:cs="Calibri"/>
                <w:sz w:val="22"/>
                <w:szCs w:val="22"/>
              </w:rPr>
              <w:t xml:space="preserve"> Examples</w:t>
            </w:r>
            <w:r w:rsidR="00A83E3A" w:rsidRPr="00A83E3A">
              <w:rPr>
                <w:rFonts w:ascii="Calibri" w:hAnsi="Calibri" w:cs="Calibri"/>
                <w:sz w:val="22"/>
                <w:szCs w:val="22"/>
              </w:rPr>
              <w:t xml:space="preserve"> </w:t>
            </w:r>
            <w:r w:rsidR="00A83E3A">
              <w:rPr>
                <w:rFonts w:ascii="Calibri" w:hAnsi="Calibri" w:cs="Calibri"/>
                <w:sz w:val="22"/>
                <w:szCs w:val="22"/>
              </w:rPr>
              <w:t>include</w:t>
            </w:r>
            <w:r w:rsidR="00FB0734">
              <w:rPr>
                <w:rFonts w:ascii="Calibri" w:hAnsi="Calibri" w:cs="Calibri"/>
                <w:sz w:val="22"/>
                <w:szCs w:val="22"/>
              </w:rPr>
              <w:t>:</w:t>
            </w:r>
          </w:p>
          <w:p w14:paraId="0490357A" w14:textId="77777777" w:rsidR="00A83E3A" w:rsidRDefault="00A83E3A" w:rsidP="00A83E3A">
            <w:pPr>
              <w:pStyle w:val="tabletext"/>
              <w:numPr>
                <w:ilvl w:val="0"/>
                <w:numId w:val="6"/>
              </w:numPr>
              <w:ind w:left="351" w:hanging="351"/>
              <w:rPr>
                <w:rFonts w:cstheme="minorHAnsi"/>
                <w:sz w:val="22"/>
                <w:szCs w:val="22"/>
              </w:rPr>
            </w:pPr>
            <w:r>
              <w:rPr>
                <w:rFonts w:cstheme="minorHAnsi"/>
                <w:sz w:val="22"/>
                <w:szCs w:val="22"/>
              </w:rPr>
              <w:t>software training such as Excel or MYOB</w:t>
            </w:r>
          </w:p>
          <w:p w14:paraId="2B604EC8" w14:textId="77777777" w:rsidR="00A83E3A" w:rsidRPr="00A83E3A" w:rsidRDefault="00A83E3A" w:rsidP="00A83E3A">
            <w:pPr>
              <w:pStyle w:val="tabletext"/>
              <w:numPr>
                <w:ilvl w:val="0"/>
                <w:numId w:val="6"/>
              </w:numPr>
              <w:ind w:left="351" w:hanging="351"/>
              <w:rPr>
                <w:rFonts w:cstheme="minorHAnsi"/>
                <w:sz w:val="22"/>
                <w:szCs w:val="22"/>
              </w:rPr>
            </w:pPr>
            <w:r w:rsidRPr="00A83E3A">
              <w:rPr>
                <w:rFonts w:cstheme="minorHAnsi"/>
                <w:sz w:val="22"/>
                <w:szCs w:val="22"/>
              </w:rPr>
              <w:t>barista training</w:t>
            </w:r>
          </w:p>
          <w:p w14:paraId="28BB10BF" w14:textId="77777777" w:rsidR="00A83E3A" w:rsidRPr="00A83E3A" w:rsidRDefault="00A83E3A" w:rsidP="00A83E3A">
            <w:pPr>
              <w:pStyle w:val="tabletext"/>
              <w:numPr>
                <w:ilvl w:val="0"/>
                <w:numId w:val="6"/>
              </w:numPr>
              <w:ind w:left="351" w:hanging="351"/>
              <w:rPr>
                <w:rFonts w:cstheme="minorHAnsi"/>
                <w:sz w:val="22"/>
                <w:szCs w:val="22"/>
              </w:rPr>
            </w:pPr>
            <w:r w:rsidRPr="00A83E3A">
              <w:rPr>
                <w:rFonts w:cstheme="minorHAnsi"/>
                <w:sz w:val="22"/>
                <w:szCs w:val="22"/>
              </w:rPr>
              <w:t>asbestos awareness</w:t>
            </w:r>
          </w:p>
          <w:p w14:paraId="2B7E2ACE" w14:textId="77777777" w:rsidR="00A83E3A" w:rsidRPr="00A83E3A" w:rsidRDefault="00A83E3A" w:rsidP="00A83E3A">
            <w:pPr>
              <w:pStyle w:val="tabletext"/>
              <w:numPr>
                <w:ilvl w:val="0"/>
                <w:numId w:val="6"/>
              </w:numPr>
              <w:ind w:left="351" w:hanging="351"/>
              <w:rPr>
                <w:rFonts w:cstheme="minorHAnsi"/>
                <w:sz w:val="22"/>
                <w:szCs w:val="22"/>
              </w:rPr>
            </w:pPr>
            <w:r w:rsidRPr="00A83E3A">
              <w:rPr>
                <w:rFonts w:cstheme="minorHAnsi"/>
                <w:sz w:val="22"/>
                <w:szCs w:val="22"/>
              </w:rPr>
              <w:t>manual handling training</w:t>
            </w:r>
          </w:p>
          <w:p w14:paraId="223CFC40" w14:textId="77777777" w:rsidR="00A83E3A" w:rsidRPr="00A83E3A" w:rsidRDefault="00A83E3A" w:rsidP="00A83E3A">
            <w:pPr>
              <w:pStyle w:val="tabletext"/>
              <w:numPr>
                <w:ilvl w:val="0"/>
                <w:numId w:val="6"/>
              </w:numPr>
              <w:ind w:left="351" w:hanging="351"/>
              <w:rPr>
                <w:rFonts w:cstheme="minorHAnsi"/>
                <w:sz w:val="22"/>
                <w:szCs w:val="22"/>
              </w:rPr>
            </w:pPr>
            <w:r w:rsidRPr="00A83E3A">
              <w:rPr>
                <w:rFonts w:cstheme="minorHAnsi"/>
                <w:sz w:val="22"/>
                <w:szCs w:val="22"/>
              </w:rPr>
              <w:t>pre-employment food safety training</w:t>
            </w:r>
          </w:p>
          <w:p w14:paraId="18A5EDCE" w14:textId="77777777" w:rsidR="00A4152B" w:rsidRPr="00A83E3A" w:rsidRDefault="00A83E3A" w:rsidP="00A83E3A">
            <w:pPr>
              <w:pStyle w:val="tabletext"/>
              <w:numPr>
                <w:ilvl w:val="0"/>
                <w:numId w:val="6"/>
              </w:numPr>
              <w:ind w:left="351" w:hanging="351"/>
              <w:rPr>
                <w:rFonts w:cstheme="minorHAnsi"/>
                <w:sz w:val="22"/>
                <w:szCs w:val="22"/>
              </w:rPr>
            </w:pPr>
            <w:r w:rsidRPr="00A83E3A">
              <w:rPr>
                <w:rFonts w:cstheme="minorHAnsi"/>
                <w:sz w:val="22"/>
                <w:szCs w:val="22"/>
              </w:rPr>
              <w:t>pre-employment training with fitness components.</w:t>
            </w:r>
          </w:p>
        </w:tc>
        <w:tc>
          <w:tcPr>
            <w:tcW w:w="6247" w:type="dxa"/>
          </w:tcPr>
          <w:p w14:paraId="30A0C769" w14:textId="77777777" w:rsidR="00A83E3A" w:rsidRPr="00A37677" w:rsidRDefault="00A83E3A" w:rsidP="00A83E3A">
            <w:pPr>
              <w:pStyle w:val="tabletext"/>
              <w:rPr>
                <w:rFonts w:cstheme="minorHAnsi"/>
                <w:sz w:val="22"/>
                <w:szCs w:val="22"/>
              </w:rPr>
            </w:pPr>
            <w:r>
              <w:rPr>
                <w:rFonts w:cstheme="minorHAnsi"/>
                <w:sz w:val="22"/>
                <w:szCs w:val="22"/>
              </w:rPr>
              <w:t xml:space="preserve">In </w:t>
            </w:r>
            <w:r w:rsidRPr="00A37677">
              <w:rPr>
                <w:rFonts w:cstheme="minorHAnsi"/>
                <w:sz w:val="22"/>
                <w:szCs w:val="22"/>
              </w:rPr>
              <w:t xml:space="preserve">addition to the Documentary Evidence requirements for all purchases detailed in the </w:t>
            </w:r>
            <w:hyperlink w:anchor="_Summary_of_required" w:history="1">
              <w:r w:rsidRPr="002F45B8">
                <w:rPr>
                  <w:rStyle w:val="Hyperlink"/>
                  <w:sz w:val="22"/>
                  <w:szCs w:val="22"/>
                </w:rPr>
                <w:t>Summary of required Documentary Evidence</w:t>
              </w:r>
            </w:hyperlink>
            <w:r w:rsidRPr="00A37677">
              <w:rPr>
                <w:rFonts w:cstheme="minorHAnsi"/>
                <w:color w:val="2E74B5" w:themeColor="accent1" w:themeShade="BF"/>
                <w:sz w:val="22"/>
                <w:szCs w:val="22"/>
              </w:rPr>
              <w:t xml:space="preserve"> </w:t>
            </w:r>
            <w:r w:rsidRPr="00A37677">
              <w:rPr>
                <w:rFonts w:cstheme="minorHAnsi"/>
                <w:sz w:val="22"/>
                <w:szCs w:val="22"/>
              </w:rPr>
              <w:t xml:space="preserve">section, </w:t>
            </w:r>
            <w:r>
              <w:rPr>
                <w:rFonts w:cstheme="minorHAnsi"/>
                <w:sz w:val="22"/>
                <w:szCs w:val="22"/>
              </w:rPr>
              <w:t>a Provider</w:t>
            </w:r>
            <w:r w:rsidRPr="00A37677">
              <w:rPr>
                <w:rFonts w:cstheme="minorHAnsi"/>
                <w:sz w:val="22"/>
                <w:szCs w:val="22"/>
              </w:rPr>
              <w:t xml:space="preserve"> must: </w:t>
            </w:r>
          </w:p>
          <w:p w14:paraId="230EDD3D" w14:textId="77777777" w:rsidR="00A83E3A" w:rsidRDefault="00A83E3A" w:rsidP="00A83E3A">
            <w:pPr>
              <w:pStyle w:val="tabletext"/>
              <w:numPr>
                <w:ilvl w:val="0"/>
                <w:numId w:val="6"/>
              </w:numPr>
              <w:ind w:left="351" w:hanging="351"/>
              <w:rPr>
                <w:rFonts w:cstheme="minorHAnsi"/>
                <w:sz w:val="22"/>
                <w:szCs w:val="22"/>
              </w:rPr>
            </w:pPr>
            <w:r>
              <w:rPr>
                <w:rFonts w:cstheme="minorHAnsi"/>
                <w:sz w:val="22"/>
                <w:szCs w:val="22"/>
              </w:rPr>
              <w:t xml:space="preserve">enter the </w:t>
            </w:r>
            <w:r w:rsidR="00CC2A84">
              <w:rPr>
                <w:rFonts w:cstheme="minorHAnsi"/>
                <w:sz w:val="22"/>
                <w:szCs w:val="22"/>
              </w:rPr>
              <w:t>name of the training</w:t>
            </w:r>
            <w:r>
              <w:rPr>
                <w:rFonts w:cstheme="minorHAnsi"/>
                <w:sz w:val="22"/>
                <w:szCs w:val="22"/>
              </w:rPr>
              <w:t xml:space="preserve"> in the commitment in the Department’s IT System</w:t>
            </w:r>
          </w:p>
          <w:p w14:paraId="0C4A3BB0" w14:textId="77777777" w:rsidR="00A4152B" w:rsidRPr="00A37677" w:rsidRDefault="00A4152B" w:rsidP="005422AA">
            <w:pPr>
              <w:pStyle w:val="tabletext"/>
              <w:spacing w:before="120"/>
              <w:rPr>
                <w:rFonts w:cstheme="minorHAnsi"/>
                <w:sz w:val="22"/>
                <w:szCs w:val="22"/>
              </w:rPr>
            </w:pPr>
          </w:p>
        </w:tc>
      </w:tr>
      <w:tr w:rsidR="00DA5FC6" w:rsidRPr="00662F9A" w14:paraId="2D567752" w14:textId="77777777" w:rsidTr="00D1112C">
        <w:tc>
          <w:tcPr>
            <w:tcW w:w="2019" w:type="dxa"/>
            <w:vMerge w:val="restart"/>
          </w:tcPr>
          <w:p w14:paraId="4008D662" w14:textId="77777777" w:rsidR="00DA5FC6" w:rsidRDefault="00DA5FC6" w:rsidP="005D1634">
            <w:pPr>
              <w:pStyle w:val="tabletext"/>
              <w:rPr>
                <w:rFonts w:cstheme="minorHAnsi"/>
                <w:b/>
                <w:sz w:val="22"/>
                <w:szCs w:val="22"/>
              </w:rPr>
            </w:pPr>
            <w:r w:rsidRPr="009F211C">
              <w:rPr>
                <w:rFonts w:cstheme="minorHAnsi"/>
                <w:b/>
                <w:sz w:val="22"/>
                <w:szCs w:val="22"/>
              </w:rPr>
              <w:t>Non Vocational Support</w:t>
            </w:r>
          </w:p>
        </w:tc>
        <w:tc>
          <w:tcPr>
            <w:tcW w:w="2835" w:type="dxa"/>
            <w:tcBorders>
              <w:bottom w:val="nil"/>
            </w:tcBorders>
          </w:tcPr>
          <w:p w14:paraId="2E154FFC" w14:textId="77777777" w:rsidR="00DA5FC6" w:rsidRPr="005422AA" w:rsidRDefault="00DA5FC6" w:rsidP="00061667">
            <w:pPr>
              <w:pStyle w:val="tabletext"/>
              <w:rPr>
                <w:rFonts w:ascii="Calibri" w:hAnsi="Calibri" w:cs="Calibri"/>
                <w:sz w:val="22"/>
                <w:szCs w:val="22"/>
              </w:rPr>
            </w:pPr>
            <w:r>
              <w:rPr>
                <w:rFonts w:ascii="Calibri" w:hAnsi="Calibri" w:cs="Calibri"/>
                <w:sz w:val="22"/>
                <w:szCs w:val="22"/>
              </w:rPr>
              <w:t>Food</w:t>
            </w:r>
          </w:p>
        </w:tc>
        <w:tc>
          <w:tcPr>
            <w:tcW w:w="10136" w:type="dxa"/>
            <w:tcBorders>
              <w:bottom w:val="nil"/>
            </w:tcBorders>
          </w:tcPr>
          <w:p w14:paraId="02AA3CFC" w14:textId="77777777" w:rsidR="00DA5FC6" w:rsidRPr="00D1112C" w:rsidRDefault="00DA5FC6" w:rsidP="00061667">
            <w:pPr>
              <w:pStyle w:val="tabletext"/>
              <w:rPr>
                <w:rFonts w:ascii="Calibri" w:hAnsi="Calibri" w:cs="Calibri"/>
                <w:sz w:val="22"/>
                <w:szCs w:val="22"/>
              </w:rPr>
            </w:pPr>
            <w:r>
              <w:rPr>
                <w:rFonts w:ascii="Calibri" w:hAnsi="Calibri" w:cs="Calibri"/>
                <w:sz w:val="22"/>
                <w:szCs w:val="22"/>
              </w:rPr>
              <w:t xml:space="preserve">Providers may use this sub category for the </w:t>
            </w:r>
            <w:r w:rsidRPr="005422AA">
              <w:rPr>
                <w:rFonts w:ascii="Calibri" w:hAnsi="Calibri" w:cs="Calibri"/>
                <w:sz w:val="22"/>
                <w:szCs w:val="22"/>
              </w:rPr>
              <w:t xml:space="preserve">purchase of food vouchers and </w:t>
            </w:r>
            <w:r>
              <w:rPr>
                <w:rFonts w:ascii="Calibri" w:hAnsi="Calibri" w:cs="Calibri"/>
                <w:sz w:val="22"/>
                <w:szCs w:val="22"/>
              </w:rPr>
              <w:t xml:space="preserve">the </w:t>
            </w:r>
            <w:r w:rsidRPr="005422AA">
              <w:rPr>
                <w:rFonts w:ascii="Calibri" w:hAnsi="Calibri" w:cs="Calibri"/>
                <w:sz w:val="22"/>
                <w:szCs w:val="22"/>
              </w:rPr>
              <w:t xml:space="preserve">Reimbursement of </w:t>
            </w:r>
            <w:r>
              <w:rPr>
                <w:rFonts w:ascii="Calibri" w:hAnsi="Calibri" w:cs="Calibri"/>
                <w:sz w:val="22"/>
                <w:szCs w:val="22"/>
              </w:rPr>
              <w:t xml:space="preserve">food </w:t>
            </w:r>
            <w:r w:rsidRPr="005422AA">
              <w:rPr>
                <w:rFonts w:ascii="Calibri" w:hAnsi="Calibri" w:cs="Calibri"/>
                <w:sz w:val="22"/>
                <w:szCs w:val="22"/>
              </w:rPr>
              <w:t>purchases.</w:t>
            </w:r>
          </w:p>
        </w:tc>
        <w:tc>
          <w:tcPr>
            <w:tcW w:w="6247" w:type="dxa"/>
            <w:vMerge w:val="restart"/>
          </w:tcPr>
          <w:p w14:paraId="57F23922" w14:textId="77777777" w:rsidR="00E46A3C" w:rsidRPr="00A37677" w:rsidRDefault="00E46A3C" w:rsidP="00E46A3C">
            <w:pPr>
              <w:pStyle w:val="tabletext"/>
              <w:rPr>
                <w:rFonts w:cstheme="minorHAnsi"/>
                <w:sz w:val="22"/>
                <w:szCs w:val="22"/>
              </w:rPr>
            </w:pPr>
            <w:r w:rsidRPr="00A37677">
              <w:rPr>
                <w:rFonts w:cstheme="minorHAnsi"/>
                <w:sz w:val="22"/>
                <w:szCs w:val="22"/>
              </w:rPr>
              <w:t xml:space="preserve">In addition to the Documentary Evidence requirements for all purchases detailed in the </w:t>
            </w:r>
            <w:hyperlink w:anchor="_Summary_of_required" w:history="1">
              <w:r w:rsidRPr="002F45B8">
                <w:rPr>
                  <w:rStyle w:val="Hyperlink"/>
                  <w:sz w:val="22"/>
                  <w:szCs w:val="22"/>
                </w:rPr>
                <w:t>Summary of required Documentary Evidence</w:t>
              </w:r>
            </w:hyperlink>
            <w:r w:rsidRPr="00A37677">
              <w:rPr>
                <w:rFonts w:cstheme="minorHAnsi"/>
                <w:color w:val="2E74B5" w:themeColor="accent1" w:themeShade="BF"/>
                <w:sz w:val="22"/>
                <w:szCs w:val="22"/>
              </w:rPr>
              <w:t xml:space="preserve"> </w:t>
            </w:r>
            <w:r w:rsidRPr="00A37677">
              <w:rPr>
                <w:rFonts w:cstheme="minorHAnsi"/>
                <w:sz w:val="22"/>
                <w:szCs w:val="22"/>
              </w:rPr>
              <w:t xml:space="preserve">section, </w:t>
            </w:r>
            <w:r>
              <w:rPr>
                <w:rFonts w:cstheme="minorHAnsi"/>
                <w:sz w:val="22"/>
                <w:szCs w:val="22"/>
              </w:rPr>
              <w:t>a Provider</w:t>
            </w:r>
            <w:r w:rsidRPr="00A37677">
              <w:rPr>
                <w:rFonts w:cstheme="minorHAnsi"/>
                <w:sz w:val="22"/>
                <w:szCs w:val="22"/>
              </w:rPr>
              <w:t xml:space="preserve"> must: </w:t>
            </w:r>
          </w:p>
          <w:p w14:paraId="02869FEE" w14:textId="77777777" w:rsidR="00CA574E" w:rsidRPr="00A37677" w:rsidRDefault="00D06AC7" w:rsidP="00D06AC7">
            <w:pPr>
              <w:pStyle w:val="tabletext"/>
              <w:numPr>
                <w:ilvl w:val="0"/>
                <w:numId w:val="6"/>
              </w:numPr>
              <w:ind w:left="351" w:hanging="351"/>
              <w:rPr>
                <w:rFonts w:cstheme="minorHAnsi"/>
                <w:sz w:val="22"/>
                <w:szCs w:val="22"/>
              </w:rPr>
            </w:pPr>
            <w:r>
              <w:rPr>
                <w:rFonts w:cstheme="minorHAnsi"/>
                <w:sz w:val="22"/>
                <w:szCs w:val="22"/>
              </w:rPr>
              <w:t>f</w:t>
            </w:r>
            <w:r w:rsidR="00CA574E">
              <w:rPr>
                <w:rFonts w:cstheme="minorHAnsi"/>
                <w:sz w:val="22"/>
                <w:szCs w:val="22"/>
              </w:rPr>
              <w:t>or the Other support sub category</w:t>
            </w:r>
            <w:r w:rsidR="00CA574E" w:rsidRPr="00A37677">
              <w:rPr>
                <w:rFonts w:cstheme="minorHAnsi"/>
                <w:sz w:val="22"/>
                <w:szCs w:val="22"/>
              </w:rPr>
              <w:t xml:space="preserve"> </w:t>
            </w:r>
          </w:p>
          <w:p w14:paraId="01B21806" w14:textId="77777777" w:rsidR="00CA574E" w:rsidRPr="00214801" w:rsidRDefault="00CA574E" w:rsidP="00D06AC7">
            <w:pPr>
              <w:pStyle w:val="tabletext"/>
              <w:numPr>
                <w:ilvl w:val="1"/>
                <w:numId w:val="6"/>
              </w:numPr>
              <w:ind w:left="600" w:hanging="284"/>
              <w:rPr>
                <w:rFonts w:cstheme="minorHAnsi"/>
                <w:sz w:val="22"/>
                <w:szCs w:val="22"/>
              </w:rPr>
            </w:pPr>
            <w:r>
              <w:rPr>
                <w:rFonts w:cstheme="minorHAnsi"/>
                <w:sz w:val="22"/>
                <w:szCs w:val="22"/>
              </w:rPr>
              <w:t>enter a comment in the commitment in the Department’s IT System, outlining the purchase.</w:t>
            </w:r>
          </w:p>
          <w:p w14:paraId="28505841" w14:textId="19066160" w:rsidR="00DA5FC6" w:rsidRPr="00A37677" w:rsidRDefault="00DA5FC6" w:rsidP="00EB6BA2">
            <w:pPr>
              <w:pStyle w:val="tabletext"/>
              <w:spacing w:before="120"/>
              <w:rPr>
                <w:rFonts w:cstheme="minorHAnsi"/>
                <w:sz w:val="22"/>
                <w:szCs w:val="22"/>
              </w:rPr>
            </w:pPr>
            <w:r w:rsidRPr="00DA5FC6">
              <w:rPr>
                <w:rFonts w:cstheme="minorHAnsi"/>
                <w:sz w:val="22"/>
                <w:szCs w:val="22"/>
              </w:rPr>
              <w:t xml:space="preserve">Refer to the </w:t>
            </w:r>
            <w:hyperlink r:id="rId39" w:history="1">
              <w:r w:rsidR="00EB6BA2">
                <w:rPr>
                  <w:rStyle w:val="Hyperlink"/>
                  <w:sz w:val="22"/>
                  <w:szCs w:val="22"/>
                </w:rPr>
                <w:t>New Employment Services Trial Employment Fund General Account IT Supporting Document</w:t>
              </w:r>
            </w:hyperlink>
            <w:r w:rsidR="00333793">
              <w:rPr>
                <w:sz w:val="22"/>
                <w:szCs w:val="22"/>
              </w:rPr>
              <w:t xml:space="preserve"> </w:t>
            </w:r>
            <w:r w:rsidRPr="00DA5FC6">
              <w:rPr>
                <w:rFonts w:cstheme="minorHAnsi"/>
                <w:sz w:val="22"/>
                <w:szCs w:val="22"/>
              </w:rPr>
              <w:t xml:space="preserve">for further guidance on creating </w:t>
            </w:r>
            <w:r w:rsidR="00F24B15">
              <w:rPr>
                <w:rFonts w:cstheme="minorHAnsi"/>
                <w:sz w:val="22"/>
                <w:szCs w:val="22"/>
              </w:rPr>
              <w:t xml:space="preserve">Non-Vocational Support </w:t>
            </w:r>
            <w:r w:rsidRPr="00DA5FC6">
              <w:rPr>
                <w:rFonts w:cstheme="minorHAnsi"/>
                <w:sz w:val="22"/>
                <w:szCs w:val="22"/>
              </w:rPr>
              <w:t>commitments in the Department’s IT System.</w:t>
            </w:r>
          </w:p>
        </w:tc>
      </w:tr>
      <w:tr w:rsidR="00DA5FC6" w:rsidRPr="00662F9A" w14:paraId="1666F437" w14:textId="77777777" w:rsidTr="00D1112C">
        <w:tc>
          <w:tcPr>
            <w:tcW w:w="2019" w:type="dxa"/>
            <w:vMerge/>
          </w:tcPr>
          <w:p w14:paraId="692C6272" w14:textId="77777777" w:rsidR="00DA5FC6" w:rsidRPr="009F211C" w:rsidRDefault="00DA5FC6" w:rsidP="00061667">
            <w:pPr>
              <w:pStyle w:val="tabletext"/>
              <w:rPr>
                <w:rFonts w:cstheme="minorHAnsi"/>
                <w:b/>
                <w:sz w:val="22"/>
                <w:szCs w:val="22"/>
              </w:rPr>
            </w:pPr>
          </w:p>
        </w:tc>
        <w:tc>
          <w:tcPr>
            <w:tcW w:w="2835" w:type="dxa"/>
            <w:tcBorders>
              <w:top w:val="nil"/>
              <w:bottom w:val="nil"/>
            </w:tcBorders>
          </w:tcPr>
          <w:p w14:paraId="66C9B190" w14:textId="77777777" w:rsidR="00DA5FC6" w:rsidRPr="005422AA" w:rsidRDefault="00DA5FC6" w:rsidP="00777D25">
            <w:pPr>
              <w:pStyle w:val="tabletext"/>
              <w:spacing w:before="120"/>
              <w:rPr>
                <w:rFonts w:ascii="Calibri" w:hAnsi="Calibri" w:cs="Calibri"/>
                <w:sz w:val="22"/>
                <w:szCs w:val="22"/>
              </w:rPr>
            </w:pPr>
            <w:r>
              <w:rPr>
                <w:rFonts w:ascii="Calibri" w:hAnsi="Calibri" w:cs="Calibri"/>
                <w:sz w:val="22"/>
                <w:szCs w:val="22"/>
              </w:rPr>
              <w:t>Medical expenses</w:t>
            </w:r>
          </w:p>
        </w:tc>
        <w:tc>
          <w:tcPr>
            <w:tcW w:w="10136" w:type="dxa"/>
            <w:tcBorders>
              <w:top w:val="nil"/>
              <w:bottom w:val="nil"/>
            </w:tcBorders>
          </w:tcPr>
          <w:p w14:paraId="62ADCEB5" w14:textId="77777777" w:rsidR="00DA5FC6" w:rsidRDefault="00DA5FC6" w:rsidP="00777D25">
            <w:pPr>
              <w:pStyle w:val="tabletext"/>
              <w:spacing w:before="120"/>
              <w:rPr>
                <w:rFonts w:ascii="Calibri" w:hAnsi="Calibri" w:cs="Calibri"/>
                <w:sz w:val="22"/>
                <w:szCs w:val="22"/>
              </w:rPr>
            </w:pPr>
            <w:r>
              <w:rPr>
                <w:rFonts w:ascii="Calibri" w:hAnsi="Calibri" w:cs="Calibri"/>
                <w:sz w:val="22"/>
                <w:szCs w:val="22"/>
              </w:rPr>
              <w:t xml:space="preserve">Providers may use this sub category for the </w:t>
            </w:r>
            <w:r w:rsidRPr="005422AA">
              <w:rPr>
                <w:rFonts w:ascii="Calibri" w:hAnsi="Calibri" w:cs="Calibri"/>
                <w:sz w:val="22"/>
                <w:szCs w:val="22"/>
              </w:rPr>
              <w:t xml:space="preserve">medical and health related expenses if health issues are inhibiting a </w:t>
            </w:r>
            <w:r w:rsidR="005D0DAA">
              <w:rPr>
                <w:rFonts w:ascii="Calibri" w:hAnsi="Calibri" w:cs="Calibri"/>
                <w:sz w:val="22"/>
                <w:szCs w:val="22"/>
              </w:rPr>
              <w:t>Participant</w:t>
            </w:r>
            <w:r w:rsidRPr="005422AA">
              <w:rPr>
                <w:rFonts w:ascii="Calibri" w:hAnsi="Calibri" w:cs="Calibri"/>
                <w:sz w:val="22"/>
                <w:szCs w:val="22"/>
              </w:rPr>
              <w:t>’s capacity to find and keep a job.</w:t>
            </w:r>
          </w:p>
          <w:p w14:paraId="40DFD716" w14:textId="77777777" w:rsidR="00DA5FC6" w:rsidRDefault="00DA5FC6" w:rsidP="00061667">
            <w:pPr>
              <w:pStyle w:val="tabletext"/>
              <w:spacing w:before="120"/>
              <w:rPr>
                <w:rFonts w:cstheme="minorHAnsi"/>
                <w:sz w:val="22"/>
                <w:szCs w:val="22"/>
              </w:rPr>
            </w:pPr>
            <w:r>
              <w:rPr>
                <w:rFonts w:cstheme="minorHAnsi"/>
                <w:sz w:val="22"/>
                <w:szCs w:val="22"/>
              </w:rPr>
              <w:t xml:space="preserve">If </w:t>
            </w:r>
            <w:r w:rsidRPr="00662F9A">
              <w:rPr>
                <w:rFonts w:cstheme="minorHAnsi"/>
                <w:sz w:val="22"/>
                <w:szCs w:val="22"/>
              </w:rPr>
              <w:t xml:space="preserve">a medical </w:t>
            </w:r>
            <w:r>
              <w:rPr>
                <w:rFonts w:cstheme="minorHAnsi"/>
                <w:sz w:val="22"/>
                <w:szCs w:val="22"/>
              </w:rPr>
              <w:t>expense</w:t>
            </w:r>
            <w:r w:rsidRPr="00662F9A">
              <w:rPr>
                <w:rFonts w:cstheme="minorHAnsi"/>
                <w:sz w:val="22"/>
                <w:szCs w:val="22"/>
              </w:rPr>
              <w:t xml:space="preserve"> is not bulk-billed</w:t>
            </w:r>
            <w:r>
              <w:rPr>
                <w:rFonts w:cstheme="minorHAnsi"/>
                <w:sz w:val="22"/>
                <w:szCs w:val="22"/>
              </w:rPr>
              <w:t xml:space="preserve"> or offered as a free services (e.g. through an Aboriginal Medical Service)</w:t>
            </w:r>
            <w:r w:rsidRPr="00662F9A">
              <w:rPr>
                <w:rFonts w:cstheme="minorHAnsi"/>
                <w:sz w:val="22"/>
                <w:szCs w:val="22"/>
              </w:rPr>
              <w:t xml:space="preserve">, </w:t>
            </w:r>
            <w:r>
              <w:rPr>
                <w:rFonts w:cstheme="minorHAnsi"/>
                <w:sz w:val="22"/>
                <w:szCs w:val="22"/>
              </w:rPr>
              <w:t>a Provider</w:t>
            </w:r>
            <w:r w:rsidRPr="00662F9A">
              <w:rPr>
                <w:rFonts w:cstheme="minorHAnsi"/>
                <w:sz w:val="22"/>
                <w:szCs w:val="22"/>
              </w:rPr>
              <w:t xml:space="preserve"> can</w:t>
            </w:r>
            <w:r>
              <w:rPr>
                <w:rFonts w:cstheme="minorHAnsi"/>
                <w:sz w:val="22"/>
                <w:szCs w:val="22"/>
              </w:rPr>
              <w:t xml:space="preserve"> claim</w:t>
            </w:r>
            <w:r w:rsidRPr="00662F9A">
              <w:rPr>
                <w:rFonts w:cstheme="minorHAnsi"/>
                <w:sz w:val="22"/>
                <w:szCs w:val="22"/>
              </w:rPr>
              <w:t xml:space="preserve"> Reimbursement for the out-of-pocket expenses not covered by Medicare</w:t>
            </w:r>
            <w:r>
              <w:rPr>
                <w:rFonts w:cstheme="minorHAnsi"/>
                <w:sz w:val="22"/>
                <w:szCs w:val="22"/>
              </w:rPr>
              <w:t>,</w:t>
            </w:r>
            <w:r w:rsidRPr="00662F9A">
              <w:rPr>
                <w:rFonts w:cstheme="minorHAnsi"/>
                <w:sz w:val="22"/>
                <w:szCs w:val="22"/>
              </w:rPr>
              <w:t xml:space="preserve"> private health insurance</w:t>
            </w:r>
            <w:r>
              <w:rPr>
                <w:rFonts w:cstheme="minorHAnsi"/>
                <w:sz w:val="22"/>
                <w:szCs w:val="22"/>
              </w:rPr>
              <w:t>, other subsidies or programs</w:t>
            </w:r>
            <w:r w:rsidRPr="00662F9A">
              <w:rPr>
                <w:rFonts w:cstheme="minorHAnsi"/>
                <w:sz w:val="22"/>
                <w:szCs w:val="22"/>
              </w:rPr>
              <w:t>.</w:t>
            </w:r>
            <w:r>
              <w:rPr>
                <w:rFonts w:cstheme="minorHAnsi"/>
                <w:sz w:val="22"/>
                <w:szCs w:val="22"/>
              </w:rPr>
              <w:t xml:space="preserve"> Out-of-pocket expenses that can be claimed include:</w:t>
            </w:r>
          </w:p>
          <w:p w14:paraId="664B3EF5" w14:textId="77777777" w:rsidR="00DA5FC6" w:rsidRDefault="00DA5FC6" w:rsidP="00061667">
            <w:pPr>
              <w:pStyle w:val="tabletext"/>
              <w:numPr>
                <w:ilvl w:val="0"/>
                <w:numId w:val="6"/>
              </w:numPr>
              <w:ind w:left="351" w:hanging="351"/>
              <w:rPr>
                <w:rFonts w:cstheme="minorHAnsi"/>
                <w:sz w:val="22"/>
                <w:szCs w:val="22"/>
              </w:rPr>
            </w:pPr>
            <w:r>
              <w:rPr>
                <w:rFonts w:cstheme="minorHAnsi"/>
                <w:sz w:val="22"/>
                <w:szCs w:val="22"/>
              </w:rPr>
              <w:t>medical consultations, including Medicare Health Assessment for Aboriginal and Torres Strait Islander People</w:t>
            </w:r>
          </w:p>
          <w:p w14:paraId="6FBB2048" w14:textId="77777777" w:rsidR="00DA5FC6" w:rsidRDefault="00DA5FC6" w:rsidP="00061667">
            <w:pPr>
              <w:pStyle w:val="tabletext"/>
              <w:numPr>
                <w:ilvl w:val="0"/>
                <w:numId w:val="6"/>
              </w:numPr>
              <w:ind w:left="351" w:hanging="351"/>
              <w:rPr>
                <w:rFonts w:cstheme="minorHAnsi"/>
                <w:sz w:val="22"/>
                <w:szCs w:val="22"/>
              </w:rPr>
            </w:pPr>
            <w:r>
              <w:rPr>
                <w:rFonts w:cstheme="minorHAnsi"/>
                <w:sz w:val="22"/>
                <w:szCs w:val="22"/>
              </w:rPr>
              <w:t>p</w:t>
            </w:r>
            <w:r w:rsidRPr="0072759A">
              <w:rPr>
                <w:rFonts w:cstheme="minorHAnsi"/>
                <w:sz w:val="22"/>
                <w:szCs w:val="22"/>
              </w:rPr>
              <w:t xml:space="preserve">rescribed medicines and medical aids as directed by a medical professional </w:t>
            </w:r>
          </w:p>
          <w:p w14:paraId="78D25DD8" w14:textId="77777777" w:rsidR="00DA5FC6" w:rsidRDefault="00DA5FC6" w:rsidP="00061667">
            <w:pPr>
              <w:pStyle w:val="tabletext"/>
              <w:numPr>
                <w:ilvl w:val="0"/>
                <w:numId w:val="6"/>
              </w:numPr>
              <w:ind w:left="351" w:hanging="351"/>
              <w:rPr>
                <w:rFonts w:cstheme="minorHAnsi"/>
                <w:sz w:val="22"/>
                <w:szCs w:val="22"/>
              </w:rPr>
            </w:pPr>
            <w:r>
              <w:rPr>
                <w:rFonts w:cstheme="minorHAnsi"/>
                <w:sz w:val="22"/>
                <w:szCs w:val="22"/>
              </w:rPr>
              <w:t xml:space="preserve">dental and optical care </w:t>
            </w:r>
          </w:p>
          <w:p w14:paraId="396712B1" w14:textId="77777777" w:rsidR="00DA5FC6" w:rsidRDefault="00DA5FC6" w:rsidP="00D96629">
            <w:pPr>
              <w:pStyle w:val="tabletext"/>
              <w:numPr>
                <w:ilvl w:val="0"/>
                <w:numId w:val="6"/>
              </w:numPr>
              <w:ind w:left="351" w:hanging="351"/>
              <w:rPr>
                <w:rFonts w:cstheme="minorHAnsi"/>
                <w:sz w:val="22"/>
                <w:szCs w:val="22"/>
              </w:rPr>
            </w:pPr>
            <w:r>
              <w:rPr>
                <w:rFonts w:cstheme="minorHAnsi"/>
                <w:sz w:val="22"/>
                <w:szCs w:val="22"/>
              </w:rPr>
              <w:t>ear health and hearing services (e.g. hearing checks and fitting hearing aids)</w:t>
            </w:r>
          </w:p>
          <w:p w14:paraId="4244E771" w14:textId="77777777" w:rsidR="00DA5FC6" w:rsidRDefault="00DA5FC6" w:rsidP="00C641C8">
            <w:pPr>
              <w:pStyle w:val="tabletext"/>
              <w:numPr>
                <w:ilvl w:val="0"/>
                <w:numId w:val="6"/>
              </w:numPr>
              <w:ind w:left="351" w:hanging="351"/>
              <w:rPr>
                <w:rFonts w:cstheme="minorHAnsi"/>
                <w:sz w:val="22"/>
                <w:szCs w:val="22"/>
              </w:rPr>
            </w:pPr>
            <w:r>
              <w:rPr>
                <w:rFonts w:cstheme="minorHAnsi"/>
                <w:sz w:val="22"/>
                <w:szCs w:val="22"/>
              </w:rPr>
              <w:t xml:space="preserve">the detection and management of chronic diseases (e.g. blood tests and scans) </w:t>
            </w:r>
          </w:p>
          <w:p w14:paraId="686FBD67" w14:textId="77777777" w:rsidR="00DA5FC6" w:rsidRDefault="00DA5FC6" w:rsidP="00C641C8">
            <w:pPr>
              <w:pStyle w:val="tabletext"/>
              <w:numPr>
                <w:ilvl w:val="0"/>
                <w:numId w:val="6"/>
              </w:numPr>
              <w:ind w:left="351" w:hanging="351"/>
              <w:rPr>
                <w:rFonts w:cstheme="minorHAnsi"/>
                <w:sz w:val="22"/>
                <w:szCs w:val="22"/>
              </w:rPr>
            </w:pPr>
            <w:r>
              <w:rPr>
                <w:rFonts w:cstheme="minorHAnsi"/>
                <w:sz w:val="22"/>
                <w:szCs w:val="22"/>
              </w:rPr>
              <w:t>addressing health risk factors, such as poor diet and nutrition. For example, support:</w:t>
            </w:r>
          </w:p>
          <w:p w14:paraId="21C21314" w14:textId="77777777" w:rsidR="00DA5FC6" w:rsidRDefault="00DA5FC6" w:rsidP="00C641C8">
            <w:pPr>
              <w:pStyle w:val="tabletext"/>
              <w:numPr>
                <w:ilvl w:val="1"/>
                <w:numId w:val="6"/>
              </w:numPr>
              <w:ind w:left="600" w:hanging="284"/>
              <w:rPr>
                <w:rFonts w:cstheme="minorHAnsi"/>
                <w:sz w:val="22"/>
                <w:szCs w:val="22"/>
              </w:rPr>
            </w:pPr>
            <w:r>
              <w:rPr>
                <w:rFonts w:cstheme="minorHAnsi"/>
                <w:sz w:val="22"/>
                <w:szCs w:val="22"/>
              </w:rPr>
              <w:t>to improve diet through dieticians or dietary programs, and</w:t>
            </w:r>
          </w:p>
          <w:p w14:paraId="2D62A701" w14:textId="77777777" w:rsidR="00DA5FC6" w:rsidRPr="003A01EB" w:rsidRDefault="00DA5FC6" w:rsidP="00DA5FC6">
            <w:pPr>
              <w:pStyle w:val="tabletext"/>
              <w:numPr>
                <w:ilvl w:val="1"/>
                <w:numId w:val="6"/>
              </w:numPr>
              <w:ind w:left="600" w:hanging="284"/>
              <w:rPr>
                <w:rFonts w:cstheme="minorHAnsi"/>
                <w:sz w:val="22"/>
                <w:szCs w:val="22"/>
              </w:rPr>
            </w:pPr>
            <w:r>
              <w:rPr>
                <w:rFonts w:cstheme="minorHAnsi"/>
                <w:sz w:val="22"/>
                <w:szCs w:val="22"/>
              </w:rPr>
              <w:t xml:space="preserve">to improve fitness through participation in </w:t>
            </w:r>
            <w:r w:rsidRPr="00BC7483">
              <w:rPr>
                <w:rFonts w:cstheme="minorHAnsi"/>
                <w:sz w:val="22"/>
                <w:szCs w:val="22"/>
              </w:rPr>
              <w:t>boot camps or targeted health programs as recommended by a medical professional, Employer or a Provider.</w:t>
            </w:r>
          </w:p>
          <w:p w14:paraId="3CADA8CE" w14:textId="24D2608A" w:rsidR="00DA5FC6" w:rsidRDefault="00DA5FC6" w:rsidP="00061667">
            <w:pPr>
              <w:pStyle w:val="tabletext"/>
              <w:spacing w:before="120"/>
              <w:rPr>
                <w:rFonts w:cstheme="minorHAnsi"/>
                <w:sz w:val="22"/>
                <w:szCs w:val="22"/>
              </w:rPr>
            </w:pPr>
            <w:r>
              <w:rPr>
                <w:rFonts w:cstheme="minorHAnsi"/>
                <w:sz w:val="22"/>
                <w:szCs w:val="22"/>
              </w:rPr>
              <w:t>If</w:t>
            </w:r>
            <w:r w:rsidRPr="00662F9A">
              <w:rPr>
                <w:rFonts w:cstheme="minorHAnsi"/>
                <w:sz w:val="22"/>
                <w:szCs w:val="22"/>
              </w:rPr>
              <w:t xml:space="preserve"> a </w:t>
            </w:r>
            <w:r w:rsidR="005D0DAA">
              <w:rPr>
                <w:rFonts w:cstheme="minorHAnsi"/>
                <w:sz w:val="22"/>
                <w:szCs w:val="22"/>
              </w:rPr>
              <w:t>Participant</w:t>
            </w:r>
            <w:r w:rsidRPr="00662F9A">
              <w:rPr>
                <w:rFonts w:cstheme="minorHAnsi"/>
                <w:sz w:val="22"/>
                <w:szCs w:val="22"/>
              </w:rPr>
              <w:t xml:space="preserve"> has lodged a claim through the Department’s Personal Accident Insurance policy, </w:t>
            </w:r>
            <w:r>
              <w:rPr>
                <w:rFonts w:cstheme="minorHAnsi"/>
                <w:sz w:val="22"/>
                <w:szCs w:val="22"/>
              </w:rPr>
              <w:t xml:space="preserve">Providers must meet </w:t>
            </w:r>
            <w:r w:rsidRPr="00662F9A">
              <w:rPr>
                <w:rFonts w:cstheme="minorHAnsi"/>
                <w:sz w:val="22"/>
                <w:szCs w:val="22"/>
              </w:rPr>
              <w:t xml:space="preserve">additional requirements for claiming Reimbursement for medical and out-of-pocket expenses. </w:t>
            </w:r>
            <w:r w:rsidR="004E3BCE">
              <w:rPr>
                <w:rFonts w:cstheme="minorHAnsi"/>
                <w:sz w:val="22"/>
                <w:szCs w:val="22"/>
              </w:rPr>
              <w:t>T</w:t>
            </w:r>
            <w:r w:rsidRPr="00662F9A">
              <w:rPr>
                <w:rFonts w:cstheme="minorHAnsi"/>
                <w:sz w:val="22"/>
                <w:szCs w:val="22"/>
              </w:rPr>
              <w:t xml:space="preserve">he </w:t>
            </w:r>
            <w:hyperlink r:id="rId40" w:history="1">
              <w:r w:rsidRPr="00662F9A">
                <w:rPr>
                  <w:rStyle w:val="Hyperlink"/>
                  <w:rFonts w:cstheme="minorHAnsi"/>
                  <w:sz w:val="22"/>
                  <w:szCs w:val="22"/>
                </w:rPr>
                <w:t>Insurance Readers Guide</w:t>
              </w:r>
            </w:hyperlink>
            <w:r w:rsidR="004E3BCE">
              <w:rPr>
                <w:rFonts w:cstheme="minorHAnsi"/>
                <w:sz w:val="22"/>
                <w:szCs w:val="22"/>
              </w:rPr>
              <w:t xml:space="preserve"> details this information</w:t>
            </w:r>
          </w:p>
          <w:p w14:paraId="6D31BFB3" w14:textId="77777777" w:rsidR="00DA5FC6" w:rsidRDefault="004E3BCE" w:rsidP="00777D25">
            <w:pPr>
              <w:pStyle w:val="tabletext"/>
              <w:spacing w:before="120"/>
              <w:rPr>
                <w:rFonts w:cstheme="minorHAnsi"/>
                <w:sz w:val="22"/>
                <w:szCs w:val="22"/>
              </w:rPr>
            </w:pPr>
            <w:r>
              <w:rPr>
                <w:rFonts w:cstheme="minorHAnsi"/>
                <w:sz w:val="22"/>
                <w:szCs w:val="22"/>
              </w:rPr>
              <w:lastRenderedPageBreak/>
              <w:t>Providers must record p</w:t>
            </w:r>
            <w:r w:rsidR="00DA5FC6" w:rsidRPr="00662F9A">
              <w:rPr>
                <w:rFonts w:cstheme="minorHAnsi"/>
                <w:sz w:val="22"/>
                <w:szCs w:val="22"/>
              </w:rPr>
              <w:t>re-employment medical checks</w:t>
            </w:r>
            <w:r w:rsidR="00DA5FC6">
              <w:rPr>
                <w:rFonts w:cstheme="minorHAnsi"/>
                <w:sz w:val="22"/>
                <w:szCs w:val="22"/>
              </w:rPr>
              <w:t xml:space="preserve"> against the W</w:t>
            </w:r>
            <w:r w:rsidR="00DA5FC6" w:rsidRPr="00662F9A">
              <w:rPr>
                <w:rFonts w:cstheme="minorHAnsi"/>
                <w:sz w:val="22"/>
                <w:szCs w:val="22"/>
              </w:rPr>
              <w:t>ork-</w:t>
            </w:r>
            <w:r>
              <w:rPr>
                <w:rFonts w:cstheme="minorHAnsi"/>
                <w:sz w:val="22"/>
                <w:szCs w:val="22"/>
              </w:rPr>
              <w:t>Related I</w:t>
            </w:r>
            <w:r w:rsidR="00DA5FC6" w:rsidRPr="00662F9A">
              <w:rPr>
                <w:rFonts w:cstheme="minorHAnsi"/>
                <w:sz w:val="22"/>
                <w:szCs w:val="22"/>
              </w:rPr>
              <w:t>tems category</w:t>
            </w:r>
            <w:r w:rsidR="00DA5FC6">
              <w:rPr>
                <w:rFonts w:cstheme="minorHAnsi"/>
                <w:sz w:val="22"/>
                <w:szCs w:val="22"/>
              </w:rPr>
              <w:t xml:space="preserve">. </w:t>
            </w:r>
          </w:p>
          <w:p w14:paraId="28942034" w14:textId="77777777" w:rsidR="00DA5FC6" w:rsidRPr="005422AA" w:rsidRDefault="004E3BCE" w:rsidP="00777D25">
            <w:pPr>
              <w:pStyle w:val="tabletext"/>
              <w:spacing w:before="120"/>
              <w:rPr>
                <w:rFonts w:ascii="Calibri" w:hAnsi="Calibri" w:cs="Calibri"/>
                <w:sz w:val="22"/>
                <w:szCs w:val="22"/>
              </w:rPr>
            </w:pPr>
            <w:r>
              <w:rPr>
                <w:rFonts w:cstheme="minorHAnsi"/>
                <w:sz w:val="22"/>
                <w:szCs w:val="22"/>
              </w:rPr>
              <w:t>T</w:t>
            </w:r>
            <w:r w:rsidR="00DA5FC6" w:rsidRPr="00662F9A">
              <w:rPr>
                <w:rFonts w:cstheme="minorHAnsi"/>
                <w:sz w:val="22"/>
                <w:szCs w:val="22"/>
              </w:rPr>
              <w:t>he</w:t>
            </w:r>
            <w:r w:rsidR="00DA5FC6">
              <w:rPr>
                <w:rFonts w:cstheme="minorHAnsi"/>
                <w:sz w:val="22"/>
                <w:szCs w:val="22"/>
              </w:rPr>
              <w:t xml:space="preserve"> </w:t>
            </w:r>
            <w:hyperlink w:anchor="_Determining_what_is" w:history="1">
              <w:r w:rsidR="00DA5FC6" w:rsidRPr="00627EE1">
                <w:rPr>
                  <w:rStyle w:val="Hyperlink"/>
                  <w:rFonts w:cstheme="minorHAnsi"/>
                  <w:sz w:val="22"/>
                  <w:szCs w:val="22"/>
                </w:rPr>
                <w:t>Determining what is a Prohibited Purchase</w:t>
              </w:r>
            </w:hyperlink>
            <w:r w:rsidR="00DA5FC6">
              <w:rPr>
                <w:rFonts w:cstheme="minorHAnsi"/>
                <w:sz w:val="22"/>
                <w:szCs w:val="22"/>
              </w:rPr>
              <w:t xml:space="preserve"> </w:t>
            </w:r>
            <w:r w:rsidR="00DA5FC6" w:rsidRPr="00662F9A">
              <w:rPr>
                <w:rFonts w:cstheme="minorHAnsi"/>
                <w:sz w:val="22"/>
                <w:szCs w:val="22"/>
              </w:rPr>
              <w:t>section</w:t>
            </w:r>
            <w:r>
              <w:rPr>
                <w:rFonts w:cstheme="minorHAnsi"/>
                <w:sz w:val="22"/>
                <w:szCs w:val="22"/>
              </w:rPr>
              <w:t xml:space="preserve"> lists the exceptions to the use of this category</w:t>
            </w:r>
            <w:r w:rsidR="00DA5FC6">
              <w:rPr>
                <w:rFonts w:cstheme="minorHAnsi"/>
                <w:sz w:val="22"/>
                <w:szCs w:val="22"/>
              </w:rPr>
              <w:t>.</w:t>
            </w:r>
            <w:r w:rsidR="00DA5FC6" w:rsidRPr="00662F9A">
              <w:rPr>
                <w:rFonts w:cstheme="minorHAnsi"/>
                <w:sz w:val="22"/>
                <w:szCs w:val="22"/>
              </w:rPr>
              <w:t xml:space="preserve"> </w:t>
            </w:r>
          </w:p>
        </w:tc>
        <w:tc>
          <w:tcPr>
            <w:tcW w:w="6247" w:type="dxa"/>
            <w:vMerge/>
          </w:tcPr>
          <w:p w14:paraId="55A42D33" w14:textId="77777777" w:rsidR="00DA5FC6" w:rsidRPr="00A37677" w:rsidRDefault="00DA5FC6" w:rsidP="00061667">
            <w:pPr>
              <w:pStyle w:val="tabletext"/>
              <w:rPr>
                <w:rFonts w:cstheme="minorHAnsi"/>
                <w:sz w:val="22"/>
                <w:szCs w:val="22"/>
              </w:rPr>
            </w:pPr>
          </w:p>
        </w:tc>
      </w:tr>
      <w:tr w:rsidR="00DA5FC6" w:rsidRPr="00662F9A" w14:paraId="2FD31EB5" w14:textId="77777777" w:rsidTr="00D1112C">
        <w:tc>
          <w:tcPr>
            <w:tcW w:w="2019" w:type="dxa"/>
            <w:vMerge/>
          </w:tcPr>
          <w:p w14:paraId="06B3B109" w14:textId="77777777" w:rsidR="00DA5FC6" w:rsidRPr="009F211C" w:rsidRDefault="00DA5FC6">
            <w:pPr>
              <w:pStyle w:val="tabletext"/>
              <w:rPr>
                <w:rFonts w:cstheme="minorHAnsi"/>
                <w:b/>
                <w:sz w:val="22"/>
                <w:szCs w:val="22"/>
              </w:rPr>
            </w:pPr>
          </w:p>
        </w:tc>
        <w:tc>
          <w:tcPr>
            <w:tcW w:w="2835" w:type="dxa"/>
            <w:tcBorders>
              <w:top w:val="nil"/>
              <w:bottom w:val="nil"/>
            </w:tcBorders>
          </w:tcPr>
          <w:p w14:paraId="369B4B96" w14:textId="77777777" w:rsidR="00DA5FC6" w:rsidRDefault="00DA5FC6" w:rsidP="00AC1101">
            <w:pPr>
              <w:pStyle w:val="tabletext"/>
              <w:spacing w:before="120"/>
              <w:rPr>
                <w:rFonts w:ascii="Calibri" w:hAnsi="Calibri" w:cs="Calibri"/>
                <w:sz w:val="22"/>
                <w:szCs w:val="22"/>
              </w:rPr>
            </w:pPr>
            <w:r>
              <w:rPr>
                <w:rFonts w:ascii="Calibri" w:hAnsi="Calibri" w:cs="Calibri"/>
                <w:sz w:val="22"/>
                <w:szCs w:val="22"/>
              </w:rPr>
              <w:t xml:space="preserve">Relocation </w:t>
            </w:r>
            <w:r w:rsidR="00AC1101">
              <w:rPr>
                <w:rFonts w:ascii="Calibri" w:hAnsi="Calibri" w:cs="Calibri"/>
                <w:sz w:val="22"/>
                <w:szCs w:val="22"/>
              </w:rPr>
              <w:t>assistance</w:t>
            </w:r>
          </w:p>
        </w:tc>
        <w:tc>
          <w:tcPr>
            <w:tcW w:w="10136" w:type="dxa"/>
            <w:tcBorders>
              <w:top w:val="nil"/>
              <w:bottom w:val="nil"/>
            </w:tcBorders>
          </w:tcPr>
          <w:p w14:paraId="7EAF7E7F" w14:textId="77777777" w:rsidR="00DA5FC6" w:rsidRDefault="00DA5FC6" w:rsidP="00777D25">
            <w:pPr>
              <w:pStyle w:val="tabletext"/>
              <w:spacing w:before="120"/>
              <w:rPr>
                <w:rFonts w:cstheme="minorHAnsi"/>
                <w:sz w:val="22"/>
                <w:szCs w:val="22"/>
              </w:rPr>
            </w:pPr>
            <w:r>
              <w:rPr>
                <w:rFonts w:cstheme="minorHAnsi"/>
                <w:sz w:val="22"/>
                <w:szCs w:val="22"/>
              </w:rPr>
              <w:t>Providers may use t</w:t>
            </w:r>
            <w:r w:rsidRPr="00662F9A">
              <w:rPr>
                <w:rFonts w:cstheme="minorHAnsi"/>
                <w:sz w:val="22"/>
                <w:szCs w:val="22"/>
              </w:rPr>
              <w:t xml:space="preserve">his category </w:t>
            </w:r>
            <w:r>
              <w:rPr>
                <w:rFonts w:cstheme="minorHAnsi"/>
                <w:sz w:val="22"/>
                <w:szCs w:val="22"/>
              </w:rPr>
              <w:t xml:space="preserve">to assist a </w:t>
            </w:r>
            <w:r w:rsidR="005D0DAA">
              <w:rPr>
                <w:rFonts w:cstheme="minorHAnsi"/>
                <w:sz w:val="22"/>
                <w:szCs w:val="22"/>
              </w:rPr>
              <w:t>Participant</w:t>
            </w:r>
            <w:r>
              <w:rPr>
                <w:rFonts w:cstheme="minorHAnsi"/>
                <w:sz w:val="22"/>
                <w:szCs w:val="22"/>
              </w:rPr>
              <w:t xml:space="preserve"> taking up a job in another location</w:t>
            </w:r>
            <w:r w:rsidR="004E3BCE">
              <w:rPr>
                <w:rFonts w:cstheme="minorHAnsi"/>
                <w:sz w:val="22"/>
                <w:szCs w:val="22"/>
              </w:rPr>
              <w:t xml:space="preserve">, when </w:t>
            </w:r>
            <w:r w:rsidRPr="00662F9A">
              <w:rPr>
                <w:rFonts w:cstheme="minorHAnsi"/>
                <w:sz w:val="22"/>
                <w:szCs w:val="22"/>
              </w:rPr>
              <w:t xml:space="preserve">the </w:t>
            </w:r>
            <w:r w:rsidR="005D0DAA">
              <w:rPr>
                <w:rFonts w:cstheme="minorHAnsi"/>
                <w:sz w:val="22"/>
                <w:szCs w:val="22"/>
              </w:rPr>
              <w:t>Participant</w:t>
            </w:r>
            <w:r>
              <w:rPr>
                <w:rFonts w:cstheme="minorHAnsi"/>
                <w:sz w:val="22"/>
                <w:szCs w:val="22"/>
              </w:rPr>
              <w:t xml:space="preserve"> or placement is</w:t>
            </w:r>
            <w:r w:rsidRPr="00662F9A">
              <w:rPr>
                <w:rFonts w:cstheme="minorHAnsi"/>
                <w:sz w:val="22"/>
                <w:szCs w:val="22"/>
              </w:rPr>
              <w:t xml:space="preserve"> not eligible to receive support under the Relocation Assistance to Take up a Job (RATTUAJ) Program</w:t>
            </w:r>
            <w:r>
              <w:rPr>
                <w:rFonts w:cstheme="minorHAnsi"/>
                <w:sz w:val="22"/>
                <w:szCs w:val="22"/>
              </w:rPr>
              <w:t>me.</w:t>
            </w:r>
          </w:p>
          <w:p w14:paraId="2D94D981" w14:textId="77777777" w:rsidR="00DA5FC6" w:rsidRPr="00662F9A" w:rsidRDefault="00DA5FC6" w:rsidP="00C641C8">
            <w:pPr>
              <w:pStyle w:val="tabletext"/>
              <w:spacing w:before="120"/>
              <w:rPr>
                <w:rFonts w:cstheme="minorHAnsi"/>
                <w:sz w:val="22"/>
                <w:szCs w:val="22"/>
              </w:rPr>
            </w:pPr>
            <w:r>
              <w:rPr>
                <w:rFonts w:cstheme="minorHAnsi"/>
                <w:sz w:val="22"/>
                <w:szCs w:val="22"/>
              </w:rPr>
              <w:t xml:space="preserve">If </w:t>
            </w:r>
            <w:r w:rsidRPr="00662F9A">
              <w:rPr>
                <w:rFonts w:cstheme="minorHAnsi"/>
                <w:sz w:val="22"/>
                <w:szCs w:val="22"/>
              </w:rPr>
              <w:t xml:space="preserve">the </w:t>
            </w:r>
            <w:r w:rsidR="005D0DAA">
              <w:rPr>
                <w:rFonts w:cstheme="minorHAnsi"/>
                <w:sz w:val="22"/>
                <w:szCs w:val="22"/>
              </w:rPr>
              <w:t>Participant</w:t>
            </w:r>
            <w:r w:rsidRPr="00662F9A">
              <w:rPr>
                <w:rFonts w:cstheme="minorHAnsi"/>
                <w:sz w:val="22"/>
                <w:szCs w:val="22"/>
              </w:rPr>
              <w:t xml:space="preserve"> is eligible to receive support under RATTUAJ, but the placement does not meet the RATTUAJ eligibility criteria</w:t>
            </w:r>
            <w:r>
              <w:rPr>
                <w:rFonts w:cstheme="minorHAnsi"/>
                <w:sz w:val="22"/>
                <w:szCs w:val="22"/>
              </w:rPr>
              <w:t xml:space="preserve">, </w:t>
            </w:r>
            <w:r w:rsidR="004E3BCE">
              <w:rPr>
                <w:rFonts w:cstheme="minorHAnsi"/>
                <w:sz w:val="22"/>
                <w:szCs w:val="22"/>
              </w:rPr>
              <w:t xml:space="preserve">providers may </w:t>
            </w:r>
            <w:r>
              <w:rPr>
                <w:rFonts w:cstheme="minorHAnsi"/>
                <w:sz w:val="22"/>
                <w:szCs w:val="22"/>
              </w:rPr>
              <w:t>claim</w:t>
            </w:r>
            <w:r w:rsidRPr="00662F9A">
              <w:rPr>
                <w:rFonts w:cstheme="minorHAnsi"/>
                <w:sz w:val="22"/>
                <w:szCs w:val="22"/>
              </w:rPr>
              <w:t xml:space="preserve"> Reimbursement </w:t>
            </w:r>
            <w:r w:rsidR="004E3BCE">
              <w:rPr>
                <w:rFonts w:cstheme="minorHAnsi"/>
                <w:sz w:val="22"/>
                <w:szCs w:val="22"/>
              </w:rPr>
              <w:t>via</w:t>
            </w:r>
            <w:r w:rsidRPr="00662F9A">
              <w:rPr>
                <w:rFonts w:cstheme="minorHAnsi"/>
                <w:sz w:val="22"/>
                <w:szCs w:val="22"/>
              </w:rPr>
              <w:t xml:space="preserve"> a special claim under this category.</w:t>
            </w:r>
          </w:p>
          <w:p w14:paraId="4268FE02" w14:textId="35CE5E9B" w:rsidR="00DA5FC6" w:rsidRDefault="00DA5FC6" w:rsidP="00C641C8">
            <w:pPr>
              <w:pStyle w:val="tabletext"/>
              <w:spacing w:before="120"/>
              <w:rPr>
                <w:rFonts w:cstheme="minorHAnsi"/>
                <w:sz w:val="22"/>
                <w:szCs w:val="22"/>
              </w:rPr>
            </w:pPr>
            <w:r w:rsidRPr="00662F9A">
              <w:rPr>
                <w:rFonts w:cstheme="minorHAnsi"/>
                <w:sz w:val="22"/>
                <w:szCs w:val="22"/>
              </w:rPr>
              <w:t xml:space="preserve">For information about RATTUAJ, refer to the </w:t>
            </w:r>
            <w:r w:rsidR="00333793" w:rsidRPr="00333793">
              <w:rPr>
                <w:sz w:val="22"/>
                <w:szCs w:val="22"/>
              </w:rPr>
              <w:t xml:space="preserve">New Employment Services Trial </w:t>
            </w:r>
            <w:hyperlink r:id="rId41" w:history="1">
              <w:r w:rsidR="00333793" w:rsidRPr="004A2C22">
                <w:rPr>
                  <w:rStyle w:val="Hyperlink"/>
                  <w:sz w:val="22"/>
                  <w:szCs w:val="22"/>
                </w:rPr>
                <w:t>Relocation Assistance to Take up a Job Guideline</w:t>
              </w:r>
            </w:hyperlink>
            <w:r w:rsidRPr="00662F9A">
              <w:rPr>
                <w:rFonts w:cstheme="minorHAnsi"/>
                <w:sz w:val="22"/>
                <w:szCs w:val="22"/>
              </w:rPr>
              <w:t>.</w:t>
            </w:r>
          </w:p>
          <w:p w14:paraId="50E56BE4" w14:textId="77777777" w:rsidR="00DA5FC6" w:rsidRDefault="004E3BCE" w:rsidP="00C641C8">
            <w:pPr>
              <w:pStyle w:val="tabletext"/>
              <w:spacing w:before="120"/>
              <w:rPr>
                <w:rFonts w:cstheme="minorHAnsi"/>
                <w:sz w:val="22"/>
                <w:szCs w:val="22"/>
              </w:rPr>
            </w:pPr>
            <w:r>
              <w:rPr>
                <w:rFonts w:cstheme="minorHAnsi"/>
                <w:sz w:val="22"/>
                <w:szCs w:val="22"/>
              </w:rPr>
              <w:t>T</w:t>
            </w:r>
            <w:r w:rsidRPr="00662F9A">
              <w:rPr>
                <w:rFonts w:cstheme="minorHAnsi"/>
                <w:sz w:val="22"/>
                <w:szCs w:val="22"/>
              </w:rPr>
              <w:t>he</w:t>
            </w:r>
            <w:r>
              <w:rPr>
                <w:rFonts w:cstheme="minorHAnsi"/>
                <w:sz w:val="22"/>
                <w:szCs w:val="22"/>
              </w:rPr>
              <w:t xml:space="preserve"> </w:t>
            </w:r>
            <w:hyperlink w:anchor="_Determining_what_is" w:history="1">
              <w:r w:rsidRPr="00627EE1">
                <w:rPr>
                  <w:rStyle w:val="Hyperlink"/>
                  <w:rFonts w:cstheme="minorHAnsi"/>
                  <w:sz w:val="22"/>
                  <w:szCs w:val="22"/>
                </w:rPr>
                <w:t>Determining what is a Prohibited Purchase</w:t>
              </w:r>
            </w:hyperlink>
            <w:r>
              <w:rPr>
                <w:rFonts w:cstheme="minorHAnsi"/>
                <w:sz w:val="22"/>
                <w:szCs w:val="22"/>
              </w:rPr>
              <w:t xml:space="preserve"> </w:t>
            </w:r>
            <w:r w:rsidRPr="00662F9A">
              <w:rPr>
                <w:rFonts w:cstheme="minorHAnsi"/>
                <w:sz w:val="22"/>
                <w:szCs w:val="22"/>
              </w:rPr>
              <w:t>section</w:t>
            </w:r>
            <w:r>
              <w:rPr>
                <w:rFonts w:cstheme="minorHAnsi"/>
                <w:sz w:val="22"/>
                <w:szCs w:val="22"/>
              </w:rPr>
              <w:t xml:space="preserve"> lists the exceptions to the use of this category.</w:t>
            </w:r>
          </w:p>
        </w:tc>
        <w:tc>
          <w:tcPr>
            <w:tcW w:w="6247" w:type="dxa"/>
            <w:vMerge/>
          </w:tcPr>
          <w:p w14:paraId="0C68E984" w14:textId="77777777" w:rsidR="00DA5FC6" w:rsidRPr="00A37677" w:rsidRDefault="00DA5FC6" w:rsidP="00DA5FC6">
            <w:pPr>
              <w:pStyle w:val="tabletext"/>
              <w:rPr>
                <w:rFonts w:cstheme="minorHAnsi"/>
                <w:sz w:val="22"/>
                <w:szCs w:val="22"/>
              </w:rPr>
            </w:pPr>
          </w:p>
        </w:tc>
      </w:tr>
      <w:tr w:rsidR="00DA5FC6" w:rsidRPr="00662F9A" w14:paraId="2735BFFF" w14:textId="77777777" w:rsidTr="00D1112C">
        <w:tc>
          <w:tcPr>
            <w:tcW w:w="2019" w:type="dxa"/>
            <w:vMerge/>
          </w:tcPr>
          <w:p w14:paraId="514DD09B" w14:textId="77777777" w:rsidR="00DA5FC6" w:rsidRPr="009F211C" w:rsidRDefault="00DA5FC6" w:rsidP="00061667">
            <w:pPr>
              <w:pStyle w:val="tabletext"/>
              <w:rPr>
                <w:rFonts w:cstheme="minorHAnsi"/>
                <w:b/>
                <w:sz w:val="22"/>
                <w:szCs w:val="22"/>
              </w:rPr>
            </w:pPr>
          </w:p>
        </w:tc>
        <w:tc>
          <w:tcPr>
            <w:tcW w:w="2835" w:type="dxa"/>
            <w:tcBorders>
              <w:top w:val="nil"/>
              <w:bottom w:val="nil"/>
            </w:tcBorders>
          </w:tcPr>
          <w:p w14:paraId="3148B5C2" w14:textId="77777777" w:rsidR="00DA5FC6" w:rsidRPr="005422AA" w:rsidRDefault="00DA5FC6" w:rsidP="00777D25">
            <w:pPr>
              <w:pStyle w:val="tabletext"/>
              <w:spacing w:before="120"/>
              <w:rPr>
                <w:rFonts w:ascii="Calibri" w:hAnsi="Calibri" w:cs="Calibri"/>
                <w:sz w:val="22"/>
                <w:szCs w:val="22"/>
              </w:rPr>
            </w:pPr>
            <w:r>
              <w:rPr>
                <w:rFonts w:ascii="Calibri" w:hAnsi="Calibri" w:cs="Calibri"/>
                <w:sz w:val="22"/>
                <w:szCs w:val="22"/>
              </w:rPr>
              <w:t>Rent and crisis accommodation</w:t>
            </w:r>
          </w:p>
        </w:tc>
        <w:tc>
          <w:tcPr>
            <w:tcW w:w="10136" w:type="dxa"/>
            <w:tcBorders>
              <w:top w:val="nil"/>
              <w:bottom w:val="nil"/>
            </w:tcBorders>
          </w:tcPr>
          <w:p w14:paraId="4D719916" w14:textId="77777777" w:rsidR="00DA5FC6" w:rsidRPr="00777D25" w:rsidRDefault="00DA5FC6" w:rsidP="00777D25">
            <w:pPr>
              <w:pStyle w:val="tabletext"/>
              <w:spacing w:before="120"/>
              <w:rPr>
                <w:rFonts w:cstheme="minorHAnsi"/>
                <w:sz w:val="22"/>
                <w:szCs w:val="22"/>
              </w:rPr>
            </w:pPr>
            <w:r>
              <w:rPr>
                <w:rFonts w:cstheme="minorHAnsi"/>
                <w:sz w:val="22"/>
                <w:szCs w:val="22"/>
              </w:rPr>
              <w:t>Providers may use t</w:t>
            </w:r>
            <w:r w:rsidRPr="00662F9A">
              <w:rPr>
                <w:rFonts w:cstheme="minorHAnsi"/>
                <w:sz w:val="22"/>
                <w:szCs w:val="22"/>
              </w:rPr>
              <w:t xml:space="preserve">his </w:t>
            </w:r>
            <w:r>
              <w:rPr>
                <w:rFonts w:cstheme="minorHAnsi"/>
                <w:sz w:val="22"/>
                <w:szCs w:val="22"/>
              </w:rPr>
              <w:t xml:space="preserve">sub </w:t>
            </w:r>
            <w:r w:rsidRPr="00662F9A">
              <w:rPr>
                <w:rFonts w:cstheme="minorHAnsi"/>
                <w:sz w:val="22"/>
                <w:szCs w:val="22"/>
              </w:rPr>
              <w:t xml:space="preserve">category for short-term rent and crisis </w:t>
            </w:r>
            <w:r>
              <w:rPr>
                <w:rFonts w:cstheme="minorHAnsi"/>
                <w:sz w:val="22"/>
                <w:szCs w:val="22"/>
              </w:rPr>
              <w:t xml:space="preserve">accommodation for a </w:t>
            </w:r>
            <w:r w:rsidR="005D0DAA">
              <w:rPr>
                <w:rFonts w:cstheme="minorHAnsi"/>
                <w:sz w:val="22"/>
                <w:szCs w:val="22"/>
              </w:rPr>
              <w:t>Participant</w:t>
            </w:r>
            <w:r>
              <w:rPr>
                <w:rFonts w:cstheme="minorHAnsi"/>
                <w:sz w:val="22"/>
                <w:szCs w:val="22"/>
              </w:rPr>
              <w:t xml:space="preserve"> only when a </w:t>
            </w:r>
            <w:r w:rsidRPr="00662F9A">
              <w:rPr>
                <w:rFonts w:cstheme="minorHAnsi"/>
                <w:sz w:val="22"/>
                <w:szCs w:val="22"/>
              </w:rPr>
              <w:t xml:space="preserve">Provider and </w:t>
            </w:r>
            <w:r w:rsidR="005D0DAA">
              <w:rPr>
                <w:rFonts w:cstheme="minorHAnsi"/>
                <w:sz w:val="22"/>
                <w:szCs w:val="22"/>
              </w:rPr>
              <w:t>Participant</w:t>
            </w:r>
            <w:r w:rsidRPr="00662F9A">
              <w:rPr>
                <w:rFonts w:cstheme="minorHAnsi"/>
                <w:sz w:val="22"/>
                <w:szCs w:val="22"/>
              </w:rPr>
              <w:t xml:space="preserve"> have exhausted all other avenues of assistance.</w:t>
            </w:r>
          </w:p>
        </w:tc>
        <w:tc>
          <w:tcPr>
            <w:tcW w:w="6247" w:type="dxa"/>
            <w:vMerge/>
          </w:tcPr>
          <w:p w14:paraId="1A0AB105" w14:textId="77777777" w:rsidR="00DA5FC6" w:rsidRPr="00A37677" w:rsidRDefault="00DA5FC6" w:rsidP="00061667">
            <w:pPr>
              <w:pStyle w:val="tabletext"/>
              <w:rPr>
                <w:rFonts w:cstheme="minorHAnsi"/>
                <w:sz w:val="22"/>
                <w:szCs w:val="22"/>
              </w:rPr>
            </w:pPr>
          </w:p>
        </w:tc>
      </w:tr>
      <w:tr w:rsidR="00DA5FC6" w:rsidRPr="00662F9A" w14:paraId="5C938F65" w14:textId="77777777" w:rsidTr="00D1112C">
        <w:tc>
          <w:tcPr>
            <w:tcW w:w="2019" w:type="dxa"/>
            <w:vMerge/>
          </w:tcPr>
          <w:p w14:paraId="54134F6F" w14:textId="77777777" w:rsidR="00DA5FC6" w:rsidRPr="009F211C" w:rsidRDefault="00DA5FC6" w:rsidP="00D96629">
            <w:pPr>
              <w:pStyle w:val="tabletext"/>
              <w:rPr>
                <w:rFonts w:cstheme="minorHAnsi"/>
                <w:b/>
                <w:sz w:val="22"/>
                <w:szCs w:val="22"/>
              </w:rPr>
            </w:pPr>
          </w:p>
        </w:tc>
        <w:tc>
          <w:tcPr>
            <w:tcW w:w="2835" w:type="dxa"/>
            <w:tcBorders>
              <w:top w:val="nil"/>
            </w:tcBorders>
          </w:tcPr>
          <w:p w14:paraId="03DB3F34" w14:textId="77777777" w:rsidR="00DA5FC6" w:rsidRPr="005422AA" w:rsidRDefault="00DA5FC6" w:rsidP="00777D25">
            <w:pPr>
              <w:pStyle w:val="tabletext"/>
              <w:spacing w:before="120"/>
              <w:rPr>
                <w:rFonts w:ascii="Calibri" w:hAnsi="Calibri" w:cs="Calibri"/>
                <w:sz w:val="22"/>
                <w:szCs w:val="22"/>
              </w:rPr>
            </w:pPr>
            <w:r>
              <w:rPr>
                <w:rFonts w:ascii="Calibri" w:hAnsi="Calibri" w:cs="Calibri"/>
                <w:sz w:val="22"/>
                <w:szCs w:val="22"/>
              </w:rPr>
              <w:t>Other support</w:t>
            </w:r>
          </w:p>
        </w:tc>
        <w:tc>
          <w:tcPr>
            <w:tcW w:w="10136" w:type="dxa"/>
            <w:tcBorders>
              <w:top w:val="nil"/>
            </w:tcBorders>
          </w:tcPr>
          <w:p w14:paraId="0D145442" w14:textId="77777777" w:rsidR="00DA5FC6" w:rsidRDefault="00DA5FC6" w:rsidP="00777D25">
            <w:pPr>
              <w:pStyle w:val="tabletext"/>
              <w:spacing w:before="120"/>
              <w:rPr>
                <w:rFonts w:cstheme="minorHAnsi"/>
                <w:sz w:val="22"/>
                <w:szCs w:val="22"/>
              </w:rPr>
            </w:pPr>
            <w:r>
              <w:rPr>
                <w:rFonts w:cstheme="minorHAnsi"/>
                <w:sz w:val="22"/>
                <w:szCs w:val="22"/>
              </w:rPr>
              <w:t>Providers may use this sub category for other support</w:t>
            </w:r>
            <w:r w:rsidRPr="00662F9A">
              <w:rPr>
                <w:rFonts w:cstheme="minorHAnsi"/>
                <w:sz w:val="22"/>
                <w:szCs w:val="22"/>
              </w:rPr>
              <w:t xml:space="preserve"> </w:t>
            </w:r>
            <w:r>
              <w:rPr>
                <w:rFonts w:cstheme="minorHAnsi"/>
                <w:sz w:val="22"/>
                <w:szCs w:val="22"/>
              </w:rPr>
              <w:t>where the expense:</w:t>
            </w:r>
          </w:p>
          <w:p w14:paraId="5FF11B73" w14:textId="77777777" w:rsidR="00DA5FC6" w:rsidRDefault="00DA5FC6" w:rsidP="00D96629">
            <w:pPr>
              <w:pStyle w:val="tabletext"/>
              <w:numPr>
                <w:ilvl w:val="0"/>
                <w:numId w:val="6"/>
              </w:numPr>
              <w:ind w:left="351" w:hanging="351"/>
              <w:rPr>
                <w:rFonts w:cstheme="minorHAnsi"/>
                <w:sz w:val="22"/>
                <w:szCs w:val="22"/>
              </w:rPr>
            </w:pPr>
            <w:r>
              <w:rPr>
                <w:rFonts w:cstheme="minorHAnsi"/>
                <w:sz w:val="22"/>
                <w:szCs w:val="22"/>
              </w:rPr>
              <w:t>is not a prohibited item</w:t>
            </w:r>
          </w:p>
          <w:p w14:paraId="3FB702D0" w14:textId="77777777" w:rsidR="00DA5FC6" w:rsidRDefault="00DA5FC6" w:rsidP="00D96629">
            <w:pPr>
              <w:pStyle w:val="tabletext"/>
              <w:numPr>
                <w:ilvl w:val="0"/>
                <w:numId w:val="6"/>
              </w:numPr>
              <w:ind w:left="351" w:hanging="351"/>
              <w:rPr>
                <w:rFonts w:cstheme="minorHAnsi"/>
                <w:sz w:val="22"/>
                <w:szCs w:val="22"/>
              </w:rPr>
            </w:pPr>
            <w:r w:rsidRPr="00662F9A">
              <w:rPr>
                <w:rFonts w:cstheme="minorHAnsi"/>
                <w:sz w:val="22"/>
                <w:szCs w:val="22"/>
              </w:rPr>
              <w:t>cannot be re</w:t>
            </w:r>
            <w:r>
              <w:rPr>
                <w:rFonts w:cstheme="minorHAnsi"/>
                <w:sz w:val="22"/>
                <w:szCs w:val="22"/>
              </w:rPr>
              <w:t>corded against another category</w:t>
            </w:r>
          </w:p>
          <w:p w14:paraId="6AF3BEF3" w14:textId="77777777" w:rsidR="00DA5FC6" w:rsidRDefault="00DA5FC6" w:rsidP="00D96629">
            <w:pPr>
              <w:pStyle w:val="tabletext"/>
              <w:numPr>
                <w:ilvl w:val="0"/>
                <w:numId w:val="6"/>
              </w:numPr>
              <w:ind w:left="351" w:hanging="351"/>
              <w:rPr>
                <w:rFonts w:cstheme="minorHAnsi"/>
                <w:sz w:val="22"/>
                <w:szCs w:val="22"/>
              </w:rPr>
            </w:pPr>
            <w:r>
              <w:rPr>
                <w:rFonts w:cstheme="minorHAnsi"/>
                <w:sz w:val="22"/>
                <w:szCs w:val="22"/>
              </w:rPr>
              <w:t xml:space="preserve">is inhibiting the </w:t>
            </w:r>
            <w:r w:rsidR="005D0DAA">
              <w:rPr>
                <w:rFonts w:cstheme="minorHAnsi"/>
                <w:sz w:val="22"/>
                <w:szCs w:val="22"/>
              </w:rPr>
              <w:t>Participant</w:t>
            </w:r>
            <w:r>
              <w:rPr>
                <w:rFonts w:cstheme="minorHAnsi"/>
                <w:sz w:val="22"/>
                <w:szCs w:val="22"/>
              </w:rPr>
              <w:t xml:space="preserve">’s capacity to be engaged to find and keep a job. </w:t>
            </w:r>
          </w:p>
          <w:p w14:paraId="23F164DE" w14:textId="77777777" w:rsidR="00DA5FC6" w:rsidRPr="005422AA" w:rsidRDefault="00DA5FC6" w:rsidP="004E3BCE">
            <w:pPr>
              <w:pStyle w:val="tabletext"/>
              <w:spacing w:before="120"/>
              <w:rPr>
                <w:rFonts w:ascii="Calibri" w:hAnsi="Calibri" w:cs="Calibri"/>
                <w:sz w:val="22"/>
                <w:szCs w:val="22"/>
              </w:rPr>
            </w:pPr>
            <w:r>
              <w:rPr>
                <w:rFonts w:cstheme="minorHAnsi"/>
                <w:sz w:val="22"/>
                <w:szCs w:val="22"/>
              </w:rPr>
              <w:t xml:space="preserve">Examples of expenses under this </w:t>
            </w:r>
            <w:r w:rsidR="004E3BCE">
              <w:rPr>
                <w:rFonts w:cstheme="minorHAnsi"/>
                <w:sz w:val="22"/>
                <w:szCs w:val="22"/>
              </w:rPr>
              <w:t xml:space="preserve">sub </w:t>
            </w:r>
            <w:r>
              <w:rPr>
                <w:rFonts w:cstheme="minorHAnsi"/>
                <w:sz w:val="22"/>
                <w:szCs w:val="22"/>
              </w:rPr>
              <w:t>category include</w:t>
            </w:r>
            <w:r w:rsidR="004E3BCE">
              <w:rPr>
                <w:rFonts w:cstheme="minorHAnsi"/>
                <w:sz w:val="22"/>
                <w:szCs w:val="22"/>
              </w:rPr>
              <w:t>s</w:t>
            </w:r>
            <w:r>
              <w:rPr>
                <w:rFonts w:cstheme="minorHAnsi"/>
                <w:sz w:val="22"/>
                <w:szCs w:val="22"/>
              </w:rPr>
              <w:t xml:space="preserve"> utility costs and legal expenses.</w:t>
            </w:r>
          </w:p>
        </w:tc>
        <w:tc>
          <w:tcPr>
            <w:tcW w:w="6247" w:type="dxa"/>
            <w:vMerge/>
          </w:tcPr>
          <w:p w14:paraId="7EB76466" w14:textId="77777777" w:rsidR="00DA5FC6" w:rsidRPr="00A37677" w:rsidRDefault="00DA5FC6" w:rsidP="00D96629">
            <w:pPr>
              <w:pStyle w:val="tabletext"/>
              <w:rPr>
                <w:rFonts w:cstheme="minorHAnsi"/>
                <w:sz w:val="22"/>
                <w:szCs w:val="22"/>
              </w:rPr>
            </w:pPr>
          </w:p>
        </w:tc>
      </w:tr>
      <w:tr w:rsidR="00D96629" w:rsidRPr="00662F9A" w14:paraId="58C20ED3" w14:textId="77777777" w:rsidTr="00827A41">
        <w:tc>
          <w:tcPr>
            <w:tcW w:w="2019" w:type="dxa"/>
          </w:tcPr>
          <w:p w14:paraId="23F0F6BA" w14:textId="77777777" w:rsidR="00D96629" w:rsidRDefault="00D96629" w:rsidP="004E3BCE">
            <w:pPr>
              <w:pStyle w:val="tabletext"/>
              <w:rPr>
                <w:rFonts w:cstheme="minorHAnsi"/>
                <w:b/>
                <w:sz w:val="22"/>
                <w:szCs w:val="22"/>
              </w:rPr>
            </w:pPr>
            <w:r w:rsidRPr="00662F9A">
              <w:rPr>
                <w:rFonts w:cstheme="minorHAnsi"/>
                <w:b/>
                <w:sz w:val="22"/>
                <w:szCs w:val="22"/>
              </w:rPr>
              <w:t xml:space="preserve">Professional </w:t>
            </w:r>
            <w:r w:rsidR="004E3BCE">
              <w:rPr>
                <w:rFonts w:cstheme="minorHAnsi"/>
                <w:b/>
                <w:sz w:val="22"/>
                <w:szCs w:val="22"/>
              </w:rPr>
              <w:t>S</w:t>
            </w:r>
            <w:r w:rsidRPr="00662F9A">
              <w:rPr>
                <w:rFonts w:cstheme="minorHAnsi"/>
                <w:b/>
                <w:sz w:val="22"/>
                <w:szCs w:val="22"/>
              </w:rPr>
              <w:t>ervices</w:t>
            </w:r>
          </w:p>
        </w:tc>
        <w:tc>
          <w:tcPr>
            <w:tcW w:w="2835" w:type="dxa"/>
          </w:tcPr>
          <w:p w14:paraId="6E35F9A9" w14:textId="77777777" w:rsidR="00D96629" w:rsidRPr="006A4B38" w:rsidRDefault="00D96629" w:rsidP="00D96629">
            <w:pPr>
              <w:pStyle w:val="tabletext"/>
              <w:rPr>
                <w:rFonts w:cstheme="minorHAnsi"/>
                <w:b/>
                <w:sz w:val="22"/>
                <w:szCs w:val="22"/>
              </w:rPr>
            </w:pPr>
          </w:p>
        </w:tc>
        <w:tc>
          <w:tcPr>
            <w:tcW w:w="10136" w:type="dxa"/>
          </w:tcPr>
          <w:p w14:paraId="27B7BC29" w14:textId="77777777" w:rsidR="00D96629" w:rsidRPr="006A4B38" w:rsidRDefault="00D96629" w:rsidP="00D96629">
            <w:pPr>
              <w:pStyle w:val="tabletext"/>
              <w:rPr>
                <w:rFonts w:cstheme="minorHAnsi"/>
                <w:b/>
                <w:sz w:val="22"/>
                <w:szCs w:val="22"/>
              </w:rPr>
            </w:pPr>
            <w:r w:rsidRPr="006A4B38">
              <w:rPr>
                <w:rFonts w:cstheme="minorHAnsi"/>
                <w:b/>
                <w:sz w:val="22"/>
                <w:szCs w:val="22"/>
              </w:rPr>
              <w:t>Requirements for any professional service</w:t>
            </w:r>
          </w:p>
          <w:p w14:paraId="4EBA3CCC" w14:textId="77777777" w:rsidR="00D96629" w:rsidRPr="006A4B38" w:rsidRDefault="00D96629" w:rsidP="00D96629">
            <w:pPr>
              <w:pStyle w:val="tabletext"/>
              <w:rPr>
                <w:rFonts w:cstheme="minorHAnsi"/>
                <w:sz w:val="22"/>
                <w:szCs w:val="22"/>
              </w:rPr>
            </w:pPr>
            <w:r>
              <w:rPr>
                <w:rFonts w:cstheme="minorHAnsi"/>
                <w:sz w:val="22"/>
                <w:szCs w:val="22"/>
              </w:rPr>
              <w:t>Providers may use t</w:t>
            </w:r>
            <w:r w:rsidRPr="006A4B38">
              <w:rPr>
                <w:rFonts w:cstheme="minorHAnsi"/>
                <w:sz w:val="22"/>
                <w:szCs w:val="22"/>
              </w:rPr>
              <w:t>his category for professional services such as:</w:t>
            </w:r>
          </w:p>
          <w:p w14:paraId="59BB3806" w14:textId="77777777" w:rsidR="00D96629" w:rsidRDefault="00D96629" w:rsidP="00D96629">
            <w:pPr>
              <w:pStyle w:val="tabletext"/>
              <w:numPr>
                <w:ilvl w:val="0"/>
                <w:numId w:val="6"/>
              </w:numPr>
              <w:ind w:left="351" w:hanging="351"/>
              <w:rPr>
                <w:rFonts w:cstheme="minorHAnsi"/>
                <w:sz w:val="22"/>
                <w:szCs w:val="22"/>
              </w:rPr>
            </w:pPr>
            <w:r>
              <w:rPr>
                <w:rFonts w:cstheme="minorHAnsi"/>
                <w:sz w:val="22"/>
                <w:szCs w:val="22"/>
              </w:rPr>
              <w:t>prevention, detection and management of mental and substance abuse disorders</w:t>
            </w:r>
          </w:p>
          <w:p w14:paraId="7E6116D1" w14:textId="77777777" w:rsidR="00D96629" w:rsidRPr="006A4B38" w:rsidRDefault="00D96629" w:rsidP="00D96629">
            <w:pPr>
              <w:pStyle w:val="tabletext"/>
              <w:numPr>
                <w:ilvl w:val="0"/>
                <w:numId w:val="6"/>
              </w:numPr>
              <w:ind w:left="351" w:hanging="351"/>
              <w:rPr>
                <w:rFonts w:cstheme="minorHAnsi"/>
                <w:sz w:val="22"/>
                <w:szCs w:val="22"/>
              </w:rPr>
            </w:pPr>
            <w:r w:rsidRPr="006A4B38">
              <w:rPr>
                <w:rFonts w:cstheme="minorHAnsi"/>
                <w:sz w:val="22"/>
                <w:szCs w:val="22"/>
              </w:rPr>
              <w:t>drug and alcohol counselling and rehabilitation</w:t>
            </w:r>
          </w:p>
          <w:p w14:paraId="6DB54B8E" w14:textId="77777777" w:rsidR="00D96629" w:rsidRPr="006A4B38" w:rsidRDefault="00D96629" w:rsidP="00D96629">
            <w:pPr>
              <w:pStyle w:val="tabletext"/>
              <w:numPr>
                <w:ilvl w:val="0"/>
                <w:numId w:val="6"/>
              </w:numPr>
              <w:ind w:left="351" w:hanging="351"/>
              <w:rPr>
                <w:rFonts w:cstheme="minorHAnsi"/>
                <w:sz w:val="22"/>
                <w:szCs w:val="22"/>
              </w:rPr>
            </w:pPr>
            <w:r w:rsidRPr="006A4B38">
              <w:rPr>
                <w:rFonts w:cstheme="minorHAnsi"/>
                <w:sz w:val="22"/>
                <w:szCs w:val="22"/>
              </w:rPr>
              <w:t>mental health and family counselling</w:t>
            </w:r>
          </w:p>
          <w:p w14:paraId="5F207BB3" w14:textId="77777777" w:rsidR="00D96629" w:rsidRPr="006A4B38" w:rsidRDefault="00D96629" w:rsidP="00D96629">
            <w:pPr>
              <w:pStyle w:val="tabletext"/>
              <w:numPr>
                <w:ilvl w:val="0"/>
                <w:numId w:val="6"/>
              </w:numPr>
              <w:ind w:left="351" w:hanging="351"/>
              <w:rPr>
                <w:rFonts w:cstheme="minorHAnsi"/>
                <w:sz w:val="22"/>
                <w:szCs w:val="22"/>
              </w:rPr>
            </w:pPr>
            <w:r w:rsidRPr="006A4B38">
              <w:rPr>
                <w:rFonts w:cstheme="minorHAnsi"/>
                <w:sz w:val="22"/>
                <w:szCs w:val="22"/>
              </w:rPr>
              <w:t>anger management</w:t>
            </w:r>
          </w:p>
          <w:p w14:paraId="7C365844" w14:textId="77777777" w:rsidR="00D96629" w:rsidRPr="006A4B38" w:rsidRDefault="00D96629" w:rsidP="00D96629">
            <w:pPr>
              <w:pStyle w:val="tabletext"/>
              <w:numPr>
                <w:ilvl w:val="0"/>
                <w:numId w:val="6"/>
              </w:numPr>
              <w:ind w:left="351" w:hanging="351"/>
              <w:rPr>
                <w:rFonts w:cstheme="minorHAnsi"/>
                <w:sz w:val="22"/>
                <w:szCs w:val="22"/>
              </w:rPr>
            </w:pPr>
            <w:r w:rsidRPr="006A4B38">
              <w:rPr>
                <w:rFonts w:cstheme="minorHAnsi"/>
                <w:sz w:val="22"/>
                <w:szCs w:val="22"/>
              </w:rPr>
              <w:t>personal development for addressing self-esteem and confidence issues</w:t>
            </w:r>
          </w:p>
          <w:p w14:paraId="4BE52B87" w14:textId="77777777" w:rsidR="00D96629" w:rsidRPr="006A4B38" w:rsidRDefault="00D96629" w:rsidP="00D96629">
            <w:pPr>
              <w:pStyle w:val="tabletext"/>
              <w:numPr>
                <w:ilvl w:val="0"/>
                <w:numId w:val="6"/>
              </w:numPr>
              <w:ind w:left="351" w:hanging="351"/>
              <w:rPr>
                <w:rFonts w:cstheme="minorHAnsi"/>
                <w:sz w:val="22"/>
                <w:szCs w:val="22"/>
              </w:rPr>
            </w:pPr>
            <w:r w:rsidRPr="006A4B38">
              <w:rPr>
                <w:rFonts w:cstheme="minorHAnsi"/>
                <w:sz w:val="22"/>
                <w:szCs w:val="22"/>
              </w:rPr>
              <w:t>vocational rehabilitati</w:t>
            </w:r>
            <w:r>
              <w:rPr>
                <w:rFonts w:cstheme="minorHAnsi"/>
                <w:sz w:val="22"/>
                <w:szCs w:val="22"/>
              </w:rPr>
              <w:t xml:space="preserve">on for </w:t>
            </w:r>
            <w:r w:rsidR="005D0DAA">
              <w:rPr>
                <w:rFonts w:cstheme="minorHAnsi"/>
                <w:sz w:val="22"/>
                <w:szCs w:val="22"/>
              </w:rPr>
              <w:t>Participant</w:t>
            </w:r>
            <w:r>
              <w:rPr>
                <w:rFonts w:cstheme="minorHAnsi"/>
                <w:sz w:val="22"/>
                <w:szCs w:val="22"/>
              </w:rPr>
              <w:t>s to re-enter E</w:t>
            </w:r>
            <w:r w:rsidRPr="006A4B38">
              <w:rPr>
                <w:rFonts w:cstheme="minorHAnsi"/>
                <w:sz w:val="22"/>
                <w:szCs w:val="22"/>
              </w:rPr>
              <w:t>mployment.</w:t>
            </w:r>
          </w:p>
          <w:p w14:paraId="31C3B994" w14:textId="77777777" w:rsidR="00D96629" w:rsidRDefault="00D96629" w:rsidP="00D96629">
            <w:pPr>
              <w:pStyle w:val="tabletext"/>
              <w:spacing w:before="120"/>
              <w:rPr>
                <w:rFonts w:cstheme="minorHAnsi"/>
                <w:sz w:val="22"/>
                <w:szCs w:val="22"/>
              </w:rPr>
            </w:pPr>
            <w:r w:rsidRPr="006A4B38">
              <w:rPr>
                <w:rFonts w:cstheme="minorHAnsi"/>
                <w:sz w:val="22"/>
                <w:szCs w:val="22"/>
              </w:rPr>
              <w:t xml:space="preserve">All </w:t>
            </w:r>
            <w:r w:rsidRPr="004C1034">
              <w:rPr>
                <w:rFonts w:cstheme="minorHAnsi"/>
                <w:sz w:val="22"/>
                <w:szCs w:val="22"/>
              </w:rPr>
              <w:t>professional services must be delivered</w:t>
            </w:r>
            <w:r>
              <w:rPr>
                <w:rFonts w:cstheme="minorHAnsi"/>
                <w:sz w:val="22"/>
                <w:szCs w:val="22"/>
              </w:rPr>
              <w:t xml:space="preserve"> </w:t>
            </w:r>
            <w:r w:rsidRPr="004C1034">
              <w:rPr>
                <w:rFonts w:cstheme="minorHAnsi"/>
                <w:sz w:val="22"/>
                <w:szCs w:val="22"/>
              </w:rPr>
              <w:t>by either a</w:t>
            </w:r>
            <w:r>
              <w:rPr>
                <w:rFonts w:cstheme="minorHAnsi"/>
                <w:sz w:val="22"/>
                <w:szCs w:val="22"/>
              </w:rPr>
              <w:t>:</w:t>
            </w:r>
          </w:p>
          <w:p w14:paraId="3CB32CF2" w14:textId="77777777" w:rsidR="00D96629" w:rsidRDefault="00D96629" w:rsidP="00D96629">
            <w:pPr>
              <w:pStyle w:val="tabletext"/>
              <w:numPr>
                <w:ilvl w:val="0"/>
                <w:numId w:val="6"/>
              </w:numPr>
              <w:ind w:left="351" w:hanging="351"/>
              <w:rPr>
                <w:rFonts w:cstheme="minorHAnsi"/>
                <w:sz w:val="22"/>
                <w:szCs w:val="22"/>
              </w:rPr>
            </w:pPr>
            <w:r w:rsidRPr="004C1034">
              <w:rPr>
                <w:rFonts w:cstheme="minorHAnsi"/>
                <w:sz w:val="22"/>
                <w:szCs w:val="22"/>
              </w:rPr>
              <w:t xml:space="preserve">qualified psychologist </w:t>
            </w:r>
            <w:r w:rsidRPr="0011566F">
              <w:rPr>
                <w:rFonts w:cstheme="minorHAnsi"/>
                <w:sz w:val="22"/>
                <w:szCs w:val="22"/>
              </w:rPr>
              <w:t xml:space="preserve">who </w:t>
            </w:r>
            <w:r>
              <w:rPr>
                <w:rFonts w:cstheme="minorHAnsi"/>
                <w:sz w:val="22"/>
                <w:szCs w:val="22"/>
              </w:rPr>
              <w:t xml:space="preserve">is currently registered </w:t>
            </w:r>
            <w:r w:rsidRPr="0011566F">
              <w:rPr>
                <w:rFonts w:cstheme="minorHAnsi"/>
                <w:sz w:val="22"/>
                <w:szCs w:val="22"/>
              </w:rPr>
              <w:t xml:space="preserve">as a psychologist with </w:t>
            </w:r>
            <w:r>
              <w:rPr>
                <w:rFonts w:cstheme="minorHAnsi"/>
                <w:sz w:val="22"/>
                <w:szCs w:val="22"/>
              </w:rPr>
              <w:t>the Australian Health Practitioner Regulation Agency (AHPRA)</w:t>
            </w:r>
          </w:p>
          <w:p w14:paraId="40D01303" w14:textId="77777777" w:rsidR="00D96629" w:rsidRPr="006A4B38" w:rsidRDefault="00D96629" w:rsidP="00D96629">
            <w:pPr>
              <w:pStyle w:val="tabletext"/>
              <w:numPr>
                <w:ilvl w:val="0"/>
                <w:numId w:val="6"/>
              </w:numPr>
              <w:ind w:left="351" w:hanging="351"/>
              <w:rPr>
                <w:rFonts w:cstheme="minorHAnsi"/>
                <w:sz w:val="22"/>
                <w:szCs w:val="22"/>
              </w:rPr>
            </w:pPr>
            <w:r>
              <w:rPr>
                <w:rFonts w:cstheme="minorHAnsi"/>
                <w:sz w:val="22"/>
                <w:szCs w:val="22"/>
              </w:rPr>
              <w:t xml:space="preserve">qualified </w:t>
            </w:r>
            <w:r w:rsidRPr="004C1034">
              <w:rPr>
                <w:rFonts w:cstheme="minorHAnsi"/>
                <w:sz w:val="22"/>
                <w:szCs w:val="22"/>
              </w:rPr>
              <w:t>allied health professional</w:t>
            </w:r>
            <w:r>
              <w:rPr>
                <w:rStyle w:val="FootnoteReference"/>
                <w:rFonts w:cstheme="minorHAnsi"/>
                <w:sz w:val="22"/>
                <w:szCs w:val="22"/>
              </w:rPr>
              <w:footnoteReference w:id="2"/>
            </w:r>
            <w:r>
              <w:rPr>
                <w:rFonts w:cstheme="minorHAnsi"/>
                <w:sz w:val="22"/>
                <w:szCs w:val="22"/>
              </w:rPr>
              <w:t xml:space="preserve"> who has </w:t>
            </w:r>
            <w:r w:rsidRPr="006A4B38">
              <w:rPr>
                <w:rFonts w:cstheme="minorHAnsi"/>
                <w:sz w:val="22"/>
                <w:szCs w:val="22"/>
              </w:rPr>
              <w:t xml:space="preserve">a degree or graduate diploma in either: </w:t>
            </w:r>
          </w:p>
          <w:p w14:paraId="09761E6E" w14:textId="77777777" w:rsidR="00D96629" w:rsidRPr="00F130F2" w:rsidRDefault="00D96629" w:rsidP="00D96629">
            <w:pPr>
              <w:pStyle w:val="tabletext"/>
              <w:numPr>
                <w:ilvl w:val="0"/>
                <w:numId w:val="6"/>
              </w:numPr>
              <w:rPr>
                <w:sz w:val="22"/>
              </w:rPr>
            </w:pPr>
            <w:r w:rsidRPr="00F130F2">
              <w:rPr>
                <w:sz w:val="22"/>
              </w:rPr>
              <w:t>allied health services or behavioural sciences</w:t>
            </w:r>
          </w:p>
          <w:p w14:paraId="137A0841" w14:textId="77777777" w:rsidR="00D96629" w:rsidRPr="00F130F2" w:rsidRDefault="00D96629" w:rsidP="00D96629">
            <w:pPr>
              <w:pStyle w:val="tabletext"/>
              <w:numPr>
                <w:ilvl w:val="0"/>
                <w:numId w:val="6"/>
              </w:numPr>
              <w:rPr>
                <w:sz w:val="22"/>
              </w:rPr>
            </w:pPr>
            <w:r w:rsidRPr="00F130F2">
              <w:rPr>
                <w:sz w:val="22"/>
              </w:rPr>
              <w:t>social work</w:t>
            </w:r>
          </w:p>
          <w:p w14:paraId="4B9B521F" w14:textId="77777777" w:rsidR="00D96629" w:rsidRPr="00F130F2" w:rsidRDefault="00D96629" w:rsidP="00D96629">
            <w:pPr>
              <w:pStyle w:val="tabletext"/>
              <w:numPr>
                <w:ilvl w:val="0"/>
                <w:numId w:val="6"/>
              </w:numPr>
              <w:rPr>
                <w:sz w:val="22"/>
              </w:rPr>
            </w:pPr>
            <w:r w:rsidRPr="00F130F2">
              <w:rPr>
                <w:sz w:val="22"/>
              </w:rPr>
              <w:t>rehabilitation counselling</w:t>
            </w:r>
          </w:p>
          <w:p w14:paraId="20AA450F" w14:textId="77777777" w:rsidR="00D96629" w:rsidRPr="00F130F2" w:rsidRDefault="00D96629" w:rsidP="00D96629">
            <w:pPr>
              <w:pStyle w:val="tabletext"/>
              <w:numPr>
                <w:ilvl w:val="0"/>
                <w:numId w:val="6"/>
              </w:numPr>
              <w:rPr>
                <w:sz w:val="22"/>
              </w:rPr>
            </w:pPr>
            <w:r w:rsidRPr="00F130F2">
              <w:rPr>
                <w:sz w:val="22"/>
              </w:rPr>
              <w:t>other allied health qualifications.</w:t>
            </w:r>
          </w:p>
          <w:p w14:paraId="3F28031A" w14:textId="77777777" w:rsidR="00D96629" w:rsidRPr="006A4B38" w:rsidRDefault="00D96629" w:rsidP="00D96629">
            <w:pPr>
              <w:pStyle w:val="tabletext"/>
              <w:spacing w:before="120"/>
              <w:rPr>
                <w:rFonts w:cstheme="minorHAnsi"/>
                <w:sz w:val="22"/>
                <w:szCs w:val="22"/>
              </w:rPr>
            </w:pPr>
            <w:r w:rsidRPr="006A4B38">
              <w:rPr>
                <w:rFonts w:cstheme="minorHAnsi"/>
                <w:sz w:val="22"/>
                <w:szCs w:val="22"/>
              </w:rPr>
              <w:t xml:space="preserve">If the </w:t>
            </w:r>
            <w:r>
              <w:rPr>
                <w:rFonts w:cstheme="minorHAnsi"/>
                <w:sz w:val="22"/>
                <w:szCs w:val="22"/>
              </w:rPr>
              <w:t xml:space="preserve">allied health </w:t>
            </w:r>
            <w:r w:rsidRPr="006A4B38">
              <w:rPr>
                <w:rFonts w:cstheme="minorHAnsi"/>
                <w:sz w:val="22"/>
                <w:szCs w:val="22"/>
              </w:rPr>
              <w:t>qualification relates to a field that requires professiona</w:t>
            </w:r>
            <w:r>
              <w:rPr>
                <w:rFonts w:cstheme="minorHAnsi"/>
                <w:sz w:val="22"/>
                <w:szCs w:val="22"/>
              </w:rPr>
              <w:t>l registration to practise, the allied health professional</w:t>
            </w:r>
            <w:r w:rsidRPr="006A4B38">
              <w:rPr>
                <w:rFonts w:cstheme="minorHAnsi"/>
                <w:sz w:val="22"/>
                <w:szCs w:val="22"/>
              </w:rPr>
              <w:t xml:space="preserve"> must be currently registered with the relevant authority.</w:t>
            </w:r>
          </w:p>
          <w:p w14:paraId="7D0BCE30" w14:textId="77777777" w:rsidR="00D96629" w:rsidRDefault="00D96629" w:rsidP="00D96629">
            <w:pPr>
              <w:pStyle w:val="tabletext"/>
              <w:spacing w:before="120"/>
              <w:rPr>
                <w:rFonts w:cstheme="minorHAnsi"/>
                <w:sz w:val="22"/>
                <w:szCs w:val="22"/>
              </w:rPr>
            </w:pPr>
            <w:r>
              <w:rPr>
                <w:rFonts w:cstheme="minorHAnsi"/>
                <w:sz w:val="22"/>
                <w:szCs w:val="22"/>
              </w:rPr>
              <w:t>All p</w:t>
            </w:r>
            <w:r w:rsidRPr="00B603B0">
              <w:rPr>
                <w:rFonts w:cstheme="minorHAnsi"/>
                <w:sz w:val="22"/>
                <w:szCs w:val="22"/>
              </w:rPr>
              <w:t xml:space="preserve">rofessional services can be delivered either in-person, or via video or teleconference. </w:t>
            </w:r>
          </w:p>
          <w:p w14:paraId="48F20E29" w14:textId="77777777" w:rsidR="00D96629" w:rsidRDefault="00D96629" w:rsidP="00D96629">
            <w:pPr>
              <w:pStyle w:val="tabletext"/>
              <w:spacing w:before="120"/>
              <w:rPr>
                <w:rFonts w:cstheme="minorHAnsi"/>
                <w:sz w:val="22"/>
                <w:szCs w:val="22"/>
              </w:rPr>
            </w:pPr>
            <w:r>
              <w:rPr>
                <w:rFonts w:cstheme="minorHAnsi"/>
                <w:sz w:val="22"/>
                <w:szCs w:val="22"/>
              </w:rPr>
              <w:t>All c</w:t>
            </w:r>
            <w:r w:rsidRPr="00B603B0">
              <w:rPr>
                <w:rFonts w:cstheme="minorHAnsi"/>
                <w:sz w:val="22"/>
                <w:szCs w:val="22"/>
              </w:rPr>
              <w:t>laims for Reimbursement must only be for</w:t>
            </w:r>
            <w:r>
              <w:rPr>
                <w:rFonts w:cstheme="minorHAnsi"/>
                <w:sz w:val="22"/>
                <w:szCs w:val="22"/>
              </w:rPr>
              <w:t xml:space="preserve"> either:</w:t>
            </w:r>
          </w:p>
          <w:p w14:paraId="09160527" w14:textId="77777777" w:rsidR="00D96629" w:rsidRDefault="00D96629" w:rsidP="00D96629">
            <w:pPr>
              <w:pStyle w:val="tabletext"/>
              <w:numPr>
                <w:ilvl w:val="0"/>
                <w:numId w:val="6"/>
              </w:numPr>
              <w:ind w:left="351" w:hanging="351"/>
              <w:rPr>
                <w:rFonts w:cstheme="minorHAnsi"/>
                <w:sz w:val="22"/>
                <w:szCs w:val="22"/>
              </w:rPr>
            </w:pPr>
            <w:r w:rsidRPr="00DC7701">
              <w:rPr>
                <w:rFonts w:cstheme="minorHAnsi"/>
                <w:sz w:val="22"/>
                <w:szCs w:val="22"/>
              </w:rPr>
              <w:t>the delivery of the actual appointment</w:t>
            </w:r>
          </w:p>
          <w:p w14:paraId="2CD05CDF" w14:textId="77777777" w:rsidR="00D96629" w:rsidRPr="003D745E" w:rsidRDefault="00D96629" w:rsidP="00D96629">
            <w:pPr>
              <w:pStyle w:val="tabletext"/>
              <w:numPr>
                <w:ilvl w:val="0"/>
                <w:numId w:val="6"/>
              </w:numPr>
              <w:ind w:left="351" w:hanging="351"/>
              <w:rPr>
                <w:rFonts w:cstheme="minorHAnsi"/>
                <w:sz w:val="22"/>
                <w:szCs w:val="22"/>
              </w:rPr>
            </w:pPr>
            <w:r>
              <w:rPr>
                <w:rFonts w:cstheme="minorHAnsi"/>
                <w:sz w:val="22"/>
                <w:szCs w:val="22"/>
              </w:rPr>
              <w:lastRenderedPageBreak/>
              <w:t xml:space="preserve">the </w:t>
            </w:r>
            <w:r w:rsidRPr="00DC7701">
              <w:rPr>
                <w:rFonts w:cstheme="minorHAnsi"/>
                <w:sz w:val="22"/>
                <w:szCs w:val="22"/>
              </w:rPr>
              <w:t>preparation of a psychological report</w:t>
            </w:r>
            <w:r>
              <w:rPr>
                <w:rFonts w:cstheme="minorHAnsi"/>
                <w:sz w:val="22"/>
                <w:szCs w:val="22"/>
              </w:rPr>
              <w:t xml:space="preserve"> (as defined by the Australia Psychological Society</w:t>
            </w:r>
            <w:r>
              <w:rPr>
                <w:rStyle w:val="FootnoteReference"/>
                <w:rFonts w:cstheme="minorHAnsi"/>
                <w:sz w:val="22"/>
                <w:szCs w:val="22"/>
              </w:rPr>
              <w:footnoteReference w:id="3"/>
            </w:r>
            <w:r>
              <w:rPr>
                <w:rFonts w:cstheme="minorHAnsi"/>
                <w:sz w:val="22"/>
                <w:szCs w:val="22"/>
              </w:rPr>
              <w:t>)</w:t>
            </w:r>
            <w:r w:rsidRPr="00DC7701">
              <w:rPr>
                <w:rFonts w:cstheme="minorHAnsi"/>
                <w:sz w:val="22"/>
                <w:szCs w:val="22"/>
              </w:rPr>
              <w:t xml:space="preserve">.  </w:t>
            </w:r>
          </w:p>
          <w:p w14:paraId="50879739" w14:textId="77777777" w:rsidR="00D96629" w:rsidRPr="006A4B38" w:rsidRDefault="004E3BCE" w:rsidP="00777D25">
            <w:pPr>
              <w:pStyle w:val="tabletext"/>
              <w:spacing w:before="120"/>
              <w:rPr>
                <w:rFonts w:cstheme="minorHAnsi"/>
                <w:sz w:val="22"/>
                <w:szCs w:val="22"/>
              </w:rPr>
            </w:pPr>
            <w:r>
              <w:rPr>
                <w:rFonts w:cstheme="minorHAnsi"/>
                <w:sz w:val="22"/>
                <w:szCs w:val="22"/>
              </w:rPr>
              <w:t>Providers must not claim a</w:t>
            </w:r>
            <w:r w:rsidR="00D96629" w:rsidRPr="000F60A8">
              <w:rPr>
                <w:rFonts w:cstheme="minorHAnsi"/>
                <w:sz w:val="22"/>
                <w:szCs w:val="22"/>
              </w:rPr>
              <w:t>dministrative</w:t>
            </w:r>
            <w:r w:rsidR="00D96629" w:rsidRPr="00B603B0">
              <w:rPr>
                <w:rFonts w:cstheme="minorHAnsi"/>
                <w:sz w:val="22"/>
                <w:szCs w:val="22"/>
              </w:rPr>
              <w:t xml:space="preserve"> costs such as time taken writing appointment case notes, letters, follow-up or appointment-related phone calls.</w:t>
            </w:r>
            <w:r w:rsidR="00D96629" w:rsidRPr="00B603B0">
              <w:t xml:space="preserve"> </w:t>
            </w:r>
            <w:r w:rsidR="00D96629" w:rsidRPr="00B603B0">
              <w:rPr>
                <w:rFonts w:cstheme="minorHAnsi"/>
                <w:sz w:val="22"/>
                <w:szCs w:val="22"/>
              </w:rPr>
              <w:t xml:space="preserve">In addition, </w:t>
            </w:r>
            <w:r>
              <w:rPr>
                <w:rFonts w:cstheme="minorHAnsi"/>
                <w:sz w:val="22"/>
                <w:szCs w:val="22"/>
              </w:rPr>
              <w:t xml:space="preserve">Providers must not claim </w:t>
            </w:r>
            <w:r w:rsidR="00D96629" w:rsidRPr="00B603B0">
              <w:rPr>
                <w:rFonts w:cstheme="minorHAnsi"/>
                <w:sz w:val="22"/>
                <w:szCs w:val="22"/>
              </w:rPr>
              <w:t>any costs associated with the set-up and ongo</w:t>
            </w:r>
            <w:r w:rsidR="00D96629">
              <w:rPr>
                <w:rFonts w:cstheme="minorHAnsi"/>
                <w:sz w:val="22"/>
                <w:szCs w:val="22"/>
              </w:rPr>
              <w:t>ing cost of using video or tele</w:t>
            </w:r>
            <w:r w:rsidR="00D96629" w:rsidRPr="00B603B0">
              <w:rPr>
                <w:rFonts w:cstheme="minorHAnsi"/>
                <w:sz w:val="22"/>
                <w:szCs w:val="22"/>
              </w:rPr>
              <w:t>conferencing for delivery of Professional services.</w:t>
            </w:r>
          </w:p>
          <w:p w14:paraId="7CC15918" w14:textId="43E2026E" w:rsidR="00D96629" w:rsidRDefault="00F17968" w:rsidP="00D96629">
            <w:pPr>
              <w:pStyle w:val="tabletext"/>
              <w:spacing w:before="120"/>
              <w:rPr>
                <w:rFonts w:cstheme="minorHAnsi"/>
                <w:sz w:val="22"/>
                <w:szCs w:val="22"/>
              </w:rPr>
            </w:pPr>
            <w:r>
              <w:rPr>
                <w:rFonts w:cstheme="minorHAnsi"/>
                <w:sz w:val="22"/>
                <w:szCs w:val="22"/>
              </w:rPr>
              <w:t>Providers may claim m</w:t>
            </w:r>
            <w:r w:rsidR="00D96629" w:rsidRPr="006A4B38">
              <w:rPr>
                <w:rFonts w:cstheme="minorHAnsi"/>
                <w:sz w:val="22"/>
                <w:szCs w:val="22"/>
              </w:rPr>
              <w:t xml:space="preserve">issed appointments </w:t>
            </w:r>
            <w:r w:rsidR="00D96629">
              <w:rPr>
                <w:rFonts w:cstheme="minorHAnsi"/>
                <w:sz w:val="22"/>
                <w:szCs w:val="22"/>
              </w:rPr>
              <w:t xml:space="preserve">but are limited to </w:t>
            </w:r>
            <w:r w:rsidR="00D96629" w:rsidRPr="006A4B38">
              <w:rPr>
                <w:rFonts w:cstheme="minorHAnsi"/>
                <w:sz w:val="22"/>
                <w:szCs w:val="22"/>
              </w:rPr>
              <w:t xml:space="preserve">three instances per </w:t>
            </w:r>
            <w:r w:rsidR="005D0DAA">
              <w:rPr>
                <w:rFonts w:cstheme="minorHAnsi"/>
                <w:sz w:val="22"/>
                <w:szCs w:val="22"/>
              </w:rPr>
              <w:t>Participant</w:t>
            </w:r>
            <w:r w:rsidR="00D96629">
              <w:rPr>
                <w:rFonts w:cstheme="minorHAnsi"/>
                <w:sz w:val="22"/>
                <w:szCs w:val="22"/>
              </w:rPr>
              <w:t>,</w:t>
            </w:r>
            <w:r w:rsidR="00D96629" w:rsidRPr="006A4B38">
              <w:rPr>
                <w:rFonts w:cstheme="minorHAnsi"/>
                <w:sz w:val="22"/>
                <w:szCs w:val="22"/>
              </w:rPr>
              <w:t xml:space="preserve"> </w:t>
            </w:r>
            <w:r w:rsidR="000A2717">
              <w:rPr>
                <w:rFonts w:cstheme="minorHAnsi"/>
                <w:sz w:val="22"/>
                <w:szCs w:val="22"/>
              </w:rPr>
              <w:t>per Provider</w:t>
            </w:r>
            <w:r w:rsidR="00D76506">
              <w:rPr>
                <w:rFonts w:cstheme="minorHAnsi"/>
                <w:sz w:val="22"/>
                <w:szCs w:val="22"/>
              </w:rPr>
              <w:t>,</w:t>
            </w:r>
            <w:r w:rsidR="000A2717">
              <w:rPr>
                <w:rFonts w:cstheme="minorHAnsi"/>
                <w:sz w:val="22"/>
                <w:szCs w:val="22"/>
              </w:rPr>
              <w:t xml:space="preserve"> </w:t>
            </w:r>
            <w:r w:rsidR="00D96629" w:rsidRPr="006A4B38">
              <w:rPr>
                <w:rFonts w:cstheme="minorHAnsi"/>
                <w:sz w:val="22"/>
                <w:szCs w:val="22"/>
              </w:rPr>
              <w:t>per financial year.</w:t>
            </w:r>
          </w:p>
          <w:p w14:paraId="2083E36F" w14:textId="77777777" w:rsidR="00D96629" w:rsidRPr="006A4B38" w:rsidRDefault="00D96629" w:rsidP="00D96629">
            <w:pPr>
              <w:pStyle w:val="tabletext"/>
              <w:spacing w:before="120"/>
              <w:rPr>
                <w:rFonts w:cstheme="minorHAnsi"/>
                <w:b/>
                <w:sz w:val="22"/>
                <w:szCs w:val="22"/>
              </w:rPr>
            </w:pPr>
            <w:r>
              <w:rPr>
                <w:rFonts w:cstheme="minorHAnsi"/>
                <w:b/>
                <w:sz w:val="22"/>
                <w:szCs w:val="22"/>
              </w:rPr>
              <w:t>Additional</w:t>
            </w:r>
            <w:r w:rsidRPr="006A4B38">
              <w:rPr>
                <w:rFonts w:cstheme="minorHAnsi"/>
                <w:b/>
                <w:sz w:val="22"/>
                <w:szCs w:val="22"/>
              </w:rPr>
              <w:t xml:space="preserve"> r</w:t>
            </w:r>
            <w:r>
              <w:rPr>
                <w:rFonts w:cstheme="minorHAnsi"/>
                <w:b/>
                <w:sz w:val="22"/>
                <w:szCs w:val="22"/>
              </w:rPr>
              <w:t>e</w:t>
            </w:r>
            <w:r w:rsidRPr="006A4B38">
              <w:rPr>
                <w:rFonts w:cstheme="minorHAnsi"/>
                <w:b/>
                <w:sz w:val="22"/>
                <w:szCs w:val="22"/>
              </w:rPr>
              <w:t>quirements for delivery by staff of Own Organisation and Related Entity</w:t>
            </w:r>
          </w:p>
          <w:p w14:paraId="7EB8DA95" w14:textId="77777777" w:rsidR="00D96629" w:rsidRPr="006A4B38" w:rsidRDefault="00D96629" w:rsidP="00D96629">
            <w:pPr>
              <w:pStyle w:val="tabletext"/>
              <w:rPr>
                <w:rFonts w:cstheme="minorHAnsi"/>
                <w:sz w:val="22"/>
                <w:szCs w:val="22"/>
              </w:rPr>
            </w:pPr>
            <w:r>
              <w:rPr>
                <w:rFonts w:cstheme="minorHAnsi"/>
                <w:sz w:val="22"/>
                <w:szCs w:val="22"/>
              </w:rPr>
              <w:t>In addition to the qualification and registration requirements stated above, s</w:t>
            </w:r>
            <w:r w:rsidRPr="006A4B38">
              <w:rPr>
                <w:rFonts w:cstheme="minorHAnsi"/>
                <w:sz w:val="22"/>
                <w:szCs w:val="22"/>
              </w:rPr>
              <w:t>tandard rates apply for professional services delivered by a staff member employed by a Provider’s Own Organisation or Related Entity. The maximum amounts that can be claimed are calculated according to the following rates:</w:t>
            </w:r>
          </w:p>
          <w:p w14:paraId="14A68E5A" w14:textId="77777777" w:rsidR="00D96629" w:rsidRPr="006A4B38" w:rsidRDefault="00D96629" w:rsidP="00D96629">
            <w:pPr>
              <w:pStyle w:val="tabletext"/>
              <w:numPr>
                <w:ilvl w:val="0"/>
                <w:numId w:val="6"/>
              </w:numPr>
              <w:ind w:left="351" w:hanging="351"/>
              <w:rPr>
                <w:rFonts w:cstheme="minorHAnsi"/>
                <w:sz w:val="22"/>
                <w:szCs w:val="22"/>
              </w:rPr>
            </w:pPr>
            <w:r>
              <w:rPr>
                <w:rFonts w:cstheme="minorHAnsi"/>
                <w:sz w:val="22"/>
                <w:szCs w:val="22"/>
              </w:rPr>
              <w:t>F</w:t>
            </w:r>
            <w:r w:rsidRPr="00481207">
              <w:rPr>
                <w:rFonts w:cstheme="minorHAnsi"/>
                <w:sz w:val="22"/>
                <w:szCs w:val="22"/>
              </w:rPr>
              <w:t>or individual sessions</w:t>
            </w:r>
            <w:r>
              <w:rPr>
                <w:rFonts w:cstheme="minorHAnsi"/>
                <w:sz w:val="22"/>
                <w:szCs w:val="22"/>
              </w:rPr>
              <w:t xml:space="preserve"> (including preparation of psychological reports)</w:t>
            </w:r>
            <w:r w:rsidRPr="00481207">
              <w:rPr>
                <w:rFonts w:cstheme="minorHAnsi"/>
                <w:sz w:val="22"/>
                <w:szCs w:val="22"/>
              </w:rPr>
              <w:t xml:space="preserve"> or group sessions attended by up to five </w:t>
            </w:r>
            <w:r w:rsidR="005D0DAA">
              <w:rPr>
                <w:rFonts w:cstheme="minorHAnsi"/>
                <w:sz w:val="22"/>
                <w:szCs w:val="22"/>
              </w:rPr>
              <w:t>Participant</w:t>
            </w:r>
            <w:r>
              <w:rPr>
                <w:rFonts w:cstheme="minorHAnsi"/>
                <w:sz w:val="22"/>
                <w:szCs w:val="22"/>
              </w:rPr>
              <w:t>s:</w:t>
            </w:r>
          </w:p>
          <w:p w14:paraId="54AFCEDD" w14:textId="77777777" w:rsidR="00D96629" w:rsidRPr="00F130F2" w:rsidRDefault="00D96629" w:rsidP="00D96629">
            <w:pPr>
              <w:pStyle w:val="tabletext"/>
              <w:numPr>
                <w:ilvl w:val="0"/>
                <w:numId w:val="6"/>
              </w:numPr>
              <w:rPr>
                <w:sz w:val="22"/>
              </w:rPr>
            </w:pPr>
            <w:r w:rsidRPr="00F130F2">
              <w:rPr>
                <w:sz w:val="22"/>
              </w:rPr>
              <w:t>$125.40 per hour ($2.09 per minute) (GST inclusive) for services delivered by a qualified allied health professional</w:t>
            </w:r>
          </w:p>
          <w:p w14:paraId="779FC8A7" w14:textId="77777777" w:rsidR="00D96629" w:rsidRPr="00F130F2" w:rsidRDefault="00D96629" w:rsidP="00D96629">
            <w:pPr>
              <w:pStyle w:val="tabletext"/>
              <w:numPr>
                <w:ilvl w:val="0"/>
                <w:numId w:val="6"/>
              </w:numPr>
              <w:rPr>
                <w:sz w:val="22"/>
              </w:rPr>
            </w:pPr>
            <w:r w:rsidRPr="00F130F2">
              <w:rPr>
                <w:sz w:val="22"/>
              </w:rPr>
              <w:t>$150.00 per hour ($2.50 per minute) (GST inclusive) for services delivered by a qualified psychologist</w:t>
            </w:r>
          </w:p>
          <w:p w14:paraId="47E19CBD" w14:textId="77777777" w:rsidR="00D96629" w:rsidRPr="00481207" w:rsidRDefault="00D96629" w:rsidP="00D96629">
            <w:pPr>
              <w:pStyle w:val="tabletext"/>
              <w:numPr>
                <w:ilvl w:val="0"/>
                <w:numId w:val="6"/>
              </w:numPr>
              <w:ind w:left="351" w:hanging="351"/>
              <w:rPr>
                <w:rFonts w:cstheme="minorHAnsi"/>
                <w:sz w:val="22"/>
                <w:szCs w:val="22"/>
              </w:rPr>
            </w:pPr>
            <w:r>
              <w:rPr>
                <w:rFonts w:cstheme="minorHAnsi"/>
                <w:sz w:val="22"/>
                <w:szCs w:val="22"/>
              </w:rPr>
              <w:t>F</w:t>
            </w:r>
            <w:r w:rsidRPr="00481207">
              <w:rPr>
                <w:rFonts w:cstheme="minorHAnsi"/>
                <w:sz w:val="22"/>
                <w:szCs w:val="22"/>
              </w:rPr>
              <w:t xml:space="preserve">or group sessions attended by six or more </w:t>
            </w:r>
            <w:r w:rsidR="005D0DAA">
              <w:rPr>
                <w:rFonts w:cstheme="minorHAnsi"/>
                <w:sz w:val="22"/>
                <w:szCs w:val="22"/>
              </w:rPr>
              <w:t>Participant</w:t>
            </w:r>
            <w:r>
              <w:rPr>
                <w:rFonts w:cstheme="minorHAnsi"/>
                <w:sz w:val="22"/>
                <w:szCs w:val="22"/>
              </w:rPr>
              <w:t>s:</w:t>
            </w:r>
          </w:p>
          <w:p w14:paraId="3546D20E" w14:textId="77777777" w:rsidR="00D96629" w:rsidRPr="00F130F2" w:rsidRDefault="00D96629" w:rsidP="00D96629">
            <w:pPr>
              <w:pStyle w:val="tabletext"/>
              <w:numPr>
                <w:ilvl w:val="0"/>
                <w:numId w:val="6"/>
              </w:numPr>
              <w:rPr>
                <w:sz w:val="22"/>
              </w:rPr>
            </w:pPr>
            <w:r w:rsidRPr="00B51CBF">
              <w:rPr>
                <w:rFonts w:cstheme="minorHAnsi"/>
                <w:sz w:val="22"/>
                <w:szCs w:val="22"/>
              </w:rPr>
              <w:t>$</w:t>
            </w:r>
            <w:r w:rsidRPr="00F130F2">
              <w:rPr>
                <w:sz w:val="22"/>
              </w:rPr>
              <w:t xml:space="preserve">22.80 per </w:t>
            </w:r>
            <w:r w:rsidR="005D0DAA">
              <w:rPr>
                <w:sz w:val="22"/>
              </w:rPr>
              <w:t>Participant</w:t>
            </w:r>
            <w:r w:rsidRPr="00F130F2">
              <w:rPr>
                <w:sz w:val="22"/>
              </w:rPr>
              <w:t xml:space="preserve"> per hour ($0.38 per </w:t>
            </w:r>
            <w:r w:rsidR="005D0DAA">
              <w:rPr>
                <w:sz w:val="22"/>
              </w:rPr>
              <w:t>Participant</w:t>
            </w:r>
            <w:r w:rsidRPr="00F130F2">
              <w:rPr>
                <w:sz w:val="22"/>
              </w:rPr>
              <w:t xml:space="preserve"> per minute) (GST inclusive) for services delivered by a qualified allied health professional</w:t>
            </w:r>
          </w:p>
          <w:p w14:paraId="78F5434A" w14:textId="77777777" w:rsidR="00D96629" w:rsidRPr="00F130F2" w:rsidRDefault="00D96629" w:rsidP="00D96629">
            <w:pPr>
              <w:pStyle w:val="tabletext"/>
              <w:numPr>
                <w:ilvl w:val="0"/>
                <w:numId w:val="6"/>
              </w:numPr>
              <w:rPr>
                <w:sz w:val="22"/>
              </w:rPr>
            </w:pPr>
            <w:r w:rsidRPr="00F130F2">
              <w:rPr>
                <w:sz w:val="22"/>
              </w:rPr>
              <w:t xml:space="preserve">$25.80 per </w:t>
            </w:r>
            <w:r w:rsidR="005D0DAA">
              <w:rPr>
                <w:sz w:val="22"/>
              </w:rPr>
              <w:t>Participant</w:t>
            </w:r>
            <w:r w:rsidRPr="00F130F2">
              <w:rPr>
                <w:sz w:val="22"/>
              </w:rPr>
              <w:t xml:space="preserve"> per hour ($0.43 per </w:t>
            </w:r>
            <w:r w:rsidR="005D0DAA">
              <w:rPr>
                <w:sz w:val="22"/>
              </w:rPr>
              <w:t>Participant</w:t>
            </w:r>
            <w:r w:rsidRPr="00F130F2">
              <w:rPr>
                <w:sz w:val="22"/>
              </w:rPr>
              <w:t xml:space="preserve"> per minute) (GST inclusive) for services delivered by a qualified psychologist.</w:t>
            </w:r>
          </w:p>
          <w:p w14:paraId="742376C6" w14:textId="77777777" w:rsidR="00D96629" w:rsidRDefault="00D96629" w:rsidP="00D96629">
            <w:pPr>
              <w:pStyle w:val="tabletext"/>
              <w:numPr>
                <w:ilvl w:val="0"/>
                <w:numId w:val="6"/>
              </w:numPr>
              <w:ind w:left="351" w:hanging="351"/>
              <w:rPr>
                <w:rFonts w:cstheme="minorHAnsi"/>
                <w:sz w:val="22"/>
                <w:szCs w:val="22"/>
              </w:rPr>
            </w:pPr>
            <w:r w:rsidRPr="006A4B38">
              <w:rPr>
                <w:rFonts w:cstheme="minorHAnsi"/>
                <w:sz w:val="22"/>
                <w:szCs w:val="22"/>
              </w:rPr>
              <w:t xml:space="preserve">If </w:t>
            </w:r>
            <w:r w:rsidR="005D0DAA">
              <w:rPr>
                <w:rFonts w:cstheme="minorHAnsi"/>
                <w:sz w:val="22"/>
                <w:szCs w:val="22"/>
              </w:rPr>
              <w:t>Participant</w:t>
            </w:r>
            <w:r>
              <w:rPr>
                <w:rFonts w:cstheme="minorHAnsi"/>
                <w:sz w:val="22"/>
                <w:szCs w:val="22"/>
              </w:rPr>
              <w:t>s</w:t>
            </w:r>
            <w:r w:rsidRPr="006A4B38">
              <w:rPr>
                <w:rFonts w:cstheme="minorHAnsi"/>
                <w:sz w:val="22"/>
                <w:szCs w:val="22"/>
              </w:rPr>
              <w:t xml:space="preserve"> from </w:t>
            </w:r>
            <w:r>
              <w:rPr>
                <w:rFonts w:cstheme="minorHAnsi"/>
                <w:sz w:val="22"/>
                <w:szCs w:val="22"/>
              </w:rPr>
              <w:t>a</w:t>
            </w:r>
            <w:r w:rsidRPr="006A4B38">
              <w:rPr>
                <w:rFonts w:cstheme="minorHAnsi"/>
                <w:sz w:val="22"/>
                <w:szCs w:val="22"/>
              </w:rPr>
              <w:t xml:space="preserve"> Provider’s caseload make up a portion of the </w:t>
            </w:r>
            <w:r w:rsidR="005D0DAA">
              <w:rPr>
                <w:rFonts w:cstheme="minorHAnsi"/>
                <w:sz w:val="22"/>
                <w:szCs w:val="22"/>
              </w:rPr>
              <w:t>Participant</w:t>
            </w:r>
            <w:r>
              <w:rPr>
                <w:rFonts w:cstheme="minorHAnsi"/>
                <w:sz w:val="22"/>
                <w:szCs w:val="22"/>
              </w:rPr>
              <w:t>s in a group session</w:t>
            </w:r>
            <w:r w:rsidRPr="006A4B38">
              <w:rPr>
                <w:rFonts w:cstheme="minorHAnsi"/>
                <w:sz w:val="22"/>
                <w:szCs w:val="22"/>
              </w:rPr>
              <w:t xml:space="preserve">, </w:t>
            </w:r>
            <w:r>
              <w:rPr>
                <w:rFonts w:cstheme="minorHAnsi"/>
                <w:sz w:val="22"/>
                <w:szCs w:val="22"/>
              </w:rPr>
              <w:t xml:space="preserve">a </w:t>
            </w:r>
            <w:r w:rsidRPr="006A4B38">
              <w:rPr>
                <w:rFonts w:cstheme="minorHAnsi"/>
                <w:sz w:val="22"/>
                <w:szCs w:val="22"/>
              </w:rPr>
              <w:t xml:space="preserve">Provider must only claim the pro-rata amount of the relevant group session standard rate. For example, if a Provider has two </w:t>
            </w:r>
            <w:r w:rsidR="005D0DAA">
              <w:rPr>
                <w:rFonts w:cstheme="minorHAnsi"/>
                <w:sz w:val="22"/>
                <w:szCs w:val="22"/>
              </w:rPr>
              <w:t>Participant</w:t>
            </w:r>
            <w:r>
              <w:rPr>
                <w:rFonts w:cstheme="minorHAnsi"/>
                <w:sz w:val="22"/>
                <w:szCs w:val="22"/>
              </w:rPr>
              <w:t>s</w:t>
            </w:r>
            <w:r w:rsidRPr="006A4B38">
              <w:rPr>
                <w:rFonts w:cstheme="minorHAnsi"/>
                <w:sz w:val="22"/>
                <w:szCs w:val="22"/>
              </w:rPr>
              <w:t xml:space="preserve"> out of five </w:t>
            </w:r>
            <w:r w:rsidR="005D0DAA">
              <w:rPr>
                <w:rFonts w:cstheme="minorHAnsi"/>
                <w:sz w:val="22"/>
                <w:szCs w:val="22"/>
              </w:rPr>
              <w:t>Participant</w:t>
            </w:r>
            <w:r w:rsidRPr="006A4B38">
              <w:rPr>
                <w:rFonts w:cstheme="minorHAnsi"/>
                <w:sz w:val="22"/>
                <w:szCs w:val="22"/>
              </w:rPr>
              <w:t xml:space="preserve">s in a one hour group session delivered by a qualified psychologist of a Related Entity, </w:t>
            </w:r>
            <w:r>
              <w:rPr>
                <w:rFonts w:cstheme="minorHAnsi"/>
                <w:sz w:val="22"/>
                <w:szCs w:val="22"/>
              </w:rPr>
              <w:t>a</w:t>
            </w:r>
            <w:r w:rsidRPr="006A4B38">
              <w:rPr>
                <w:rFonts w:cstheme="minorHAnsi"/>
                <w:sz w:val="22"/>
                <w:szCs w:val="22"/>
              </w:rPr>
              <w:t xml:space="preserve"> Provider would claim $30.00 (GST inclusive) for each </w:t>
            </w:r>
            <w:r w:rsidR="005D0DAA">
              <w:rPr>
                <w:rFonts w:cstheme="minorHAnsi"/>
                <w:sz w:val="22"/>
                <w:szCs w:val="22"/>
              </w:rPr>
              <w:t>Participant</w:t>
            </w:r>
            <w:r w:rsidRPr="006A4B38">
              <w:rPr>
                <w:rFonts w:cstheme="minorHAnsi"/>
                <w:sz w:val="22"/>
                <w:szCs w:val="22"/>
              </w:rPr>
              <w:t xml:space="preserve"> (i.e. $150 divided by 5 </w:t>
            </w:r>
            <w:r w:rsidR="005D0DAA">
              <w:rPr>
                <w:rFonts w:cstheme="minorHAnsi"/>
                <w:sz w:val="22"/>
                <w:szCs w:val="22"/>
              </w:rPr>
              <w:t>Participant</w:t>
            </w:r>
            <w:r w:rsidRPr="006A4B38">
              <w:rPr>
                <w:rFonts w:cstheme="minorHAnsi"/>
                <w:sz w:val="22"/>
                <w:szCs w:val="22"/>
              </w:rPr>
              <w:t xml:space="preserve">s = $30 per </w:t>
            </w:r>
            <w:r w:rsidR="005D0DAA">
              <w:rPr>
                <w:rFonts w:cstheme="minorHAnsi"/>
                <w:sz w:val="22"/>
                <w:szCs w:val="22"/>
              </w:rPr>
              <w:t>Participant</w:t>
            </w:r>
            <w:r w:rsidRPr="006A4B38">
              <w:rPr>
                <w:rFonts w:cstheme="minorHAnsi"/>
                <w:sz w:val="22"/>
                <w:szCs w:val="22"/>
              </w:rPr>
              <w:t xml:space="preserve"> per hour).</w:t>
            </w:r>
          </w:p>
          <w:p w14:paraId="0F9084BE" w14:textId="77777777" w:rsidR="00D96629" w:rsidRPr="009F211C" w:rsidRDefault="00D96629" w:rsidP="00F17968">
            <w:pPr>
              <w:pStyle w:val="tabletext"/>
              <w:spacing w:before="120"/>
              <w:rPr>
                <w:rFonts w:cstheme="minorHAnsi"/>
                <w:sz w:val="22"/>
                <w:szCs w:val="22"/>
              </w:rPr>
            </w:pPr>
            <w:r>
              <w:rPr>
                <w:rFonts w:cstheme="minorHAnsi"/>
                <w:sz w:val="22"/>
                <w:szCs w:val="22"/>
              </w:rPr>
              <w:t xml:space="preserve">The Department’s IT System allows the total invoice amount to </w:t>
            </w:r>
            <w:r w:rsidR="00F17968">
              <w:rPr>
                <w:rFonts w:cstheme="minorHAnsi"/>
                <w:sz w:val="22"/>
                <w:szCs w:val="22"/>
              </w:rPr>
              <w:t>reduce</w:t>
            </w:r>
            <w:r>
              <w:rPr>
                <w:rFonts w:cstheme="minorHAnsi"/>
                <w:sz w:val="22"/>
                <w:szCs w:val="22"/>
              </w:rPr>
              <w:t xml:space="preserve"> where required.</w:t>
            </w:r>
          </w:p>
        </w:tc>
        <w:tc>
          <w:tcPr>
            <w:tcW w:w="6247" w:type="dxa"/>
          </w:tcPr>
          <w:p w14:paraId="36411569" w14:textId="77777777" w:rsidR="00D96629" w:rsidRPr="00E4538E" w:rsidRDefault="00D96629" w:rsidP="00D96629">
            <w:pPr>
              <w:pStyle w:val="tabletext"/>
              <w:rPr>
                <w:rFonts w:cstheme="minorHAnsi"/>
                <w:sz w:val="22"/>
                <w:szCs w:val="22"/>
              </w:rPr>
            </w:pPr>
            <w:r w:rsidRPr="00A37677">
              <w:rPr>
                <w:rFonts w:cstheme="minorHAnsi"/>
                <w:sz w:val="22"/>
                <w:szCs w:val="22"/>
              </w:rPr>
              <w:lastRenderedPageBreak/>
              <w:t xml:space="preserve">In addition to the Documentary </w:t>
            </w:r>
            <w:r w:rsidRPr="00E4538E">
              <w:rPr>
                <w:rFonts w:cstheme="minorHAnsi"/>
                <w:sz w:val="22"/>
                <w:szCs w:val="22"/>
              </w:rPr>
              <w:t xml:space="preserve">Evidence requirements for all purchases detailed in the </w:t>
            </w:r>
            <w:hyperlink w:anchor="_Summary_of_required" w:history="1">
              <w:r w:rsidRPr="00E4538E">
                <w:rPr>
                  <w:rStyle w:val="Hyperlink"/>
                  <w:sz w:val="22"/>
                  <w:szCs w:val="22"/>
                </w:rPr>
                <w:t>Summary of required Documentary Evidence</w:t>
              </w:r>
            </w:hyperlink>
            <w:r w:rsidRPr="00E4538E">
              <w:rPr>
                <w:rFonts w:cstheme="minorHAnsi"/>
                <w:color w:val="2E74B5" w:themeColor="accent1" w:themeShade="BF"/>
                <w:sz w:val="22"/>
                <w:szCs w:val="22"/>
              </w:rPr>
              <w:t xml:space="preserve"> </w:t>
            </w:r>
            <w:r w:rsidRPr="00E4538E">
              <w:rPr>
                <w:rFonts w:cstheme="minorHAnsi"/>
                <w:sz w:val="22"/>
                <w:szCs w:val="22"/>
              </w:rPr>
              <w:t>section, a Provider must:</w:t>
            </w:r>
          </w:p>
          <w:p w14:paraId="79DF334F" w14:textId="77777777" w:rsidR="00D96629" w:rsidRPr="00E4538E" w:rsidRDefault="00D96629" w:rsidP="00D96629">
            <w:pPr>
              <w:pStyle w:val="tabletext"/>
              <w:numPr>
                <w:ilvl w:val="0"/>
                <w:numId w:val="6"/>
              </w:numPr>
              <w:ind w:left="351" w:hanging="351"/>
              <w:rPr>
                <w:rFonts w:cstheme="minorHAnsi"/>
                <w:sz w:val="22"/>
                <w:szCs w:val="22"/>
              </w:rPr>
            </w:pPr>
            <w:r w:rsidRPr="00E4538E">
              <w:rPr>
                <w:rFonts w:cstheme="minorHAnsi"/>
                <w:sz w:val="22"/>
                <w:szCs w:val="22"/>
              </w:rPr>
              <w:t>enter the following into the commitment in the Department’s IT System:</w:t>
            </w:r>
          </w:p>
          <w:p w14:paraId="02C0598F" w14:textId="77777777" w:rsidR="00D96629" w:rsidRPr="00F130F2" w:rsidRDefault="00D96629" w:rsidP="00D96629">
            <w:pPr>
              <w:pStyle w:val="tabletext"/>
              <w:numPr>
                <w:ilvl w:val="0"/>
                <w:numId w:val="6"/>
              </w:numPr>
              <w:rPr>
                <w:sz w:val="22"/>
              </w:rPr>
            </w:pPr>
            <w:r w:rsidRPr="00F130F2">
              <w:rPr>
                <w:sz w:val="22"/>
              </w:rPr>
              <w:t>the specialist type (psychologist or other allied health professional)</w:t>
            </w:r>
          </w:p>
          <w:p w14:paraId="2838802B" w14:textId="77777777" w:rsidR="00D96629" w:rsidRPr="00F130F2" w:rsidRDefault="00D96629" w:rsidP="00D96629">
            <w:pPr>
              <w:pStyle w:val="tabletext"/>
              <w:numPr>
                <w:ilvl w:val="0"/>
                <w:numId w:val="6"/>
              </w:numPr>
              <w:rPr>
                <w:sz w:val="22"/>
              </w:rPr>
            </w:pPr>
            <w:r w:rsidRPr="00F130F2">
              <w:rPr>
                <w:sz w:val="22"/>
              </w:rPr>
              <w:t xml:space="preserve">the session type (individual, group or report preparation) </w:t>
            </w:r>
          </w:p>
          <w:p w14:paraId="1A99B476" w14:textId="77777777" w:rsidR="00D96629" w:rsidRPr="00F130F2" w:rsidRDefault="00D96629" w:rsidP="00D96629">
            <w:pPr>
              <w:pStyle w:val="tabletext"/>
              <w:numPr>
                <w:ilvl w:val="0"/>
                <w:numId w:val="6"/>
              </w:numPr>
              <w:rPr>
                <w:sz w:val="22"/>
              </w:rPr>
            </w:pPr>
            <w:r w:rsidRPr="00F130F2">
              <w:rPr>
                <w:sz w:val="22"/>
              </w:rPr>
              <w:t>the duration of the session (in minutes)</w:t>
            </w:r>
          </w:p>
          <w:p w14:paraId="15ACDE3F" w14:textId="77777777" w:rsidR="00D96629" w:rsidRPr="00F130F2" w:rsidRDefault="00D96629" w:rsidP="00D96629">
            <w:pPr>
              <w:pStyle w:val="tabletext"/>
              <w:numPr>
                <w:ilvl w:val="0"/>
                <w:numId w:val="6"/>
              </w:numPr>
              <w:rPr>
                <w:sz w:val="22"/>
              </w:rPr>
            </w:pPr>
            <w:r w:rsidRPr="00F130F2">
              <w:rPr>
                <w:sz w:val="22"/>
              </w:rPr>
              <w:t xml:space="preserve">confirmation whether the </w:t>
            </w:r>
            <w:r w:rsidR="005D0DAA">
              <w:rPr>
                <w:sz w:val="22"/>
              </w:rPr>
              <w:t>Participant</w:t>
            </w:r>
            <w:r w:rsidRPr="00F130F2">
              <w:rPr>
                <w:sz w:val="22"/>
              </w:rPr>
              <w:t xml:space="preserve"> attended the appointment</w:t>
            </w:r>
          </w:p>
          <w:p w14:paraId="23D6E663" w14:textId="77777777" w:rsidR="00D96629" w:rsidRPr="00E4538E" w:rsidRDefault="00D96629" w:rsidP="00D96629">
            <w:pPr>
              <w:pStyle w:val="tabletext"/>
              <w:numPr>
                <w:ilvl w:val="0"/>
                <w:numId w:val="6"/>
              </w:numPr>
              <w:ind w:left="351" w:hanging="351"/>
              <w:rPr>
                <w:rFonts w:cstheme="minorHAnsi"/>
                <w:sz w:val="22"/>
                <w:szCs w:val="22"/>
              </w:rPr>
            </w:pPr>
            <w:r w:rsidRPr="00E4538E">
              <w:rPr>
                <w:rFonts w:cstheme="minorHAnsi"/>
                <w:sz w:val="22"/>
                <w:szCs w:val="22"/>
              </w:rPr>
              <w:t>create and maintain in the Department’s IT System a list of the staff members in a Provider’s Own Organisation or a Related Entity who will deliver professional services (either psychologists or other allied health professionals)</w:t>
            </w:r>
          </w:p>
          <w:p w14:paraId="06513318" w14:textId="77777777" w:rsidR="00D96629" w:rsidRPr="00E4538E" w:rsidRDefault="00D96629" w:rsidP="00D96629">
            <w:pPr>
              <w:pStyle w:val="tabletext"/>
              <w:numPr>
                <w:ilvl w:val="0"/>
                <w:numId w:val="6"/>
              </w:numPr>
              <w:ind w:left="351" w:hanging="351"/>
              <w:rPr>
                <w:rFonts w:cstheme="minorHAnsi"/>
                <w:sz w:val="22"/>
                <w:szCs w:val="22"/>
              </w:rPr>
            </w:pPr>
            <w:r w:rsidRPr="00E4538E">
              <w:rPr>
                <w:rFonts w:cstheme="minorHAnsi"/>
                <w:sz w:val="22"/>
                <w:szCs w:val="22"/>
              </w:rPr>
              <w:t>retain sufficient items of Documentary Evidence that in combination includes the following for externally delivered professional services:</w:t>
            </w:r>
          </w:p>
          <w:p w14:paraId="7421CC00" w14:textId="77777777" w:rsidR="00D96629" w:rsidRPr="00F130F2" w:rsidRDefault="00D96629" w:rsidP="00D96629">
            <w:pPr>
              <w:pStyle w:val="tabletext"/>
              <w:numPr>
                <w:ilvl w:val="0"/>
                <w:numId w:val="6"/>
              </w:numPr>
              <w:rPr>
                <w:sz w:val="22"/>
              </w:rPr>
            </w:pPr>
            <w:r w:rsidRPr="00F130F2">
              <w:rPr>
                <w:sz w:val="22"/>
              </w:rPr>
              <w:t>a description of the service delivered</w:t>
            </w:r>
          </w:p>
          <w:p w14:paraId="4F9C0340" w14:textId="77777777" w:rsidR="00D96629" w:rsidRPr="00F130F2" w:rsidRDefault="00D96629" w:rsidP="00D96629">
            <w:pPr>
              <w:pStyle w:val="tabletext"/>
              <w:numPr>
                <w:ilvl w:val="0"/>
                <w:numId w:val="6"/>
              </w:numPr>
              <w:rPr>
                <w:sz w:val="22"/>
              </w:rPr>
            </w:pPr>
            <w:r w:rsidRPr="00F130F2">
              <w:rPr>
                <w:sz w:val="22"/>
              </w:rPr>
              <w:t xml:space="preserve">specify whether the </w:t>
            </w:r>
            <w:r w:rsidR="005D0DAA">
              <w:rPr>
                <w:sz w:val="22"/>
              </w:rPr>
              <w:t>Participant</w:t>
            </w:r>
            <w:r w:rsidRPr="00F130F2">
              <w:rPr>
                <w:sz w:val="22"/>
              </w:rPr>
              <w:t xml:space="preserve"> attended the appointment</w:t>
            </w:r>
          </w:p>
          <w:p w14:paraId="2F3593C7" w14:textId="77777777" w:rsidR="00D96629" w:rsidRPr="00E4538E" w:rsidRDefault="00D96629" w:rsidP="00D96629">
            <w:pPr>
              <w:pStyle w:val="tabletext"/>
              <w:numPr>
                <w:ilvl w:val="0"/>
                <w:numId w:val="6"/>
              </w:numPr>
              <w:ind w:left="351" w:hanging="351"/>
              <w:rPr>
                <w:rFonts w:cstheme="minorHAnsi"/>
                <w:sz w:val="22"/>
                <w:szCs w:val="22"/>
              </w:rPr>
            </w:pPr>
            <w:r w:rsidRPr="00E4538E">
              <w:rPr>
                <w:rFonts w:cstheme="minorHAnsi"/>
                <w:sz w:val="22"/>
                <w:szCs w:val="22"/>
              </w:rPr>
              <w:t>retain sufficient items of Documentary Evidence that in combination includes the following for professional services delivered by a Provider’s Own Organisation or a Related Entity:</w:t>
            </w:r>
          </w:p>
          <w:p w14:paraId="357317DA" w14:textId="77777777" w:rsidR="00D96629" w:rsidRPr="00F130F2" w:rsidRDefault="00D96629" w:rsidP="00D96629">
            <w:pPr>
              <w:pStyle w:val="tabletext"/>
              <w:numPr>
                <w:ilvl w:val="0"/>
                <w:numId w:val="6"/>
              </w:numPr>
              <w:rPr>
                <w:sz w:val="22"/>
              </w:rPr>
            </w:pPr>
            <w:r w:rsidRPr="00F130F2">
              <w:rPr>
                <w:sz w:val="22"/>
              </w:rPr>
              <w:t>a description of the service delivered</w:t>
            </w:r>
          </w:p>
          <w:p w14:paraId="1B66E8E1" w14:textId="77777777" w:rsidR="00D96629" w:rsidRPr="00F130F2" w:rsidRDefault="00D96629" w:rsidP="00D96629">
            <w:pPr>
              <w:pStyle w:val="tabletext"/>
              <w:numPr>
                <w:ilvl w:val="0"/>
                <w:numId w:val="6"/>
              </w:numPr>
              <w:rPr>
                <w:sz w:val="22"/>
              </w:rPr>
            </w:pPr>
            <w:r w:rsidRPr="00F130F2">
              <w:rPr>
                <w:sz w:val="22"/>
              </w:rPr>
              <w:lastRenderedPageBreak/>
              <w:t>identify the specialist type (psychologist or other allied health professional)</w:t>
            </w:r>
          </w:p>
          <w:p w14:paraId="5600BBAE" w14:textId="77777777" w:rsidR="00D96629" w:rsidRPr="00F130F2" w:rsidRDefault="00D96629" w:rsidP="00D96629">
            <w:pPr>
              <w:pStyle w:val="tabletext"/>
              <w:numPr>
                <w:ilvl w:val="0"/>
                <w:numId w:val="6"/>
              </w:numPr>
              <w:rPr>
                <w:sz w:val="22"/>
              </w:rPr>
            </w:pPr>
            <w:r w:rsidRPr="00F130F2">
              <w:rPr>
                <w:sz w:val="22"/>
              </w:rPr>
              <w:t>identify the session type (individual or group)</w:t>
            </w:r>
          </w:p>
          <w:p w14:paraId="752CE809" w14:textId="77777777" w:rsidR="00D96629" w:rsidRPr="00F130F2" w:rsidRDefault="00D96629" w:rsidP="00D96629">
            <w:pPr>
              <w:pStyle w:val="tabletext"/>
              <w:numPr>
                <w:ilvl w:val="0"/>
                <w:numId w:val="6"/>
              </w:numPr>
              <w:rPr>
                <w:sz w:val="22"/>
              </w:rPr>
            </w:pPr>
            <w:r w:rsidRPr="00F130F2">
              <w:rPr>
                <w:sz w:val="22"/>
              </w:rPr>
              <w:t>the duration of the service</w:t>
            </w:r>
          </w:p>
          <w:p w14:paraId="56CE9BB4" w14:textId="77777777" w:rsidR="00D96629" w:rsidRPr="00F130F2" w:rsidRDefault="00D96629" w:rsidP="00D96629">
            <w:pPr>
              <w:pStyle w:val="tabletext"/>
              <w:numPr>
                <w:ilvl w:val="0"/>
                <w:numId w:val="6"/>
              </w:numPr>
              <w:rPr>
                <w:sz w:val="22"/>
              </w:rPr>
            </w:pPr>
            <w:r w:rsidRPr="00F130F2">
              <w:rPr>
                <w:sz w:val="22"/>
              </w:rPr>
              <w:t xml:space="preserve">specify whether the </w:t>
            </w:r>
            <w:r w:rsidR="005D0DAA">
              <w:rPr>
                <w:sz w:val="22"/>
              </w:rPr>
              <w:t>Participant</w:t>
            </w:r>
            <w:r w:rsidRPr="00F130F2">
              <w:rPr>
                <w:sz w:val="22"/>
              </w:rPr>
              <w:t xml:space="preserve"> attended the appointment</w:t>
            </w:r>
          </w:p>
          <w:p w14:paraId="4F381ABC" w14:textId="77777777" w:rsidR="00D96629" w:rsidRPr="00E4538E" w:rsidRDefault="00D96629" w:rsidP="00D96629">
            <w:pPr>
              <w:pStyle w:val="tabletext"/>
              <w:numPr>
                <w:ilvl w:val="0"/>
                <w:numId w:val="6"/>
              </w:numPr>
              <w:ind w:left="351" w:hanging="351"/>
              <w:rPr>
                <w:rFonts w:cstheme="minorHAnsi"/>
                <w:sz w:val="22"/>
                <w:szCs w:val="22"/>
              </w:rPr>
            </w:pPr>
            <w:r w:rsidRPr="00E4538E">
              <w:rPr>
                <w:rFonts w:cstheme="minorHAnsi"/>
                <w:sz w:val="22"/>
                <w:szCs w:val="22"/>
              </w:rPr>
              <w:t>maintain a listing for professional services delivered by staff employed by a Provider’s Own Organisation or a Related Entity that records the following information:</w:t>
            </w:r>
          </w:p>
          <w:p w14:paraId="3666900A" w14:textId="77777777" w:rsidR="00D96629" w:rsidRPr="00F130F2" w:rsidRDefault="00D96629" w:rsidP="00D96629">
            <w:pPr>
              <w:pStyle w:val="tabletext"/>
              <w:numPr>
                <w:ilvl w:val="0"/>
                <w:numId w:val="6"/>
              </w:numPr>
              <w:rPr>
                <w:sz w:val="22"/>
              </w:rPr>
            </w:pPr>
            <w:r w:rsidRPr="00F130F2">
              <w:rPr>
                <w:sz w:val="22"/>
              </w:rPr>
              <w:t>the staff members name</w:t>
            </w:r>
          </w:p>
          <w:p w14:paraId="17B09F22" w14:textId="77777777" w:rsidR="00D96629" w:rsidRPr="00F130F2" w:rsidRDefault="00D96629" w:rsidP="00D96629">
            <w:pPr>
              <w:pStyle w:val="tabletext"/>
              <w:numPr>
                <w:ilvl w:val="0"/>
                <w:numId w:val="6"/>
              </w:numPr>
              <w:rPr>
                <w:sz w:val="22"/>
              </w:rPr>
            </w:pPr>
            <w:r w:rsidRPr="00F130F2">
              <w:rPr>
                <w:sz w:val="22"/>
              </w:rPr>
              <w:t>specialist type</w:t>
            </w:r>
          </w:p>
          <w:p w14:paraId="6DD5AA79" w14:textId="77777777" w:rsidR="00D96629" w:rsidRPr="00F130F2" w:rsidRDefault="00D96629" w:rsidP="00D96629">
            <w:pPr>
              <w:pStyle w:val="tabletext"/>
              <w:numPr>
                <w:ilvl w:val="0"/>
                <w:numId w:val="6"/>
              </w:numPr>
              <w:rPr>
                <w:sz w:val="22"/>
              </w:rPr>
            </w:pPr>
            <w:r w:rsidRPr="00F130F2">
              <w:rPr>
                <w:sz w:val="22"/>
              </w:rPr>
              <w:t>qualification details</w:t>
            </w:r>
          </w:p>
          <w:p w14:paraId="38F9DCF8" w14:textId="77777777" w:rsidR="00D96629" w:rsidRPr="00F130F2" w:rsidRDefault="00D96629" w:rsidP="00D96629">
            <w:pPr>
              <w:pStyle w:val="tabletext"/>
              <w:numPr>
                <w:ilvl w:val="0"/>
                <w:numId w:val="6"/>
              </w:numPr>
              <w:rPr>
                <w:sz w:val="22"/>
              </w:rPr>
            </w:pPr>
            <w:r w:rsidRPr="00F130F2">
              <w:rPr>
                <w:sz w:val="22"/>
              </w:rPr>
              <w:t>the authority with whom the staff member is registered with (if the qualification of the staff member relates to a field that requires professional registration to practise)</w:t>
            </w:r>
          </w:p>
          <w:p w14:paraId="649ED70E" w14:textId="77777777" w:rsidR="00D96629" w:rsidRPr="00F130F2" w:rsidRDefault="00D96629" w:rsidP="00D96629">
            <w:pPr>
              <w:pStyle w:val="tabletext"/>
              <w:numPr>
                <w:ilvl w:val="0"/>
                <w:numId w:val="6"/>
              </w:numPr>
              <w:rPr>
                <w:sz w:val="22"/>
              </w:rPr>
            </w:pPr>
            <w:r w:rsidRPr="00F130F2">
              <w:rPr>
                <w:sz w:val="22"/>
              </w:rPr>
              <w:t>registration number where applicable.</w:t>
            </w:r>
          </w:p>
          <w:p w14:paraId="3CAD206F" w14:textId="0F0C500C" w:rsidR="00D96629" w:rsidRPr="00A37677" w:rsidRDefault="00D96629" w:rsidP="00EB6BA2">
            <w:pPr>
              <w:pStyle w:val="tabletext"/>
              <w:spacing w:before="120"/>
              <w:rPr>
                <w:rFonts w:cstheme="minorHAnsi"/>
                <w:sz w:val="22"/>
                <w:szCs w:val="22"/>
              </w:rPr>
            </w:pPr>
            <w:r w:rsidRPr="00E4538E">
              <w:rPr>
                <w:rFonts w:cstheme="minorHAnsi"/>
                <w:sz w:val="22"/>
                <w:szCs w:val="22"/>
              </w:rPr>
              <w:t>Refer</w:t>
            </w:r>
            <w:r w:rsidRPr="00E4538E">
              <w:rPr>
                <w:sz w:val="22"/>
                <w:szCs w:val="22"/>
              </w:rPr>
              <w:t xml:space="preserve"> to the </w:t>
            </w:r>
            <w:hyperlink r:id="rId42" w:history="1">
              <w:r w:rsidR="00EB6BA2">
                <w:rPr>
                  <w:rStyle w:val="Hyperlink"/>
                  <w:sz w:val="22"/>
                  <w:szCs w:val="22"/>
                </w:rPr>
                <w:t>New Employment Services Trial Employment Fund General Account IT Supporting Document</w:t>
              </w:r>
            </w:hyperlink>
            <w:r w:rsidRPr="00E4538E">
              <w:rPr>
                <w:rStyle w:val="Hyperlink"/>
                <w:sz w:val="22"/>
                <w:szCs w:val="22"/>
              </w:rPr>
              <w:t xml:space="preserve"> </w:t>
            </w:r>
            <w:r w:rsidRPr="00E4538E">
              <w:rPr>
                <w:rFonts w:cstheme="minorHAnsi"/>
                <w:sz w:val="22"/>
                <w:szCs w:val="22"/>
              </w:rPr>
              <w:t xml:space="preserve">for further guidance on creating Professional </w:t>
            </w:r>
            <w:r w:rsidR="00F24B15">
              <w:rPr>
                <w:rFonts w:cstheme="minorHAnsi"/>
                <w:sz w:val="22"/>
                <w:szCs w:val="22"/>
              </w:rPr>
              <w:t>S</w:t>
            </w:r>
            <w:r w:rsidR="00F24B15" w:rsidRPr="00E4538E">
              <w:rPr>
                <w:rFonts w:cstheme="minorHAnsi"/>
                <w:sz w:val="22"/>
                <w:szCs w:val="22"/>
              </w:rPr>
              <w:t xml:space="preserve">ervices </w:t>
            </w:r>
            <w:r w:rsidRPr="00E4538E">
              <w:rPr>
                <w:rFonts w:cstheme="minorHAnsi"/>
                <w:sz w:val="22"/>
                <w:szCs w:val="22"/>
              </w:rPr>
              <w:t>commitments in</w:t>
            </w:r>
            <w:r w:rsidRPr="00A37677">
              <w:rPr>
                <w:rFonts w:cstheme="minorHAnsi"/>
                <w:sz w:val="22"/>
                <w:szCs w:val="22"/>
              </w:rPr>
              <w:t xml:space="preserve"> the Department’s IT System.</w:t>
            </w:r>
          </w:p>
        </w:tc>
      </w:tr>
      <w:tr w:rsidR="00D96629" w:rsidRPr="00662F9A" w14:paraId="4C512F75" w14:textId="77777777" w:rsidTr="00827A41">
        <w:tc>
          <w:tcPr>
            <w:tcW w:w="2019" w:type="dxa"/>
          </w:tcPr>
          <w:p w14:paraId="27BF9FF4" w14:textId="77777777" w:rsidR="00D96629" w:rsidRDefault="00105E62" w:rsidP="004E3BCE">
            <w:pPr>
              <w:pStyle w:val="tabletext"/>
              <w:rPr>
                <w:rFonts w:cstheme="minorHAnsi"/>
                <w:b/>
                <w:sz w:val="22"/>
                <w:szCs w:val="22"/>
              </w:rPr>
            </w:pPr>
            <w:r>
              <w:rPr>
                <w:rFonts w:cstheme="minorHAnsi"/>
                <w:b/>
                <w:sz w:val="22"/>
                <w:szCs w:val="22"/>
              </w:rPr>
              <w:lastRenderedPageBreak/>
              <w:t xml:space="preserve">Provider </w:t>
            </w:r>
            <w:r w:rsidR="00D96629">
              <w:rPr>
                <w:rFonts w:cstheme="minorHAnsi"/>
                <w:b/>
                <w:sz w:val="22"/>
                <w:szCs w:val="22"/>
              </w:rPr>
              <w:t xml:space="preserve">Indigenous </w:t>
            </w:r>
            <w:r w:rsidR="004E3BCE">
              <w:rPr>
                <w:rFonts w:cstheme="minorHAnsi"/>
                <w:b/>
                <w:sz w:val="22"/>
                <w:szCs w:val="22"/>
              </w:rPr>
              <w:t>M</w:t>
            </w:r>
            <w:r w:rsidR="00D96629">
              <w:rPr>
                <w:rFonts w:cstheme="minorHAnsi"/>
                <w:b/>
                <w:sz w:val="22"/>
                <w:szCs w:val="22"/>
              </w:rPr>
              <w:t xml:space="preserve">entoring </w:t>
            </w:r>
            <w:r w:rsidR="004E3BCE">
              <w:rPr>
                <w:rFonts w:cstheme="minorHAnsi"/>
                <w:b/>
                <w:sz w:val="22"/>
                <w:szCs w:val="22"/>
              </w:rPr>
              <w:t>C</w:t>
            </w:r>
            <w:r w:rsidR="00D96629">
              <w:rPr>
                <w:rFonts w:cstheme="minorHAnsi"/>
                <w:b/>
                <w:sz w:val="22"/>
                <w:szCs w:val="22"/>
              </w:rPr>
              <w:t>apability</w:t>
            </w:r>
          </w:p>
        </w:tc>
        <w:tc>
          <w:tcPr>
            <w:tcW w:w="2835" w:type="dxa"/>
          </w:tcPr>
          <w:p w14:paraId="7D680B4F" w14:textId="77777777" w:rsidR="00D96629" w:rsidRDefault="00D96629" w:rsidP="00D96629">
            <w:pPr>
              <w:pStyle w:val="tabletext"/>
              <w:rPr>
                <w:sz w:val="22"/>
              </w:rPr>
            </w:pPr>
          </w:p>
        </w:tc>
        <w:tc>
          <w:tcPr>
            <w:tcW w:w="10136" w:type="dxa"/>
          </w:tcPr>
          <w:p w14:paraId="1B86D455" w14:textId="77777777" w:rsidR="00D96629" w:rsidRPr="009C7E45" w:rsidRDefault="00D96629" w:rsidP="00D96629">
            <w:pPr>
              <w:pStyle w:val="tabletext"/>
              <w:rPr>
                <w:sz w:val="22"/>
              </w:rPr>
            </w:pPr>
            <w:r>
              <w:rPr>
                <w:sz w:val="22"/>
              </w:rPr>
              <w:t>Providers may use t</w:t>
            </w:r>
            <w:r w:rsidRPr="009C7E45">
              <w:rPr>
                <w:sz w:val="22"/>
              </w:rPr>
              <w:t>his category for expenditure related to a provider building and increasing their Indigenous mentoring capability. For example:</w:t>
            </w:r>
          </w:p>
          <w:p w14:paraId="1E8C7375" w14:textId="77777777" w:rsidR="00D96629" w:rsidRPr="00253E55" w:rsidRDefault="00D96629" w:rsidP="00D96629">
            <w:pPr>
              <w:pStyle w:val="tabletext"/>
              <w:numPr>
                <w:ilvl w:val="0"/>
                <w:numId w:val="6"/>
              </w:numPr>
              <w:ind w:left="351" w:hanging="351"/>
              <w:rPr>
                <w:rFonts w:cstheme="minorHAnsi"/>
                <w:sz w:val="22"/>
                <w:szCs w:val="22"/>
              </w:rPr>
            </w:pPr>
            <w:r>
              <w:rPr>
                <w:rFonts w:cstheme="minorHAnsi"/>
                <w:sz w:val="22"/>
                <w:szCs w:val="22"/>
              </w:rPr>
              <w:t>design or r</w:t>
            </w:r>
            <w:r w:rsidRPr="00253E55">
              <w:rPr>
                <w:rFonts w:cstheme="minorHAnsi"/>
                <w:sz w:val="22"/>
                <w:szCs w:val="22"/>
              </w:rPr>
              <w:t>edesign</w:t>
            </w:r>
            <w:r>
              <w:rPr>
                <w:rFonts w:cstheme="minorHAnsi"/>
                <w:sz w:val="22"/>
                <w:szCs w:val="22"/>
              </w:rPr>
              <w:t>,</w:t>
            </w:r>
            <w:r w:rsidRPr="00253E55">
              <w:rPr>
                <w:rFonts w:cstheme="minorHAnsi"/>
                <w:sz w:val="22"/>
                <w:szCs w:val="22"/>
              </w:rPr>
              <w:t xml:space="preserve"> </w:t>
            </w:r>
            <w:r>
              <w:rPr>
                <w:rFonts w:cstheme="minorHAnsi"/>
                <w:sz w:val="22"/>
                <w:szCs w:val="22"/>
              </w:rPr>
              <w:t xml:space="preserve">and implementation </w:t>
            </w:r>
            <w:r w:rsidRPr="00253E55">
              <w:rPr>
                <w:rFonts w:cstheme="minorHAnsi"/>
                <w:sz w:val="22"/>
                <w:szCs w:val="22"/>
              </w:rPr>
              <w:t xml:space="preserve">of </w:t>
            </w:r>
            <w:r>
              <w:rPr>
                <w:rFonts w:cstheme="minorHAnsi"/>
                <w:sz w:val="22"/>
                <w:szCs w:val="22"/>
              </w:rPr>
              <w:t>Indigenous Employment</w:t>
            </w:r>
            <w:r w:rsidRPr="00253E55">
              <w:rPr>
                <w:rFonts w:cstheme="minorHAnsi"/>
                <w:sz w:val="22"/>
                <w:szCs w:val="22"/>
              </w:rPr>
              <w:t xml:space="preserve"> Strategy </w:t>
            </w:r>
          </w:p>
          <w:p w14:paraId="0D361A49" w14:textId="77777777" w:rsidR="00D96629" w:rsidRPr="00253E55" w:rsidRDefault="00D96629" w:rsidP="00D96629">
            <w:pPr>
              <w:pStyle w:val="tabletext"/>
              <w:numPr>
                <w:ilvl w:val="0"/>
                <w:numId w:val="6"/>
              </w:numPr>
              <w:ind w:left="351" w:hanging="351"/>
              <w:rPr>
                <w:rFonts w:cstheme="minorHAnsi"/>
                <w:sz w:val="22"/>
                <w:szCs w:val="22"/>
              </w:rPr>
            </w:pPr>
            <w:r>
              <w:rPr>
                <w:rFonts w:cstheme="minorHAnsi"/>
                <w:sz w:val="22"/>
                <w:szCs w:val="22"/>
              </w:rPr>
              <w:t>hiring a consultant to d</w:t>
            </w:r>
            <w:r w:rsidRPr="00253E55">
              <w:rPr>
                <w:rFonts w:cstheme="minorHAnsi"/>
                <w:sz w:val="22"/>
                <w:szCs w:val="22"/>
              </w:rPr>
              <w:t xml:space="preserve">evelop and implement a Reconciliation Action Plan </w:t>
            </w:r>
          </w:p>
          <w:p w14:paraId="6F9B20A2" w14:textId="77777777" w:rsidR="00D96629" w:rsidRPr="00253E55" w:rsidRDefault="00D96629" w:rsidP="00D96629">
            <w:pPr>
              <w:pStyle w:val="tabletext"/>
              <w:numPr>
                <w:ilvl w:val="0"/>
                <w:numId w:val="6"/>
              </w:numPr>
              <w:ind w:left="351" w:hanging="351"/>
              <w:rPr>
                <w:rFonts w:cstheme="minorHAnsi"/>
                <w:sz w:val="22"/>
                <w:szCs w:val="22"/>
              </w:rPr>
            </w:pPr>
            <w:r>
              <w:rPr>
                <w:rFonts w:cstheme="minorHAnsi"/>
                <w:sz w:val="22"/>
                <w:szCs w:val="22"/>
              </w:rPr>
              <w:t>t</w:t>
            </w:r>
            <w:r w:rsidRPr="00253E55">
              <w:rPr>
                <w:rFonts w:cstheme="minorHAnsi"/>
                <w:sz w:val="22"/>
                <w:szCs w:val="22"/>
              </w:rPr>
              <w:t>raining (accredited and non-accredited)</w:t>
            </w:r>
            <w:r>
              <w:rPr>
                <w:rFonts w:cstheme="minorHAnsi"/>
                <w:sz w:val="22"/>
                <w:szCs w:val="22"/>
              </w:rPr>
              <w:t xml:space="preserve"> </w:t>
            </w:r>
            <w:r w:rsidRPr="00253E55">
              <w:rPr>
                <w:rFonts w:cstheme="minorHAnsi"/>
                <w:sz w:val="22"/>
                <w:szCs w:val="22"/>
              </w:rPr>
              <w:t xml:space="preserve">to staff who will be providing ongoing mentoring to Indigenous </w:t>
            </w:r>
            <w:r w:rsidR="005D0DAA">
              <w:rPr>
                <w:rFonts w:cstheme="minorHAnsi"/>
                <w:sz w:val="22"/>
                <w:szCs w:val="22"/>
              </w:rPr>
              <w:t>Participant</w:t>
            </w:r>
            <w:r>
              <w:rPr>
                <w:rFonts w:cstheme="minorHAnsi"/>
                <w:sz w:val="22"/>
                <w:szCs w:val="22"/>
              </w:rPr>
              <w:t>s</w:t>
            </w:r>
            <w:r w:rsidRPr="00253E55">
              <w:rPr>
                <w:rFonts w:cstheme="minorHAnsi"/>
                <w:sz w:val="22"/>
                <w:szCs w:val="22"/>
              </w:rPr>
              <w:t xml:space="preserve"> </w:t>
            </w:r>
          </w:p>
          <w:p w14:paraId="2D3FD6F2" w14:textId="77777777" w:rsidR="00D96629" w:rsidRPr="00253E55" w:rsidRDefault="00D96629" w:rsidP="00D96629">
            <w:pPr>
              <w:pStyle w:val="tabletext"/>
              <w:numPr>
                <w:ilvl w:val="0"/>
                <w:numId w:val="6"/>
              </w:numPr>
              <w:ind w:left="351" w:hanging="351"/>
              <w:rPr>
                <w:rFonts w:cstheme="minorHAnsi"/>
                <w:sz w:val="22"/>
                <w:szCs w:val="22"/>
              </w:rPr>
            </w:pPr>
            <w:r>
              <w:rPr>
                <w:rFonts w:cstheme="minorHAnsi"/>
                <w:sz w:val="22"/>
                <w:szCs w:val="22"/>
              </w:rPr>
              <w:t>d</w:t>
            </w:r>
            <w:r w:rsidRPr="00253E55">
              <w:rPr>
                <w:rFonts w:cstheme="minorHAnsi"/>
                <w:sz w:val="22"/>
                <w:szCs w:val="22"/>
              </w:rPr>
              <w:t xml:space="preserve">evelopment and release of </w:t>
            </w:r>
            <w:r>
              <w:rPr>
                <w:rFonts w:cstheme="minorHAnsi"/>
                <w:sz w:val="22"/>
                <w:szCs w:val="22"/>
              </w:rPr>
              <w:t xml:space="preserve">IT </w:t>
            </w:r>
            <w:r w:rsidRPr="00253E55">
              <w:rPr>
                <w:rFonts w:cstheme="minorHAnsi"/>
                <w:sz w:val="22"/>
                <w:szCs w:val="22"/>
              </w:rPr>
              <w:t>App</w:t>
            </w:r>
            <w:r>
              <w:rPr>
                <w:rFonts w:cstheme="minorHAnsi"/>
                <w:sz w:val="22"/>
                <w:szCs w:val="22"/>
              </w:rPr>
              <w:t>lication</w:t>
            </w:r>
            <w:r w:rsidRPr="00253E55">
              <w:rPr>
                <w:rFonts w:cstheme="minorHAnsi"/>
                <w:sz w:val="22"/>
                <w:szCs w:val="22"/>
              </w:rPr>
              <w:t>s (e.g. a Mentoring App)</w:t>
            </w:r>
          </w:p>
          <w:p w14:paraId="0525D191" w14:textId="77777777" w:rsidR="00D96629" w:rsidRPr="00253E55" w:rsidRDefault="00D96629" w:rsidP="00D96629">
            <w:pPr>
              <w:pStyle w:val="tabletext"/>
              <w:numPr>
                <w:ilvl w:val="0"/>
                <w:numId w:val="6"/>
              </w:numPr>
              <w:ind w:left="351" w:hanging="351"/>
              <w:rPr>
                <w:rFonts w:cstheme="minorHAnsi"/>
                <w:sz w:val="22"/>
                <w:szCs w:val="22"/>
              </w:rPr>
            </w:pPr>
            <w:r>
              <w:rPr>
                <w:rFonts w:cstheme="minorHAnsi"/>
                <w:sz w:val="22"/>
                <w:szCs w:val="22"/>
              </w:rPr>
              <w:t>p</w:t>
            </w:r>
            <w:r w:rsidRPr="00253E55">
              <w:rPr>
                <w:rFonts w:cstheme="minorHAnsi"/>
                <w:sz w:val="22"/>
                <w:szCs w:val="22"/>
              </w:rPr>
              <w:t>rofessional development (</w:t>
            </w:r>
            <w:r>
              <w:rPr>
                <w:rFonts w:cstheme="minorHAnsi"/>
                <w:sz w:val="22"/>
                <w:szCs w:val="22"/>
              </w:rPr>
              <w:t xml:space="preserve">e.g. </w:t>
            </w:r>
            <w:r w:rsidRPr="00253E55">
              <w:rPr>
                <w:rFonts w:cstheme="minorHAnsi"/>
                <w:sz w:val="22"/>
                <w:szCs w:val="22"/>
              </w:rPr>
              <w:t>attendance at conferences and workshops)</w:t>
            </w:r>
            <w:r>
              <w:rPr>
                <w:rFonts w:cstheme="minorHAnsi"/>
                <w:sz w:val="22"/>
                <w:szCs w:val="22"/>
              </w:rPr>
              <w:t>.</w:t>
            </w:r>
          </w:p>
          <w:p w14:paraId="16E55E60" w14:textId="78B0AC40" w:rsidR="00D96629" w:rsidRDefault="00D96629" w:rsidP="00D96629">
            <w:pPr>
              <w:pStyle w:val="tabletext"/>
              <w:spacing w:before="120"/>
              <w:rPr>
                <w:rFonts w:cstheme="minorHAnsi"/>
                <w:sz w:val="22"/>
                <w:szCs w:val="22"/>
              </w:rPr>
            </w:pPr>
            <w:r w:rsidRPr="00253E55">
              <w:rPr>
                <w:rFonts w:cstheme="minorHAnsi"/>
                <w:sz w:val="22"/>
                <w:szCs w:val="22"/>
              </w:rPr>
              <w:t>A Provider must submit a proposal to the Department for approval</w:t>
            </w:r>
            <w:r>
              <w:rPr>
                <w:rFonts w:cstheme="minorHAnsi"/>
                <w:sz w:val="22"/>
                <w:szCs w:val="22"/>
              </w:rPr>
              <w:t>.</w:t>
            </w:r>
            <w:r w:rsidRPr="00253E55">
              <w:rPr>
                <w:rFonts w:cstheme="minorHAnsi"/>
                <w:sz w:val="22"/>
                <w:szCs w:val="22"/>
              </w:rPr>
              <w:t xml:space="preserve"> </w:t>
            </w:r>
            <w:r>
              <w:rPr>
                <w:rFonts w:cstheme="minorHAnsi"/>
                <w:sz w:val="22"/>
                <w:szCs w:val="22"/>
              </w:rPr>
              <w:t>R</w:t>
            </w:r>
            <w:r w:rsidRPr="00662F9A">
              <w:rPr>
                <w:rFonts w:cstheme="minorHAnsi"/>
                <w:sz w:val="22"/>
                <w:szCs w:val="22"/>
              </w:rPr>
              <w:t xml:space="preserve">efer to the </w:t>
            </w:r>
            <w:hyperlink r:id="rId43" w:history="1">
              <w:r w:rsidRPr="00785291">
                <w:rPr>
                  <w:rStyle w:val="Hyperlink"/>
                  <w:rFonts w:cstheme="minorHAnsi"/>
                  <w:sz w:val="22"/>
                  <w:szCs w:val="22"/>
                </w:rPr>
                <w:t>Employment Fund - Provider Indigenous Mentoring Capability Proposal template.</w:t>
              </w:r>
            </w:hyperlink>
            <w:r w:rsidRPr="00662F9A">
              <w:rPr>
                <w:rFonts w:cstheme="minorHAnsi"/>
                <w:sz w:val="22"/>
                <w:szCs w:val="22"/>
              </w:rPr>
              <w:t xml:space="preserve"> </w:t>
            </w:r>
          </w:p>
          <w:p w14:paraId="78625347" w14:textId="77777777" w:rsidR="00D96629" w:rsidRPr="009F211C" w:rsidRDefault="00F17968" w:rsidP="003D04A2">
            <w:pPr>
              <w:pStyle w:val="tabletext"/>
              <w:spacing w:before="120"/>
              <w:rPr>
                <w:rFonts w:cstheme="minorHAnsi"/>
                <w:sz w:val="22"/>
                <w:szCs w:val="22"/>
              </w:rPr>
            </w:pPr>
            <w:r>
              <w:rPr>
                <w:rFonts w:cstheme="minorHAnsi"/>
                <w:sz w:val="22"/>
                <w:szCs w:val="22"/>
              </w:rPr>
              <w:t>T</w:t>
            </w:r>
            <w:r w:rsidRPr="00662F9A">
              <w:rPr>
                <w:rFonts w:cstheme="minorHAnsi"/>
                <w:sz w:val="22"/>
                <w:szCs w:val="22"/>
              </w:rPr>
              <w:t>he</w:t>
            </w:r>
            <w:r>
              <w:rPr>
                <w:rFonts w:cstheme="minorHAnsi"/>
                <w:sz w:val="22"/>
                <w:szCs w:val="22"/>
              </w:rPr>
              <w:t xml:space="preserve"> </w:t>
            </w:r>
            <w:hyperlink w:anchor="_Determining_what_is" w:history="1">
              <w:r w:rsidRPr="00627EE1">
                <w:rPr>
                  <w:rStyle w:val="Hyperlink"/>
                  <w:rFonts w:cstheme="minorHAnsi"/>
                  <w:sz w:val="22"/>
                  <w:szCs w:val="22"/>
                </w:rPr>
                <w:t>Determining what is a Prohibited Purchase</w:t>
              </w:r>
            </w:hyperlink>
            <w:r>
              <w:rPr>
                <w:rFonts w:cstheme="minorHAnsi"/>
                <w:sz w:val="22"/>
                <w:szCs w:val="22"/>
              </w:rPr>
              <w:t xml:space="preserve"> </w:t>
            </w:r>
            <w:r w:rsidRPr="00662F9A">
              <w:rPr>
                <w:rFonts w:cstheme="minorHAnsi"/>
                <w:sz w:val="22"/>
                <w:szCs w:val="22"/>
              </w:rPr>
              <w:t>section</w:t>
            </w:r>
            <w:r>
              <w:rPr>
                <w:rFonts w:cstheme="minorHAnsi"/>
                <w:sz w:val="22"/>
                <w:szCs w:val="22"/>
              </w:rPr>
              <w:t xml:space="preserve"> lists the exceptions to the use of this category.</w:t>
            </w:r>
          </w:p>
        </w:tc>
        <w:tc>
          <w:tcPr>
            <w:tcW w:w="6247" w:type="dxa"/>
          </w:tcPr>
          <w:p w14:paraId="6F21B2CA" w14:textId="77777777" w:rsidR="00D96629" w:rsidRPr="00E4538E" w:rsidRDefault="00D96629" w:rsidP="00D96629">
            <w:pPr>
              <w:pStyle w:val="tabletext"/>
              <w:rPr>
                <w:rFonts w:cstheme="minorHAnsi"/>
                <w:sz w:val="22"/>
                <w:szCs w:val="22"/>
              </w:rPr>
            </w:pPr>
            <w:r>
              <w:rPr>
                <w:rFonts w:cstheme="minorHAnsi"/>
                <w:sz w:val="22"/>
                <w:szCs w:val="22"/>
              </w:rPr>
              <w:t>A</w:t>
            </w:r>
            <w:r w:rsidRPr="00E4538E">
              <w:rPr>
                <w:rFonts w:cstheme="minorHAnsi"/>
                <w:sz w:val="22"/>
                <w:szCs w:val="22"/>
              </w:rPr>
              <w:t xml:space="preserve"> Provider must:</w:t>
            </w:r>
          </w:p>
          <w:p w14:paraId="7AD4F414" w14:textId="77777777" w:rsidR="00D96629" w:rsidRPr="00AA1C5F" w:rsidRDefault="00D96629" w:rsidP="00D96629">
            <w:pPr>
              <w:pStyle w:val="tabletext"/>
              <w:numPr>
                <w:ilvl w:val="0"/>
                <w:numId w:val="6"/>
              </w:numPr>
              <w:ind w:left="351" w:hanging="351"/>
              <w:rPr>
                <w:rFonts w:cstheme="minorHAnsi"/>
                <w:sz w:val="22"/>
                <w:szCs w:val="22"/>
              </w:rPr>
            </w:pPr>
            <w:r w:rsidRPr="00AA1C5F">
              <w:rPr>
                <w:rFonts w:cstheme="minorHAnsi"/>
                <w:sz w:val="22"/>
                <w:szCs w:val="22"/>
              </w:rPr>
              <w:t xml:space="preserve">enter </w:t>
            </w:r>
            <w:r>
              <w:rPr>
                <w:rFonts w:cstheme="minorHAnsi"/>
                <w:sz w:val="22"/>
                <w:szCs w:val="22"/>
              </w:rPr>
              <w:t xml:space="preserve">the good or service </w:t>
            </w:r>
            <w:r w:rsidRPr="00421D42">
              <w:rPr>
                <w:rFonts w:cstheme="minorHAnsi"/>
                <w:sz w:val="22"/>
                <w:szCs w:val="22"/>
              </w:rPr>
              <w:t xml:space="preserve">being </w:t>
            </w:r>
            <w:r w:rsidRPr="00D53CF3">
              <w:rPr>
                <w:rFonts w:cstheme="minorHAnsi"/>
                <w:sz w:val="22"/>
                <w:szCs w:val="22"/>
              </w:rPr>
              <w:t xml:space="preserve">claimed </w:t>
            </w:r>
            <w:r w:rsidRPr="00387267">
              <w:rPr>
                <w:rFonts w:cstheme="minorHAnsi"/>
                <w:sz w:val="22"/>
                <w:szCs w:val="22"/>
              </w:rPr>
              <w:t>into the commitment</w:t>
            </w:r>
            <w:r>
              <w:rPr>
                <w:rFonts w:cstheme="minorHAnsi"/>
                <w:sz w:val="22"/>
                <w:szCs w:val="22"/>
              </w:rPr>
              <w:t xml:space="preserve"> </w:t>
            </w:r>
            <w:r w:rsidRPr="00421D42">
              <w:rPr>
                <w:rFonts w:cstheme="minorHAnsi"/>
                <w:sz w:val="22"/>
                <w:szCs w:val="22"/>
              </w:rPr>
              <w:t>in the Department’s IT System</w:t>
            </w:r>
            <w:r>
              <w:rPr>
                <w:rFonts w:cstheme="minorHAnsi"/>
                <w:sz w:val="22"/>
                <w:szCs w:val="22"/>
              </w:rPr>
              <w:t xml:space="preserve"> prior to claiming Reimbursement</w:t>
            </w:r>
          </w:p>
          <w:p w14:paraId="56A4977A" w14:textId="77777777" w:rsidR="00D96629" w:rsidRPr="00D53CF3" w:rsidRDefault="00D96629" w:rsidP="00D96629">
            <w:pPr>
              <w:pStyle w:val="tabletext"/>
              <w:numPr>
                <w:ilvl w:val="0"/>
                <w:numId w:val="6"/>
              </w:numPr>
              <w:ind w:left="351" w:hanging="351"/>
              <w:rPr>
                <w:rFonts w:cstheme="minorHAnsi"/>
                <w:sz w:val="22"/>
                <w:szCs w:val="22"/>
              </w:rPr>
            </w:pPr>
            <w:r>
              <w:rPr>
                <w:rFonts w:cstheme="minorHAnsi"/>
                <w:sz w:val="22"/>
                <w:szCs w:val="22"/>
              </w:rPr>
              <w:t xml:space="preserve">upload evidence as detailed in the </w:t>
            </w:r>
            <w:hyperlink w:anchor="_Summary_of_required" w:history="1">
              <w:r w:rsidRPr="002F45B8">
                <w:rPr>
                  <w:rStyle w:val="Hyperlink"/>
                  <w:sz w:val="22"/>
                  <w:szCs w:val="22"/>
                </w:rPr>
                <w:t>Summary of required Documentary Evidence</w:t>
              </w:r>
            </w:hyperlink>
            <w:r>
              <w:rPr>
                <w:rStyle w:val="Hyperlink"/>
                <w:sz w:val="22"/>
                <w:szCs w:val="22"/>
              </w:rPr>
              <w:t xml:space="preserve"> section </w:t>
            </w:r>
            <w:r w:rsidRPr="00DA6A84">
              <w:rPr>
                <w:rFonts w:cstheme="minorHAnsi"/>
                <w:sz w:val="22"/>
                <w:szCs w:val="22"/>
              </w:rPr>
              <w:t xml:space="preserve">of this Guideline </w:t>
            </w:r>
            <w:r w:rsidRPr="00421D42">
              <w:rPr>
                <w:rFonts w:cstheme="minorHAnsi"/>
                <w:sz w:val="22"/>
                <w:szCs w:val="22"/>
              </w:rPr>
              <w:t>in the Department’s IT System</w:t>
            </w:r>
            <w:r>
              <w:rPr>
                <w:rFonts w:cstheme="minorHAnsi"/>
                <w:sz w:val="22"/>
                <w:szCs w:val="22"/>
              </w:rPr>
              <w:t xml:space="preserve"> prior to claiming Reimbursement.</w:t>
            </w:r>
          </w:p>
          <w:p w14:paraId="03541909" w14:textId="53C90B5E" w:rsidR="00D96629" w:rsidRPr="00A37677" w:rsidRDefault="00D96629" w:rsidP="00EB6BA2">
            <w:pPr>
              <w:pStyle w:val="tabletext"/>
              <w:spacing w:before="120"/>
              <w:rPr>
                <w:rFonts w:cstheme="minorHAnsi"/>
                <w:sz w:val="22"/>
                <w:szCs w:val="22"/>
              </w:rPr>
            </w:pPr>
            <w:r w:rsidRPr="006A3981">
              <w:rPr>
                <w:rFonts w:cstheme="minorHAnsi"/>
                <w:sz w:val="22"/>
                <w:szCs w:val="22"/>
              </w:rPr>
              <w:t>Refer</w:t>
            </w:r>
            <w:r w:rsidRPr="006A3981">
              <w:rPr>
                <w:sz w:val="22"/>
                <w:szCs w:val="22"/>
              </w:rPr>
              <w:t xml:space="preserve"> to the </w:t>
            </w:r>
            <w:hyperlink r:id="rId44" w:history="1">
              <w:r w:rsidR="00EB6BA2">
                <w:rPr>
                  <w:rStyle w:val="Hyperlink"/>
                  <w:sz w:val="22"/>
                  <w:szCs w:val="22"/>
                </w:rPr>
                <w:t>New Employment Services Trial Employment Fund General Account IT Supporting Document</w:t>
              </w:r>
            </w:hyperlink>
            <w:r w:rsidR="004A2C22">
              <w:rPr>
                <w:rStyle w:val="Hyperlink"/>
                <w:sz w:val="22"/>
                <w:szCs w:val="22"/>
              </w:rPr>
              <w:t xml:space="preserve"> </w:t>
            </w:r>
            <w:r w:rsidRPr="006A3981">
              <w:rPr>
                <w:rFonts w:cstheme="minorHAnsi"/>
                <w:sz w:val="22"/>
                <w:szCs w:val="22"/>
              </w:rPr>
              <w:t xml:space="preserve">for further guidance on creating Provider </w:t>
            </w:r>
            <w:r>
              <w:rPr>
                <w:rFonts w:cstheme="minorHAnsi"/>
                <w:sz w:val="22"/>
                <w:szCs w:val="22"/>
              </w:rPr>
              <w:t>I</w:t>
            </w:r>
            <w:r w:rsidRPr="006A3981">
              <w:rPr>
                <w:rFonts w:cstheme="minorHAnsi"/>
                <w:sz w:val="22"/>
                <w:szCs w:val="22"/>
              </w:rPr>
              <w:t xml:space="preserve">ndigenous </w:t>
            </w:r>
            <w:r w:rsidR="00F24B15">
              <w:rPr>
                <w:rFonts w:cstheme="minorHAnsi"/>
                <w:sz w:val="22"/>
                <w:szCs w:val="22"/>
              </w:rPr>
              <w:t>M</w:t>
            </w:r>
            <w:r w:rsidR="00F24B15" w:rsidRPr="006A3981">
              <w:rPr>
                <w:rFonts w:cstheme="minorHAnsi"/>
                <w:sz w:val="22"/>
                <w:szCs w:val="22"/>
              </w:rPr>
              <w:t xml:space="preserve">entoring </w:t>
            </w:r>
            <w:r w:rsidR="00F24B15">
              <w:rPr>
                <w:rFonts w:cstheme="minorHAnsi"/>
                <w:sz w:val="22"/>
                <w:szCs w:val="22"/>
              </w:rPr>
              <w:t>C</w:t>
            </w:r>
            <w:r w:rsidR="00F24B15" w:rsidRPr="006A3981">
              <w:rPr>
                <w:rFonts w:cstheme="minorHAnsi"/>
                <w:sz w:val="22"/>
                <w:szCs w:val="22"/>
              </w:rPr>
              <w:t xml:space="preserve">apability </w:t>
            </w:r>
            <w:r w:rsidRPr="006A3981">
              <w:rPr>
                <w:rFonts w:cstheme="minorHAnsi"/>
                <w:sz w:val="22"/>
                <w:szCs w:val="22"/>
              </w:rPr>
              <w:t>commitments in the Department’s IT System.</w:t>
            </w:r>
          </w:p>
        </w:tc>
      </w:tr>
      <w:tr w:rsidR="00D96629" w:rsidRPr="00662F9A" w14:paraId="63A496E5" w14:textId="77777777" w:rsidTr="00827A41">
        <w:tc>
          <w:tcPr>
            <w:tcW w:w="2019" w:type="dxa"/>
          </w:tcPr>
          <w:p w14:paraId="61967664" w14:textId="77777777" w:rsidR="00D96629" w:rsidRDefault="00D96629" w:rsidP="004E3BCE">
            <w:pPr>
              <w:pStyle w:val="tabletext"/>
              <w:rPr>
                <w:rFonts w:cstheme="minorHAnsi"/>
                <w:b/>
                <w:sz w:val="22"/>
                <w:szCs w:val="22"/>
              </w:rPr>
            </w:pPr>
            <w:r>
              <w:rPr>
                <w:rFonts w:cstheme="minorHAnsi"/>
                <w:b/>
                <w:sz w:val="22"/>
                <w:szCs w:val="22"/>
              </w:rPr>
              <w:t xml:space="preserve">Refugee </w:t>
            </w:r>
            <w:r w:rsidR="004E3BCE">
              <w:rPr>
                <w:rFonts w:cstheme="minorHAnsi"/>
                <w:b/>
                <w:sz w:val="22"/>
                <w:szCs w:val="22"/>
              </w:rPr>
              <w:t>T</w:t>
            </w:r>
            <w:r>
              <w:rPr>
                <w:rFonts w:cstheme="minorHAnsi"/>
                <w:b/>
                <w:sz w:val="22"/>
                <w:szCs w:val="22"/>
              </w:rPr>
              <w:t xml:space="preserve">raining and </w:t>
            </w:r>
            <w:r w:rsidR="004E3BCE">
              <w:rPr>
                <w:rFonts w:cstheme="minorHAnsi"/>
                <w:b/>
                <w:sz w:val="22"/>
                <w:szCs w:val="22"/>
              </w:rPr>
              <w:t>M</w:t>
            </w:r>
            <w:r>
              <w:rPr>
                <w:rFonts w:cstheme="minorHAnsi"/>
                <w:b/>
                <w:sz w:val="22"/>
                <w:szCs w:val="22"/>
              </w:rPr>
              <w:t>entoring</w:t>
            </w:r>
          </w:p>
        </w:tc>
        <w:tc>
          <w:tcPr>
            <w:tcW w:w="2835" w:type="dxa"/>
          </w:tcPr>
          <w:p w14:paraId="6448D7D5" w14:textId="77777777" w:rsidR="00D96629" w:rsidRDefault="00D96629" w:rsidP="00D96629">
            <w:pPr>
              <w:pStyle w:val="tabletext"/>
              <w:rPr>
                <w:sz w:val="22"/>
              </w:rPr>
            </w:pPr>
          </w:p>
        </w:tc>
        <w:tc>
          <w:tcPr>
            <w:tcW w:w="10136" w:type="dxa"/>
          </w:tcPr>
          <w:p w14:paraId="598CE9BC" w14:textId="77777777" w:rsidR="00D96629" w:rsidRPr="009C7E45" w:rsidRDefault="00176AA9" w:rsidP="00D96629">
            <w:pPr>
              <w:pStyle w:val="tabletext"/>
              <w:rPr>
                <w:sz w:val="22"/>
              </w:rPr>
            </w:pPr>
            <w:r>
              <w:rPr>
                <w:sz w:val="22"/>
              </w:rPr>
              <w:t>Providers may use t</w:t>
            </w:r>
            <w:r w:rsidR="00D96629" w:rsidRPr="009C7E45">
              <w:rPr>
                <w:sz w:val="22"/>
              </w:rPr>
              <w:t>his category for:</w:t>
            </w:r>
          </w:p>
          <w:p w14:paraId="0DEFA598" w14:textId="77777777" w:rsidR="00D96629" w:rsidRDefault="00D96629" w:rsidP="00D96629">
            <w:pPr>
              <w:pStyle w:val="tabletext"/>
              <w:numPr>
                <w:ilvl w:val="0"/>
                <w:numId w:val="6"/>
              </w:numPr>
              <w:ind w:left="351" w:hanging="351"/>
              <w:rPr>
                <w:rFonts w:cstheme="minorHAnsi"/>
                <w:sz w:val="22"/>
                <w:szCs w:val="22"/>
              </w:rPr>
            </w:pPr>
            <w:r>
              <w:rPr>
                <w:rFonts w:cstheme="minorHAnsi"/>
                <w:sz w:val="22"/>
                <w:szCs w:val="22"/>
              </w:rPr>
              <w:t xml:space="preserve">post-placement </w:t>
            </w:r>
            <w:r w:rsidRPr="00384937">
              <w:rPr>
                <w:rFonts w:cstheme="minorHAnsi"/>
                <w:sz w:val="22"/>
                <w:szCs w:val="22"/>
              </w:rPr>
              <w:t xml:space="preserve">non-accredited </w:t>
            </w:r>
            <w:r>
              <w:rPr>
                <w:rFonts w:cstheme="minorHAnsi"/>
                <w:sz w:val="22"/>
                <w:szCs w:val="22"/>
              </w:rPr>
              <w:t>workplace English language training</w:t>
            </w:r>
            <w:r w:rsidRPr="00384937">
              <w:rPr>
                <w:rFonts w:cstheme="minorHAnsi"/>
                <w:sz w:val="22"/>
                <w:szCs w:val="22"/>
              </w:rPr>
              <w:t xml:space="preserve"> </w:t>
            </w:r>
            <w:r>
              <w:rPr>
                <w:rFonts w:cstheme="minorHAnsi"/>
                <w:sz w:val="22"/>
                <w:szCs w:val="22"/>
              </w:rPr>
              <w:t>that</w:t>
            </w:r>
            <w:r w:rsidRPr="00384937">
              <w:rPr>
                <w:rFonts w:cstheme="minorHAnsi"/>
                <w:sz w:val="22"/>
                <w:szCs w:val="22"/>
              </w:rPr>
              <w:t xml:space="preserve"> cannot be claimed under </w:t>
            </w:r>
            <w:r w:rsidR="00176AA9">
              <w:rPr>
                <w:rFonts w:cstheme="minorHAnsi"/>
                <w:sz w:val="22"/>
                <w:szCs w:val="22"/>
              </w:rPr>
              <w:t>other</w:t>
            </w:r>
            <w:r w:rsidRPr="00384937">
              <w:rPr>
                <w:rFonts w:cstheme="minorHAnsi"/>
                <w:sz w:val="22"/>
                <w:szCs w:val="22"/>
              </w:rPr>
              <w:t xml:space="preserve"> training categories</w:t>
            </w:r>
          </w:p>
          <w:p w14:paraId="3DB078F5" w14:textId="77777777" w:rsidR="00D96629" w:rsidRDefault="00D96629" w:rsidP="00D96629">
            <w:pPr>
              <w:pStyle w:val="tabletext"/>
              <w:numPr>
                <w:ilvl w:val="0"/>
                <w:numId w:val="6"/>
              </w:numPr>
              <w:ind w:left="351" w:hanging="351"/>
              <w:rPr>
                <w:rFonts w:cstheme="minorHAnsi"/>
                <w:sz w:val="22"/>
                <w:szCs w:val="22"/>
              </w:rPr>
            </w:pPr>
            <w:r>
              <w:rPr>
                <w:rFonts w:cstheme="minorHAnsi"/>
                <w:sz w:val="22"/>
                <w:szCs w:val="22"/>
              </w:rPr>
              <w:lastRenderedPageBreak/>
              <w:t xml:space="preserve">pre and post </w:t>
            </w:r>
            <w:r w:rsidRPr="00384937">
              <w:rPr>
                <w:rFonts w:cstheme="minorHAnsi"/>
                <w:sz w:val="22"/>
                <w:szCs w:val="22"/>
              </w:rPr>
              <w:t>placement mentoring.</w:t>
            </w:r>
          </w:p>
          <w:p w14:paraId="361D2672" w14:textId="77777777" w:rsidR="00D96629" w:rsidRPr="009C7E45" w:rsidRDefault="00F17968" w:rsidP="00D96629">
            <w:pPr>
              <w:pStyle w:val="tabletext"/>
              <w:spacing w:before="120"/>
              <w:rPr>
                <w:rFonts w:cstheme="minorHAnsi"/>
                <w:sz w:val="22"/>
                <w:szCs w:val="22"/>
              </w:rPr>
            </w:pPr>
            <w:r w:rsidRPr="009C7E45">
              <w:rPr>
                <w:rFonts w:cstheme="minorHAnsi"/>
                <w:sz w:val="22"/>
                <w:szCs w:val="22"/>
              </w:rPr>
              <w:t xml:space="preserve">Staff members employed by a Provider’s Own Organisation or Related Entity, or by an external organisation can deliver </w:t>
            </w:r>
            <w:r>
              <w:rPr>
                <w:rFonts w:cstheme="minorHAnsi"/>
                <w:sz w:val="22"/>
                <w:szCs w:val="22"/>
              </w:rPr>
              <w:t>R</w:t>
            </w:r>
            <w:r w:rsidRPr="009C7E45">
              <w:rPr>
                <w:rFonts w:cstheme="minorHAnsi"/>
                <w:sz w:val="22"/>
                <w:szCs w:val="22"/>
              </w:rPr>
              <w:t>efugee Training and Mentoring</w:t>
            </w:r>
            <w:r w:rsidR="00D96629" w:rsidRPr="009C7E45">
              <w:rPr>
                <w:rFonts w:cstheme="minorHAnsi"/>
                <w:sz w:val="22"/>
                <w:szCs w:val="22"/>
              </w:rPr>
              <w:t xml:space="preserve">. </w:t>
            </w:r>
          </w:p>
          <w:p w14:paraId="1758BC48" w14:textId="77777777" w:rsidR="00D96629" w:rsidRDefault="00D96629" w:rsidP="00D96629">
            <w:pPr>
              <w:pStyle w:val="tabletext"/>
              <w:spacing w:before="120"/>
              <w:rPr>
                <w:rFonts w:cstheme="minorHAnsi"/>
                <w:b/>
                <w:sz w:val="22"/>
                <w:szCs w:val="22"/>
              </w:rPr>
            </w:pPr>
            <w:r w:rsidRPr="003151F4">
              <w:rPr>
                <w:rFonts w:cstheme="minorHAnsi"/>
                <w:b/>
                <w:sz w:val="22"/>
                <w:szCs w:val="22"/>
              </w:rPr>
              <w:t xml:space="preserve">Workplace English Language and Literacy (LL) Training </w:t>
            </w:r>
          </w:p>
          <w:p w14:paraId="423BD9F7" w14:textId="77777777" w:rsidR="00D96629" w:rsidRPr="009C7E45" w:rsidRDefault="00176AA9" w:rsidP="00D96629">
            <w:pPr>
              <w:pStyle w:val="tabletext"/>
              <w:rPr>
                <w:sz w:val="22"/>
              </w:rPr>
            </w:pPr>
            <w:r>
              <w:rPr>
                <w:sz w:val="22"/>
              </w:rPr>
              <w:t>Providers may use t</w:t>
            </w:r>
            <w:r w:rsidR="00D96629" w:rsidRPr="009C7E45">
              <w:rPr>
                <w:sz w:val="22"/>
              </w:rPr>
              <w:t xml:space="preserve">his service type or post-placement non-accredited workplace English language training delivered to refugee </w:t>
            </w:r>
            <w:r w:rsidR="005D0DAA">
              <w:rPr>
                <w:sz w:val="22"/>
              </w:rPr>
              <w:t>Participant</w:t>
            </w:r>
            <w:r w:rsidR="00D96629" w:rsidRPr="009C7E45">
              <w:rPr>
                <w:sz w:val="22"/>
              </w:rPr>
              <w:t xml:space="preserve">s. </w:t>
            </w:r>
          </w:p>
          <w:p w14:paraId="0D25C155" w14:textId="77777777" w:rsidR="00D96629" w:rsidRPr="00251187" w:rsidRDefault="00D96629" w:rsidP="00D96629">
            <w:pPr>
              <w:pStyle w:val="tabletext"/>
              <w:spacing w:before="120"/>
              <w:rPr>
                <w:rFonts w:cstheme="minorHAnsi"/>
                <w:b/>
                <w:sz w:val="22"/>
                <w:szCs w:val="22"/>
              </w:rPr>
            </w:pPr>
            <w:r>
              <w:rPr>
                <w:rFonts w:cstheme="minorHAnsi"/>
                <w:b/>
                <w:sz w:val="22"/>
                <w:szCs w:val="22"/>
              </w:rPr>
              <w:t>Pre and Post Placement M</w:t>
            </w:r>
            <w:r w:rsidRPr="00251187">
              <w:rPr>
                <w:rFonts w:cstheme="minorHAnsi"/>
                <w:b/>
                <w:sz w:val="22"/>
                <w:szCs w:val="22"/>
              </w:rPr>
              <w:t>entoring</w:t>
            </w:r>
          </w:p>
          <w:p w14:paraId="7C76A33B" w14:textId="77777777" w:rsidR="00D96629" w:rsidRPr="009C7E45" w:rsidRDefault="00176AA9" w:rsidP="00D96629">
            <w:pPr>
              <w:pStyle w:val="tabletext"/>
              <w:rPr>
                <w:sz w:val="22"/>
              </w:rPr>
            </w:pPr>
            <w:r>
              <w:rPr>
                <w:sz w:val="22"/>
              </w:rPr>
              <w:t>Providers may use t</w:t>
            </w:r>
            <w:r w:rsidR="00D96629" w:rsidRPr="009C7E45">
              <w:rPr>
                <w:sz w:val="22"/>
              </w:rPr>
              <w:t xml:space="preserve">his service type for mentoring services delivered to refugee </w:t>
            </w:r>
            <w:r w:rsidR="005D0DAA">
              <w:rPr>
                <w:sz w:val="22"/>
              </w:rPr>
              <w:t>Participant</w:t>
            </w:r>
            <w:r w:rsidR="00D96629" w:rsidRPr="009C7E45">
              <w:rPr>
                <w:sz w:val="22"/>
              </w:rPr>
              <w:t xml:space="preserve">s and their employers, host organisations </w:t>
            </w:r>
            <w:r w:rsidR="0032153C">
              <w:rPr>
                <w:sz w:val="22"/>
              </w:rPr>
              <w:t>(including Work for the Dole Hosts)</w:t>
            </w:r>
            <w:r w:rsidR="00CC2A84">
              <w:rPr>
                <w:sz w:val="22"/>
              </w:rPr>
              <w:t xml:space="preserve"> </w:t>
            </w:r>
            <w:r w:rsidR="00D96629" w:rsidRPr="009C7E45">
              <w:rPr>
                <w:sz w:val="22"/>
              </w:rPr>
              <w:t>and family and community members. Such as:</w:t>
            </w:r>
          </w:p>
          <w:p w14:paraId="6E6107F7" w14:textId="77777777" w:rsidR="00D96629" w:rsidRPr="004D6FB6" w:rsidRDefault="00D96629" w:rsidP="00D96629">
            <w:pPr>
              <w:pStyle w:val="tabletext"/>
              <w:numPr>
                <w:ilvl w:val="0"/>
                <w:numId w:val="6"/>
              </w:numPr>
              <w:ind w:left="351" w:hanging="351"/>
              <w:rPr>
                <w:rFonts w:cstheme="minorHAnsi"/>
                <w:sz w:val="22"/>
                <w:szCs w:val="22"/>
              </w:rPr>
            </w:pPr>
            <w:r>
              <w:rPr>
                <w:rFonts w:cstheme="minorHAnsi"/>
                <w:sz w:val="22"/>
                <w:szCs w:val="22"/>
              </w:rPr>
              <w:t>s</w:t>
            </w:r>
            <w:r w:rsidRPr="004D6FB6">
              <w:rPr>
                <w:rFonts w:cstheme="minorHAnsi"/>
                <w:sz w:val="22"/>
                <w:szCs w:val="22"/>
              </w:rPr>
              <w:t>upport to address</w:t>
            </w:r>
            <w:r>
              <w:rPr>
                <w:rFonts w:cstheme="minorHAnsi"/>
                <w:sz w:val="22"/>
                <w:szCs w:val="22"/>
              </w:rPr>
              <w:t xml:space="preserve"> </w:t>
            </w:r>
            <w:r w:rsidR="005D0DAA">
              <w:rPr>
                <w:rFonts w:cstheme="minorHAnsi"/>
                <w:sz w:val="22"/>
                <w:szCs w:val="22"/>
              </w:rPr>
              <w:t>Participant</w:t>
            </w:r>
            <w:r>
              <w:rPr>
                <w:rFonts w:cstheme="minorHAnsi"/>
                <w:sz w:val="22"/>
                <w:szCs w:val="22"/>
              </w:rPr>
              <w:t xml:space="preserve"> </w:t>
            </w:r>
            <w:r w:rsidRPr="004D6FB6">
              <w:rPr>
                <w:rFonts w:cstheme="minorHAnsi"/>
                <w:sz w:val="22"/>
                <w:szCs w:val="22"/>
              </w:rPr>
              <w:t>iss</w:t>
            </w:r>
            <w:r>
              <w:rPr>
                <w:rFonts w:cstheme="minorHAnsi"/>
                <w:sz w:val="22"/>
                <w:szCs w:val="22"/>
              </w:rPr>
              <w:t>ues (e.g. health or housing or work/Activity related issues</w:t>
            </w:r>
            <w:r w:rsidRPr="004D6FB6">
              <w:rPr>
                <w:rFonts w:cstheme="minorHAnsi"/>
                <w:sz w:val="22"/>
                <w:szCs w:val="22"/>
              </w:rPr>
              <w:t>)</w:t>
            </w:r>
          </w:p>
          <w:p w14:paraId="1B7B808D" w14:textId="77777777" w:rsidR="00D96629" w:rsidRDefault="00D96629" w:rsidP="00D96629">
            <w:pPr>
              <w:pStyle w:val="tabletext"/>
              <w:numPr>
                <w:ilvl w:val="0"/>
                <w:numId w:val="6"/>
              </w:numPr>
              <w:ind w:left="351" w:hanging="351"/>
              <w:rPr>
                <w:rFonts w:cstheme="minorHAnsi"/>
                <w:sz w:val="22"/>
                <w:szCs w:val="22"/>
              </w:rPr>
            </w:pPr>
            <w:r>
              <w:rPr>
                <w:rFonts w:cstheme="minorHAnsi"/>
                <w:sz w:val="22"/>
                <w:szCs w:val="22"/>
              </w:rPr>
              <w:t>g</w:t>
            </w:r>
            <w:r w:rsidRPr="004D6FB6">
              <w:rPr>
                <w:rFonts w:cstheme="minorHAnsi"/>
                <w:sz w:val="22"/>
                <w:szCs w:val="22"/>
              </w:rPr>
              <w:t>oal setting</w:t>
            </w:r>
          </w:p>
          <w:p w14:paraId="6BFF5166" w14:textId="77777777" w:rsidR="00D96629" w:rsidRPr="003B748E" w:rsidRDefault="00D96629" w:rsidP="00D96629">
            <w:pPr>
              <w:pStyle w:val="tabletext"/>
              <w:numPr>
                <w:ilvl w:val="0"/>
                <w:numId w:val="6"/>
              </w:numPr>
              <w:ind w:left="351" w:hanging="351"/>
              <w:rPr>
                <w:rFonts w:cstheme="minorHAnsi"/>
                <w:sz w:val="22"/>
                <w:szCs w:val="22"/>
              </w:rPr>
            </w:pPr>
            <w:r w:rsidRPr="003B748E">
              <w:rPr>
                <w:rFonts w:cstheme="minorHAnsi"/>
                <w:sz w:val="22"/>
                <w:szCs w:val="22"/>
              </w:rPr>
              <w:t xml:space="preserve">assistance to translate written materials like an employer’s/hosts workplace health and safety documents and process documents </w:t>
            </w:r>
          </w:p>
          <w:p w14:paraId="3CE2AE64" w14:textId="77777777" w:rsidR="00D96629" w:rsidRPr="004D6FB6" w:rsidRDefault="00D96629" w:rsidP="00D96629">
            <w:pPr>
              <w:pStyle w:val="tabletext"/>
              <w:numPr>
                <w:ilvl w:val="0"/>
                <w:numId w:val="6"/>
              </w:numPr>
              <w:ind w:left="351" w:hanging="351"/>
              <w:rPr>
                <w:rFonts w:cstheme="minorHAnsi"/>
                <w:sz w:val="22"/>
                <w:szCs w:val="22"/>
              </w:rPr>
            </w:pPr>
            <w:r>
              <w:rPr>
                <w:rFonts w:cstheme="minorHAnsi"/>
                <w:sz w:val="22"/>
                <w:szCs w:val="22"/>
              </w:rPr>
              <w:t>a</w:t>
            </w:r>
            <w:r w:rsidRPr="004D6FB6">
              <w:rPr>
                <w:rFonts w:cstheme="minorHAnsi"/>
                <w:sz w:val="22"/>
                <w:szCs w:val="22"/>
              </w:rPr>
              <w:t>ssisting the</w:t>
            </w:r>
            <w:r>
              <w:rPr>
                <w:rFonts w:cstheme="minorHAnsi"/>
                <w:sz w:val="22"/>
                <w:szCs w:val="22"/>
              </w:rPr>
              <w:t xml:space="preserve"> </w:t>
            </w:r>
            <w:r w:rsidR="005D0DAA">
              <w:rPr>
                <w:rFonts w:cstheme="minorHAnsi"/>
                <w:sz w:val="22"/>
                <w:szCs w:val="22"/>
              </w:rPr>
              <w:t>Participant</w:t>
            </w:r>
            <w:r>
              <w:rPr>
                <w:rFonts w:cstheme="minorHAnsi"/>
                <w:sz w:val="22"/>
                <w:szCs w:val="22"/>
              </w:rPr>
              <w:t>’</w:t>
            </w:r>
            <w:r w:rsidRPr="003F0E82">
              <w:rPr>
                <w:rFonts w:cstheme="minorHAnsi"/>
                <w:sz w:val="22"/>
                <w:szCs w:val="22"/>
              </w:rPr>
              <w:t>s</w:t>
            </w:r>
            <w:r w:rsidRPr="004D6FB6">
              <w:rPr>
                <w:rFonts w:cstheme="minorHAnsi"/>
                <w:sz w:val="22"/>
                <w:szCs w:val="22"/>
              </w:rPr>
              <w:t xml:space="preserve"> family to understand the support that the</w:t>
            </w:r>
            <w:r>
              <w:rPr>
                <w:rFonts w:cstheme="minorHAnsi"/>
                <w:sz w:val="22"/>
                <w:szCs w:val="22"/>
              </w:rPr>
              <w:t xml:space="preserve"> </w:t>
            </w:r>
            <w:r w:rsidR="005D0DAA">
              <w:rPr>
                <w:rFonts w:cstheme="minorHAnsi"/>
                <w:sz w:val="22"/>
                <w:szCs w:val="22"/>
              </w:rPr>
              <w:t>Participant</w:t>
            </w:r>
            <w:r>
              <w:rPr>
                <w:rFonts w:cstheme="minorHAnsi"/>
                <w:sz w:val="22"/>
                <w:szCs w:val="22"/>
              </w:rPr>
              <w:t xml:space="preserve"> </w:t>
            </w:r>
            <w:r w:rsidRPr="004D6FB6">
              <w:rPr>
                <w:rFonts w:cstheme="minorHAnsi"/>
                <w:sz w:val="22"/>
                <w:szCs w:val="22"/>
              </w:rPr>
              <w:t>will need from home.</w:t>
            </w:r>
          </w:p>
          <w:p w14:paraId="5F490160" w14:textId="77777777" w:rsidR="00D96629" w:rsidRPr="00537FB0" w:rsidRDefault="00D96629" w:rsidP="00D96629">
            <w:pPr>
              <w:pStyle w:val="tabletext"/>
              <w:spacing w:before="120"/>
              <w:rPr>
                <w:rFonts w:cstheme="minorHAnsi"/>
                <w:sz w:val="22"/>
                <w:szCs w:val="22"/>
              </w:rPr>
            </w:pPr>
            <w:r w:rsidRPr="00537FB0">
              <w:rPr>
                <w:rFonts w:cstheme="minorHAnsi"/>
                <w:sz w:val="22"/>
                <w:szCs w:val="22"/>
              </w:rPr>
              <w:t xml:space="preserve">When </w:t>
            </w:r>
            <w:r>
              <w:rPr>
                <w:rFonts w:cstheme="minorHAnsi"/>
                <w:sz w:val="22"/>
                <w:szCs w:val="22"/>
              </w:rPr>
              <w:t xml:space="preserve">claiming Reimbursement for pre and post </w:t>
            </w:r>
            <w:r w:rsidRPr="00537FB0">
              <w:rPr>
                <w:rFonts w:cstheme="minorHAnsi"/>
                <w:sz w:val="22"/>
                <w:szCs w:val="22"/>
              </w:rPr>
              <w:t xml:space="preserve">placement mentoring delivered by a staff member of a Provider’s Own Organisation or Related Entity, assistance is limited to a cap of $1,650 (GST inclusive) per </w:t>
            </w:r>
            <w:r w:rsidR="005D0DAA">
              <w:rPr>
                <w:rFonts w:cstheme="minorHAnsi"/>
                <w:sz w:val="22"/>
                <w:szCs w:val="22"/>
              </w:rPr>
              <w:t>Participant</w:t>
            </w:r>
            <w:r w:rsidRPr="00537FB0">
              <w:rPr>
                <w:rFonts w:cstheme="minorHAnsi"/>
                <w:sz w:val="22"/>
                <w:szCs w:val="22"/>
              </w:rPr>
              <w:t>, per financial year.</w:t>
            </w:r>
          </w:p>
          <w:p w14:paraId="0EC6B1EB" w14:textId="77777777" w:rsidR="00D96629" w:rsidRPr="009F211C" w:rsidRDefault="00D96629" w:rsidP="003D04A2">
            <w:pPr>
              <w:pStyle w:val="tabletext"/>
              <w:spacing w:before="120"/>
              <w:rPr>
                <w:rFonts w:cstheme="minorHAnsi"/>
                <w:sz w:val="22"/>
                <w:szCs w:val="22"/>
              </w:rPr>
            </w:pPr>
            <w:r w:rsidRPr="00251187">
              <w:rPr>
                <w:rFonts w:cstheme="minorHAnsi"/>
                <w:sz w:val="22"/>
                <w:szCs w:val="22"/>
              </w:rPr>
              <w:t>The</w:t>
            </w:r>
            <w:r>
              <w:rPr>
                <w:rFonts w:cstheme="minorHAnsi"/>
                <w:sz w:val="22"/>
                <w:szCs w:val="22"/>
              </w:rPr>
              <w:t>re is no cap for</w:t>
            </w:r>
            <w:r w:rsidRPr="00251187">
              <w:rPr>
                <w:rFonts w:cstheme="minorHAnsi"/>
                <w:sz w:val="22"/>
                <w:szCs w:val="22"/>
              </w:rPr>
              <w:t xml:space="preserve"> </w:t>
            </w:r>
            <w:r>
              <w:rPr>
                <w:rFonts w:cstheme="minorHAnsi"/>
                <w:sz w:val="22"/>
                <w:szCs w:val="22"/>
              </w:rPr>
              <w:t xml:space="preserve">pre and post </w:t>
            </w:r>
            <w:r w:rsidRPr="00384937">
              <w:rPr>
                <w:rFonts w:cstheme="minorHAnsi"/>
                <w:sz w:val="22"/>
                <w:szCs w:val="22"/>
              </w:rPr>
              <w:t xml:space="preserve">placement mentoring delivered </w:t>
            </w:r>
            <w:r w:rsidR="003D04A2">
              <w:rPr>
                <w:rFonts w:cstheme="minorHAnsi"/>
                <w:sz w:val="22"/>
                <w:szCs w:val="22"/>
              </w:rPr>
              <w:t>by an external organisation.</w:t>
            </w:r>
          </w:p>
        </w:tc>
        <w:tc>
          <w:tcPr>
            <w:tcW w:w="6247" w:type="dxa"/>
          </w:tcPr>
          <w:p w14:paraId="77A44961" w14:textId="77777777" w:rsidR="00D96629" w:rsidRPr="00E4538E" w:rsidRDefault="00D96629" w:rsidP="00D96629">
            <w:pPr>
              <w:pStyle w:val="tabletext"/>
              <w:rPr>
                <w:rFonts w:cstheme="minorHAnsi"/>
                <w:sz w:val="22"/>
                <w:szCs w:val="22"/>
              </w:rPr>
            </w:pPr>
            <w:r w:rsidRPr="00A37677">
              <w:rPr>
                <w:rFonts w:cstheme="minorHAnsi"/>
                <w:sz w:val="22"/>
                <w:szCs w:val="22"/>
              </w:rPr>
              <w:lastRenderedPageBreak/>
              <w:t xml:space="preserve">In addition to the Documentary </w:t>
            </w:r>
            <w:r w:rsidRPr="00E4538E">
              <w:rPr>
                <w:rFonts w:cstheme="minorHAnsi"/>
                <w:sz w:val="22"/>
                <w:szCs w:val="22"/>
              </w:rPr>
              <w:t xml:space="preserve">Evidence requirements for all purchases detailed in the </w:t>
            </w:r>
            <w:hyperlink w:anchor="_Summary_of_required" w:history="1">
              <w:r w:rsidRPr="00E4538E">
                <w:rPr>
                  <w:rStyle w:val="Hyperlink"/>
                  <w:sz w:val="22"/>
                  <w:szCs w:val="22"/>
                </w:rPr>
                <w:t>Summary of required Documentary Evidence</w:t>
              </w:r>
            </w:hyperlink>
            <w:r w:rsidRPr="00E4538E">
              <w:rPr>
                <w:rFonts w:cstheme="minorHAnsi"/>
                <w:color w:val="2E74B5" w:themeColor="accent1" w:themeShade="BF"/>
                <w:sz w:val="22"/>
                <w:szCs w:val="22"/>
              </w:rPr>
              <w:t xml:space="preserve"> </w:t>
            </w:r>
            <w:r w:rsidRPr="00E4538E">
              <w:rPr>
                <w:rFonts w:cstheme="minorHAnsi"/>
                <w:sz w:val="22"/>
                <w:szCs w:val="22"/>
              </w:rPr>
              <w:t>section, a Provider must:</w:t>
            </w:r>
          </w:p>
          <w:p w14:paraId="749FF33D" w14:textId="77777777" w:rsidR="00D96629" w:rsidRPr="00AA1C5F" w:rsidRDefault="00D96629" w:rsidP="00D96629">
            <w:pPr>
              <w:pStyle w:val="tabletext"/>
              <w:numPr>
                <w:ilvl w:val="0"/>
                <w:numId w:val="6"/>
              </w:numPr>
              <w:ind w:left="351" w:hanging="351"/>
              <w:rPr>
                <w:rFonts w:cstheme="minorHAnsi"/>
                <w:sz w:val="22"/>
                <w:szCs w:val="22"/>
              </w:rPr>
            </w:pPr>
            <w:r>
              <w:rPr>
                <w:rFonts w:cstheme="minorHAnsi"/>
                <w:sz w:val="22"/>
                <w:szCs w:val="22"/>
              </w:rPr>
              <w:lastRenderedPageBreak/>
              <w:t>select</w:t>
            </w:r>
            <w:r w:rsidRPr="00AA1C5F">
              <w:rPr>
                <w:rFonts w:cstheme="minorHAnsi"/>
                <w:sz w:val="22"/>
                <w:szCs w:val="22"/>
              </w:rPr>
              <w:t xml:space="preserve"> the </w:t>
            </w:r>
            <w:r>
              <w:rPr>
                <w:rFonts w:cstheme="minorHAnsi"/>
                <w:sz w:val="22"/>
                <w:szCs w:val="22"/>
              </w:rPr>
              <w:t>service</w:t>
            </w:r>
            <w:r w:rsidRPr="00AA1C5F">
              <w:rPr>
                <w:rFonts w:cstheme="minorHAnsi"/>
                <w:sz w:val="22"/>
                <w:szCs w:val="22"/>
              </w:rPr>
              <w:t xml:space="preserve"> type (</w:t>
            </w:r>
            <w:r w:rsidRPr="003151F4">
              <w:rPr>
                <w:rFonts w:cstheme="minorHAnsi"/>
                <w:sz w:val="22"/>
                <w:szCs w:val="22"/>
              </w:rPr>
              <w:t xml:space="preserve">Workplace English Language and Literacy (LL) Training </w:t>
            </w:r>
            <w:r w:rsidRPr="00AA1C5F">
              <w:rPr>
                <w:rFonts w:cstheme="minorHAnsi"/>
                <w:sz w:val="22"/>
                <w:szCs w:val="22"/>
              </w:rPr>
              <w:t xml:space="preserve">or </w:t>
            </w:r>
            <w:r>
              <w:rPr>
                <w:rFonts w:cstheme="minorHAnsi"/>
                <w:sz w:val="22"/>
                <w:szCs w:val="22"/>
              </w:rPr>
              <w:t>Pre and Post Placement M</w:t>
            </w:r>
            <w:r w:rsidRPr="00AA1C5F">
              <w:rPr>
                <w:rFonts w:cstheme="minorHAnsi"/>
                <w:sz w:val="22"/>
                <w:szCs w:val="22"/>
              </w:rPr>
              <w:t>entoring) in the commitmen</w:t>
            </w:r>
            <w:r>
              <w:rPr>
                <w:rFonts w:cstheme="minorHAnsi"/>
                <w:sz w:val="22"/>
                <w:szCs w:val="22"/>
              </w:rPr>
              <w:t>t in the Department’s IT System</w:t>
            </w:r>
          </w:p>
          <w:p w14:paraId="374365AB" w14:textId="77777777" w:rsidR="00D96629" w:rsidRPr="00E4538E" w:rsidRDefault="00D96629" w:rsidP="00D96629">
            <w:pPr>
              <w:pStyle w:val="tabletext"/>
              <w:numPr>
                <w:ilvl w:val="0"/>
                <w:numId w:val="6"/>
              </w:numPr>
              <w:ind w:left="351" w:hanging="351"/>
              <w:rPr>
                <w:rFonts w:cstheme="minorHAnsi"/>
                <w:sz w:val="22"/>
                <w:szCs w:val="22"/>
              </w:rPr>
            </w:pPr>
            <w:r w:rsidRPr="00A37677">
              <w:rPr>
                <w:rFonts w:cstheme="minorHAnsi"/>
                <w:sz w:val="22"/>
                <w:szCs w:val="22"/>
              </w:rPr>
              <w:t xml:space="preserve">enter the associated Vacancy ID into the </w:t>
            </w:r>
            <w:r w:rsidRPr="00E4538E">
              <w:rPr>
                <w:rFonts w:cstheme="minorHAnsi"/>
                <w:sz w:val="22"/>
                <w:szCs w:val="22"/>
              </w:rPr>
              <w:t>commitment in the Department’s IT System</w:t>
            </w:r>
            <w:r>
              <w:rPr>
                <w:rFonts w:cstheme="minorHAnsi"/>
                <w:sz w:val="22"/>
                <w:szCs w:val="22"/>
              </w:rPr>
              <w:t xml:space="preserve"> when the </w:t>
            </w:r>
            <w:r w:rsidRPr="003151F4">
              <w:rPr>
                <w:rFonts w:cstheme="minorHAnsi"/>
                <w:sz w:val="22"/>
                <w:szCs w:val="22"/>
              </w:rPr>
              <w:t xml:space="preserve">Workplace English Language and Literacy (LL) Training </w:t>
            </w:r>
            <w:r>
              <w:rPr>
                <w:rFonts w:cstheme="minorHAnsi"/>
                <w:sz w:val="22"/>
                <w:szCs w:val="22"/>
              </w:rPr>
              <w:t>service type is selected</w:t>
            </w:r>
          </w:p>
          <w:p w14:paraId="2FA02A5D" w14:textId="77777777" w:rsidR="00D96629" w:rsidRPr="00E4538E" w:rsidRDefault="00D96629" w:rsidP="00D96629">
            <w:pPr>
              <w:pStyle w:val="tabletext"/>
              <w:numPr>
                <w:ilvl w:val="0"/>
                <w:numId w:val="6"/>
              </w:numPr>
              <w:ind w:left="351" w:hanging="351"/>
              <w:rPr>
                <w:rFonts w:cstheme="minorHAnsi"/>
                <w:sz w:val="22"/>
                <w:szCs w:val="22"/>
              </w:rPr>
            </w:pPr>
            <w:r w:rsidRPr="00E4538E">
              <w:rPr>
                <w:rFonts w:cstheme="minorHAnsi"/>
                <w:sz w:val="22"/>
                <w:szCs w:val="22"/>
              </w:rPr>
              <w:t xml:space="preserve">retain sufficient items of Documentary Evidence that in combination </w:t>
            </w:r>
            <w:r>
              <w:rPr>
                <w:rFonts w:cstheme="minorHAnsi"/>
                <w:sz w:val="22"/>
                <w:szCs w:val="22"/>
              </w:rPr>
              <w:t xml:space="preserve">identifies </w:t>
            </w:r>
            <w:r w:rsidRPr="00E84FC4">
              <w:rPr>
                <w:rFonts w:cstheme="minorHAnsi"/>
                <w:sz w:val="22"/>
                <w:szCs w:val="22"/>
              </w:rPr>
              <w:t xml:space="preserve">the service type </w:t>
            </w:r>
            <w:r>
              <w:rPr>
                <w:rFonts w:cstheme="minorHAnsi"/>
                <w:sz w:val="22"/>
                <w:szCs w:val="22"/>
              </w:rPr>
              <w:t xml:space="preserve">as either </w:t>
            </w:r>
            <w:r w:rsidRPr="003151F4">
              <w:rPr>
                <w:rFonts w:cstheme="minorHAnsi"/>
                <w:sz w:val="22"/>
                <w:szCs w:val="22"/>
              </w:rPr>
              <w:t xml:space="preserve">Workplace English Language and Literacy (LL) Training </w:t>
            </w:r>
            <w:r w:rsidRPr="00E84FC4">
              <w:rPr>
                <w:rFonts w:cstheme="minorHAnsi"/>
                <w:sz w:val="22"/>
                <w:szCs w:val="22"/>
              </w:rPr>
              <w:t xml:space="preserve">or </w:t>
            </w:r>
            <w:r>
              <w:rPr>
                <w:rFonts w:cstheme="minorHAnsi"/>
                <w:sz w:val="22"/>
                <w:szCs w:val="22"/>
              </w:rPr>
              <w:t>Pre and Post Placement M</w:t>
            </w:r>
            <w:r w:rsidRPr="00E84FC4">
              <w:rPr>
                <w:rFonts w:cstheme="minorHAnsi"/>
                <w:sz w:val="22"/>
                <w:szCs w:val="22"/>
              </w:rPr>
              <w:t xml:space="preserve">entoring </w:t>
            </w:r>
            <w:r w:rsidRPr="00E4538E">
              <w:rPr>
                <w:rFonts w:cstheme="minorHAnsi"/>
                <w:sz w:val="22"/>
                <w:szCs w:val="22"/>
              </w:rPr>
              <w:t xml:space="preserve">for </w:t>
            </w:r>
            <w:r>
              <w:rPr>
                <w:rFonts w:cstheme="minorHAnsi"/>
                <w:sz w:val="22"/>
                <w:szCs w:val="22"/>
              </w:rPr>
              <w:t xml:space="preserve">services </w:t>
            </w:r>
            <w:r w:rsidRPr="00E4538E">
              <w:rPr>
                <w:rFonts w:cstheme="minorHAnsi"/>
                <w:sz w:val="22"/>
                <w:szCs w:val="22"/>
              </w:rPr>
              <w:t>delivered by a Provider’s Own O</w:t>
            </w:r>
            <w:r>
              <w:rPr>
                <w:rFonts w:cstheme="minorHAnsi"/>
                <w:sz w:val="22"/>
                <w:szCs w:val="22"/>
              </w:rPr>
              <w:t>rganisation or a Related Entity.</w:t>
            </w:r>
          </w:p>
          <w:p w14:paraId="2E85F213" w14:textId="60093F16" w:rsidR="00D96629" w:rsidRPr="00A37677" w:rsidRDefault="00D96629" w:rsidP="00EB6BA2">
            <w:pPr>
              <w:pStyle w:val="tabletext"/>
              <w:spacing w:before="120"/>
              <w:rPr>
                <w:rFonts w:cstheme="minorHAnsi"/>
                <w:sz w:val="22"/>
                <w:szCs w:val="22"/>
              </w:rPr>
            </w:pPr>
            <w:r w:rsidRPr="006A3981">
              <w:rPr>
                <w:rFonts w:cstheme="minorHAnsi"/>
                <w:sz w:val="22"/>
                <w:szCs w:val="22"/>
              </w:rPr>
              <w:t>Refer</w:t>
            </w:r>
            <w:r w:rsidRPr="006A3981">
              <w:rPr>
                <w:sz w:val="22"/>
                <w:szCs w:val="22"/>
              </w:rPr>
              <w:t xml:space="preserve"> to the </w:t>
            </w:r>
            <w:hyperlink r:id="rId45" w:history="1">
              <w:r w:rsidR="00EB6BA2">
                <w:rPr>
                  <w:rStyle w:val="Hyperlink"/>
                  <w:sz w:val="22"/>
                  <w:szCs w:val="22"/>
                </w:rPr>
                <w:t>New Employment Services Trial Employment Fund General Account IT Supporting Document</w:t>
              </w:r>
            </w:hyperlink>
            <w:r w:rsidRPr="006A3981">
              <w:rPr>
                <w:rStyle w:val="Hyperlink"/>
                <w:sz w:val="22"/>
                <w:szCs w:val="22"/>
              </w:rPr>
              <w:t xml:space="preserve"> </w:t>
            </w:r>
            <w:r w:rsidRPr="006A3981">
              <w:rPr>
                <w:rFonts w:cstheme="minorHAnsi"/>
                <w:sz w:val="22"/>
                <w:szCs w:val="22"/>
              </w:rPr>
              <w:t xml:space="preserve">for further guidance on creating </w:t>
            </w:r>
            <w:r>
              <w:rPr>
                <w:rFonts w:cstheme="minorHAnsi"/>
                <w:sz w:val="22"/>
                <w:szCs w:val="22"/>
              </w:rPr>
              <w:t xml:space="preserve">Refugee </w:t>
            </w:r>
            <w:r w:rsidR="00F24B15">
              <w:rPr>
                <w:rFonts w:cstheme="minorHAnsi"/>
                <w:sz w:val="22"/>
                <w:szCs w:val="22"/>
              </w:rPr>
              <w:t>T</w:t>
            </w:r>
            <w:r w:rsidRPr="006A3981">
              <w:rPr>
                <w:rFonts w:cstheme="minorHAnsi"/>
                <w:sz w:val="22"/>
                <w:szCs w:val="22"/>
              </w:rPr>
              <w:t xml:space="preserve">raining and </w:t>
            </w:r>
            <w:r w:rsidR="00F24B15">
              <w:rPr>
                <w:rFonts w:cstheme="minorHAnsi"/>
                <w:sz w:val="22"/>
                <w:szCs w:val="22"/>
              </w:rPr>
              <w:t>M</w:t>
            </w:r>
            <w:r w:rsidR="00F24B15" w:rsidRPr="006A3981">
              <w:rPr>
                <w:rFonts w:cstheme="minorHAnsi"/>
                <w:sz w:val="22"/>
                <w:szCs w:val="22"/>
              </w:rPr>
              <w:t xml:space="preserve">entoring </w:t>
            </w:r>
            <w:r w:rsidRPr="006A3981">
              <w:rPr>
                <w:rFonts w:cstheme="minorHAnsi"/>
                <w:sz w:val="22"/>
                <w:szCs w:val="22"/>
              </w:rPr>
              <w:t>commitments in the Department’s IT System.</w:t>
            </w:r>
          </w:p>
        </w:tc>
      </w:tr>
      <w:tr w:rsidR="00096371" w:rsidRPr="00662F9A" w14:paraId="3C21EA91" w14:textId="77777777" w:rsidTr="00827A41">
        <w:tc>
          <w:tcPr>
            <w:tcW w:w="2019" w:type="dxa"/>
          </w:tcPr>
          <w:p w14:paraId="3C3DC0C9" w14:textId="77777777" w:rsidR="00096371" w:rsidRDefault="00096371" w:rsidP="00096371">
            <w:pPr>
              <w:pStyle w:val="tabletext"/>
              <w:rPr>
                <w:rFonts w:cstheme="minorHAnsi"/>
                <w:b/>
                <w:sz w:val="22"/>
                <w:szCs w:val="22"/>
              </w:rPr>
            </w:pPr>
            <w:r>
              <w:rPr>
                <w:rFonts w:cstheme="minorHAnsi"/>
                <w:b/>
                <w:sz w:val="22"/>
                <w:szCs w:val="22"/>
              </w:rPr>
              <w:lastRenderedPageBreak/>
              <w:t>Targeted P</w:t>
            </w:r>
            <w:r w:rsidRPr="00662F9A">
              <w:rPr>
                <w:rFonts w:cstheme="minorHAnsi"/>
                <w:b/>
                <w:sz w:val="22"/>
                <w:szCs w:val="22"/>
              </w:rPr>
              <w:t>r</w:t>
            </w:r>
            <w:r>
              <w:rPr>
                <w:rFonts w:cstheme="minorHAnsi"/>
                <w:b/>
                <w:sz w:val="22"/>
                <w:szCs w:val="22"/>
              </w:rPr>
              <w:t>e Employment P</w:t>
            </w:r>
            <w:r w:rsidRPr="00662F9A">
              <w:rPr>
                <w:rFonts w:cstheme="minorHAnsi"/>
                <w:b/>
                <w:sz w:val="22"/>
                <w:szCs w:val="22"/>
              </w:rPr>
              <w:t>reparation</w:t>
            </w:r>
          </w:p>
        </w:tc>
        <w:tc>
          <w:tcPr>
            <w:tcW w:w="2835" w:type="dxa"/>
          </w:tcPr>
          <w:p w14:paraId="2819A095" w14:textId="77777777" w:rsidR="00096371" w:rsidRDefault="00096371" w:rsidP="00096371">
            <w:pPr>
              <w:pStyle w:val="tabletext"/>
              <w:rPr>
                <w:sz w:val="22"/>
              </w:rPr>
            </w:pPr>
          </w:p>
        </w:tc>
        <w:tc>
          <w:tcPr>
            <w:tcW w:w="10136" w:type="dxa"/>
          </w:tcPr>
          <w:p w14:paraId="7A324B7E" w14:textId="77777777" w:rsidR="00096371" w:rsidRPr="00662F9A" w:rsidRDefault="00096371" w:rsidP="00096371">
            <w:pPr>
              <w:pStyle w:val="tabletext"/>
              <w:rPr>
                <w:rFonts w:cstheme="minorHAnsi"/>
                <w:sz w:val="22"/>
                <w:szCs w:val="22"/>
              </w:rPr>
            </w:pPr>
            <w:r>
              <w:rPr>
                <w:rFonts w:cstheme="minorHAnsi"/>
                <w:sz w:val="22"/>
                <w:szCs w:val="22"/>
              </w:rPr>
              <w:t>Providers may use this</w:t>
            </w:r>
            <w:r w:rsidRPr="00662F9A">
              <w:rPr>
                <w:rFonts w:cstheme="minorHAnsi"/>
                <w:sz w:val="22"/>
                <w:szCs w:val="22"/>
              </w:rPr>
              <w:t xml:space="preserve"> category for employability and foundation skills training.</w:t>
            </w:r>
          </w:p>
          <w:p w14:paraId="76871908" w14:textId="77777777" w:rsidR="00096371" w:rsidRDefault="00096371" w:rsidP="00096371">
            <w:pPr>
              <w:pStyle w:val="tabletext"/>
              <w:spacing w:before="120"/>
              <w:rPr>
                <w:rFonts w:cstheme="minorHAnsi"/>
                <w:sz w:val="22"/>
                <w:szCs w:val="22"/>
              </w:rPr>
            </w:pPr>
            <w:r w:rsidRPr="002E6531">
              <w:rPr>
                <w:rFonts w:cstheme="minorHAnsi"/>
                <w:sz w:val="22"/>
                <w:szCs w:val="22"/>
              </w:rPr>
              <w:t>Provider</w:t>
            </w:r>
            <w:r>
              <w:rPr>
                <w:rFonts w:cstheme="minorHAnsi"/>
                <w:sz w:val="22"/>
                <w:szCs w:val="22"/>
              </w:rPr>
              <w:t>s</w:t>
            </w:r>
            <w:r w:rsidRPr="002E6531">
              <w:rPr>
                <w:rFonts w:cstheme="minorHAnsi"/>
                <w:sz w:val="22"/>
                <w:szCs w:val="22"/>
              </w:rPr>
              <w:t xml:space="preserve"> must seek </w:t>
            </w:r>
            <w:r>
              <w:rPr>
                <w:rFonts w:cstheme="minorHAnsi"/>
                <w:sz w:val="22"/>
                <w:szCs w:val="22"/>
              </w:rPr>
              <w:t xml:space="preserve">from the Department </w:t>
            </w:r>
            <w:r w:rsidRPr="002E6531">
              <w:rPr>
                <w:rFonts w:cstheme="minorHAnsi"/>
                <w:sz w:val="22"/>
                <w:szCs w:val="22"/>
              </w:rPr>
              <w:t xml:space="preserve">pre-approval of the training course content. </w:t>
            </w:r>
            <w:r>
              <w:rPr>
                <w:rFonts w:cstheme="minorHAnsi"/>
                <w:sz w:val="22"/>
                <w:szCs w:val="22"/>
              </w:rPr>
              <w:t>In the training proposal, P</w:t>
            </w:r>
            <w:r w:rsidRPr="002E6531">
              <w:rPr>
                <w:rFonts w:cstheme="minorHAnsi"/>
                <w:sz w:val="22"/>
                <w:szCs w:val="22"/>
              </w:rPr>
              <w:t>rovider</w:t>
            </w:r>
            <w:r>
              <w:rPr>
                <w:rFonts w:cstheme="minorHAnsi"/>
                <w:sz w:val="22"/>
                <w:szCs w:val="22"/>
              </w:rPr>
              <w:t>s</w:t>
            </w:r>
            <w:r w:rsidRPr="002E6531">
              <w:rPr>
                <w:rFonts w:cstheme="minorHAnsi"/>
                <w:sz w:val="22"/>
                <w:szCs w:val="22"/>
              </w:rPr>
              <w:t xml:space="preserve"> </w:t>
            </w:r>
            <w:r>
              <w:rPr>
                <w:rFonts w:cstheme="minorHAnsi"/>
                <w:sz w:val="22"/>
                <w:szCs w:val="22"/>
              </w:rPr>
              <w:t>must</w:t>
            </w:r>
            <w:r w:rsidRPr="002E6531">
              <w:rPr>
                <w:rFonts w:cstheme="minorHAnsi"/>
                <w:sz w:val="22"/>
                <w:szCs w:val="22"/>
              </w:rPr>
              <w:t xml:space="preserve"> demonstrate </w:t>
            </w:r>
            <w:r>
              <w:rPr>
                <w:rFonts w:cstheme="minorHAnsi"/>
                <w:sz w:val="22"/>
                <w:szCs w:val="22"/>
              </w:rPr>
              <w:t xml:space="preserve">that </w:t>
            </w:r>
            <w:r w:rsidRPr="002E6531">
              <w:rPr>
                <w:rFonts w:cstheme="minorHAnsi"/>
                <w:sz w:val="22"/>
                <w:szCs w:val="22"/>
              </w:rPr>
              <w:t xml:space="preserve">the specific training needs </w:t>
            </w:r>
            <w:r>
              <w:rPr>
                <w:rFonts w:cstheme="minorHAnsi"/>
                <w:sz w:val="22"/>
                <w:szCs w:val="22"/>
              </w:rPr>
              <w:t xml:space="preserve">cannot be </w:t>
            </w:r>
            <w:r w:rsidRPr="002E6531">
              <w:rPr>
                <w:rFonts w:cstheme="minorHAnsi"/>
                <w:sz w:val="22"/>
                <w:szCs w:val="22"/>
              </w:rPr>
              <w:t xml:space="preserve">satisfied by a </w:t>
            </w:r>
            <w:r>
              <w:rPr>
                <w:rFonts w:cstheme="minorHAnsi"/>
                <w:sz w:val="22"/>
                <w:szCs w:val="22"/>
              </w:rPr>
              <w:t>nationally recognised</w:t>
            </w:r>
            <w:r w:rsidRPr="002E6531">
              <w:rPr>
                <w:rFonts w:cstheme="minorHAnsi"/>
                <w:sz w:val="22"/>
                <w:szCs w:val="22"/>
              </w:rPr>
              <w:t xml:space="preserve"> training course or unit of competency. Provider</w:t>
            </w:r>
            <w:r>
              <w:rPr>
                <w:rFonts w:cstheme="minorHAnsi"/>
                <w:sz w:val="22"/>
                <w:szCs w:val="22"/>
              </w:rPr>
              <w:t xml:space="preserve">s can only </w:t>
            </w:r>
            <w:r w:rsidRPr="002E6531">
              <w:rPr>
                <w:rFonts w:cstheme="minorHAnsi"/>
                <w:sz w:val="22"/>
                <w:szCs w:val="22"/>
              </w:rPr>
              <w:t>claim Reimbursement under this category</w:t>
            </w:r>
            <w:r>
              <w:rPr>
                <w:rFonts w:cstheme="minorHAnsi"/>
                <w:sz w:val="22"/>
                <w:szCs w:val="22"/>
              </w:rPr>
              <w:t xml:space="preserve"> once the Department has approved the training course</w:t>
            </w:r>
            <w:r w:rsidRPr="002E6531">
              <w:rPr>
                <w:rFonts w:cstheme="minorHAnsi"/>
                <w:sz w:val="22"/>
                <w:szCs w:val="22"/>
              </w:rPr>
              <w:t>.</w:t>
            </w:r>
          </w:p>
          <w:p w14:paraId="37D83647" w14:textId="77777777" w:rsidR="00096371" w:rsidRDefault="00096371" w:rsidP="00096371">
            <w:pPr>
              <w:pStyle w:val="tabletext"/>
              <w:spacing w:before="120"/>
              <w:rPr>
                <w:rFonts w:cstheme="minorHAnsi"/>
                <w:sz w:val="22"/>
                <w:szCs w:val="22"/>
              </w:rPr>
            </w:pPr>
            <w:r>
              <w:rPr>
                <w:rFonts w:cstheme="minorHAnsi"/>
                <w:sz w:val="22"/>
                <w:szCs w:val="22"/>
              </w:rPr>
              <w:t>A</w:t>
            </w:r>
            <w:r w:rsidRPr="00662F9A">
              <w:rPr>
                <w:rFonts w:cstheme="minorHAnsi"/>
                <w:sz w:val="22"/>
                <w:szCs w:val="22"/>
              </w:rPr>
              <w:t xml:space="preserve">ssistance under this category is limited to one claim per </w:t>
            </w:r>
            <w:r>
              <w:rPr>
                <w:rFonts w:cstheme="minorHAnsi"/>
                <w:sz w:val="22"/>
                <w:szCs w:val="22"/>
              </w:rPr>
              <w:t>participant</w:t>
            </w:r>
            <w:r w:rsidRPr="00662F9A">
              <w:rPr>
                <w:rFonts w:cstheme="minorHAnsi"/>
                <w:sz w:val="22"/>
                <w:szCs w:val="22"/>
              </w:rPr>
              <w:t>, per Provider, per Period of Unemployment. A</w:t>
            </w:r>
            <w:r>
              <w:rPr>
                <w:rFonts w:cstheme="minorHAnsi"/>
                <w:sz w:val="22"/>
                <w:szCs w:val="22"/>
              </w:rPr>
              <w:t>ssistance is capped at $550 (GST inclusive).</w:t>
            </w:r>
          </w:p>
          <w:p w14:paraId="7CA70AB2" w14:textId="14E85B8A" w:rsidR="00096371" w:rsidRPr="00C751E3" w:rsidRDefault="00096371" w:rsidP="00096371">
            <w:pPr>
              <w:pStyle w:val="tabletext"/>
              <w:spacing w:before="120"/>
              <w:rPr>
                <w:rFonts w:cstheme="minorHAnsi"/>
                <w:sz w:val="22"/>
                <w:szCs w:val="22"/>
              </w:rPr>
            </w:pPr>
            <w:r w:rsidRPr="00662F9A">
              <w:rPr>
                <w:rFonts w:cstheme="minorHAnsi"/>
                <w:sz w:val="22"/>
                <w:szCs w:val="22"/>
              </w:rPr>
              <w:t xml:space="preserve">For information on </w:t>
            </w:r>
            <w:r>
              <w:rPr>
                <w:rFonts w:cstheme="minorHAnsi"/>
                <w:sz w:val="22"/>
                <w:szCs w:val="22"/>
              </w:rPr>
              <w:t xml:space="preserve">how and </w:t>
            </w:r>
            <w:r w:rsidRPr="00662F9A">
              <w:rPr>
                <w:rFonts w:cstheme="minorHAnsi"/>
                <w:sz w:val="22"/>
                <w:szCs w:val="22"/>
              </w:rPr>
              <w:t xml:space="preserve">what to include in a training course proposal, refer to the </w:t>
            </w:r>
            <w:hyperlink r:id="rId46" w:history="1">
              <w:r w:rsidRPr="00785291">
                <w:rPr>
                  <w:rStyle w:val="Hyperlink"/>
                  <w:rFonts w:cstheme="minorHAnsi"/>
                  <w:sz w:val="22"/>
                  <w:szCs w:val="22"/>
                </w:rPr>
                <w:t>Employment Fund - Targeted Pre-employment Preparation (TPEP) proposal template</w:t>
              </w:r>
              <w:r w:rsidRPr="00EB6BA2">
                <w:rPr>
                  <w:rStyle w:val="Hyperlink"/>
                  <w:rFonts w:cstheme="minorHAnsi"/>
                  <w:sz w:val="22"/>
                  <w:szCs w:val="22"/>
                </w:rPr>
                <w:t>.</w:t>
              </w:r>
            </w:hyperlink>
            <w:r w:rsidRPr="00662F9A">
              <w:rPr>
                <w:rFonts w:cstheme="minorHAnsi"/>
                <w:sz w:val="22"/>
                <w:szCs w:val="22"/>
              </w:rPr>
              <w:t xml:space="preserve"> </w:t>
            </w:r>
          </w:p>
        </w:tc>
        <w:tc>
          <w:tcPr>
            <w:tcW w:w="6247" w:type="dxa"/>
          </w:tcPr>
          <w:p w14:paraId="2F5244C1" w14:textId="77777777" w:rsidR="00096371" w:rsidRPr="00A37677" w:rsidRDefault="00096371" w:rsidP="00096371">
            <w:pPr>
              <w:pStyle w:val="tabletext"/>
              <w:rPr>
                <w:rFonts w:cstheme="minorHAnsi"/>
                <w:sz w:val="22"/>
                <w:szCs w:val="22"/>
              </w:rPr>
            </w:pPr>
            <w:r>
              <w:rPr>
                <w:rFonts w:cstheme="minorHAnsi"/>
                <w:sz w:val="22"/>
                <w:szCs w:val="22"/>
              </w:rPr>
              <w:t xml:space="preserve">In </w:t>
            </w:r>
            <w:r w:rsidRPr="00A37677">
              <w:rPr>
                <w:rFonts w:cstheme="minorHAnsi"/>
                <w:sz w:val="22"/>
                <w:szCs w:val="22"/>
              </w:rPr>
              <w:t xml:space="preserve">addition to the Documentary Evidence requirements for all purchases detailed in the </w:t>
            </w:r>
            <w:hyperlink w:anchor="_Summary_of_required" w:history="1">
              <w:r w:rsidRPr="002F45B8">
                <w:rPr>
                  <w:rStyle w:val="Hyperlink"/>
                  <w:sz w:val="22"/>
                  <w:szCs w:val="22"/>
                </w:rPr>
                <w:t>Summary of required Documentary Evidence</w:t>
              </w:r>
            </w:hyperlink>
            <w:r w:rsidRPr="00A37677">
              <w:rPr>
                <w:rFonts w:cstheme="minorHAnsi"/>
                <w:color w:val="2E74B5" w:themeColor="accent1" w:themeShade="BF"/>
                <w:sz w:val="22"/>
                <w:szCs w:val="22"/>
              </w:rPr>
              <w:t xml:space="preserve"> </w:t>
            </w:r>
            <w:r w:rsidRPr="00A37677">
              <w:rPr>
                <w:rFonts w:cstheme="minorHAnsi"/>
                <w:sz w:val="22"/>
                <w:szCs w:val="22"/>
              </w:rPr>
              <w:t xml:space="preserve">section, </w:t>
            </w:r>
            <w:r>
              <w:rPr>
                <w:rFonts w:cstheme="minorHAnsi"/>
                <w:sz w:val="22"/>
                <w:szCs w:val="22"/>
              </w:rPr>
              <w:t>a Provider</w:t>
            </w:r>
            <w:r w:rsidRPr="00A37677">
              <w:rPr>
                <w:rFonts w:cstheme="minorHAnsi"/>
                <w:sz w:val="22"/>
                <w:szCs w:val="22"/>
              </w:rPr>
              <w:t xml:space="preserve"> must: </w:t>
            </w:r>
          </w:p>
          <w:p w14:paraId="02245DC9" w14:textId="77777777" w:rsidR="00096371" w:rsidRDefault="00096371" w:rsidP="00096371">
            <w:pPr>
              <w:pStyle w:val="tabletext"/>
              <w:numPr>
                <w:ilvl w:val="0"/>
                <w:numId w:val="6"/>
              </w:numPr>
              <w:ind w:left="351" w:hanging="351"/>
              <w:rPr>
                <w:rFonts w:cstheme="minorHAnsi"/>
                <w:sz w:val="22"/>
                <w:szCs w:val="22"/>
              </w:rPr>
            </w:pPr>
            <w:r>
              <w:rPr>
                <w:rFonts w:cstheme="minorHAnsi"/>
                <w:sz w:val="22"/>
                <w:szCs w:val="22"/>
              </w:rPr>
              <w:t>enter the training course title in the commitment in the Department’s IT System</w:t>
            </w:r>
          </w:p>
          <w:p w14:paraId="482E87F0" w14:textId="483160D9" w:rsidR="00096371" w:rsidRPr="00A37677" w:rsidRDefault="00096371" w:rsidP="00EB6BA2">
            <w:pPr>
              <w:pStyle w:val="tabletext"/>
              <w:spacing w:before="120"/>
              <w:rPr>
                <w:rFonts w:cstheme="minorHAnsi"/>
                <w:sz w:val="22"/>
                <w:szCs w:val="22"/>
              </w:rPr>
            </w:pPr>
            <w:r w:rsidRPr="00A37677">
              <w:rPr>
                <w:rFonts w:cstheme="minorHAnsi"/>
                <w:sz w:val="22"/>
                <w:szCs w:val="22"/>
              </w:rPr>
              <w:t>Refer</w:t>
            </w:r>
            <w:r w:rsidRPr="00A37677">
              <w:rPr>
                <w:sz w:val="22"/>
                <w:szCs w:val="22"/>
              </w:rPr>
              <w:t xml:space="preserve"> to the </w:t>
            </w:r>
            <w:hyperlink r:id="rId47" w:history="1">
              <w:r w:rsidR="00EB6BA2">
                <w:rPr>
                  <w:rStyle w:val="Hyperlink"/>
                  <w:sz w:val="22"/>
                  <w:szCs w:val="22"/>
                </w:rPr>
                <w:t>New Employment Services Trial Employment Fund General Account IT Supporting Document</w:t>
              </w:r>
            </w:hyperlink>
            <w:r w:rsidRPr="00A37677">
              <w:rPr>
                <w:rStyle w:val="Hyperlink"/>
                <w:sz w:val="22"/>
                <w:szCs w:val="22"/>
              </w:rPr>
              <w:t xml:space="preserve"> </w:t>
            </w:r>
            <w:r w:rsidRPr="00A37677">
              <w:rPr>
                <w:rFonts w:cstheme="minorHAnsi"/>
                <w:sz w:val="22"/>
                <w:szCs w:val="22"/>
              </w:rPr>
              <w:t>for further guidance on creat</w:t>
            </w:r>
            <w:r>
              <w:rPr>
                <w:rFonts w:cstheme="minorHAnsi"/>
                <w:sz w:val="22"/>
                <w:szCs w:val="22"/>
              </w:rPr>
              <w:t>ing Targeted Pre-Employment Preparation c</w:t>
            </w:r>
            <w:r w:rsidRPr="00A37677">
              <w:rPr>
                <w:rFonts w:cstheme="minorHAnsi"/>
                <w:sz w:val="22"/>
                <w:szCs w:val="22"/>
              </w:rPr>
              <w:t>ommitments in the Department’s IT System.</w:t>
            </w:r>
          </w:p>
        </w:tc>
      </w:tr>
      <w:tr w:rsidR="00C751E3" w:rsidRPr="00662F9A" w14:paraId="56FE979E" w14:textId="77777777" w:rsidTr="00105E62">
        <w:tc>
          <w:tcPr>
            <w:tcW w:w="2019" w:type="dxa"/>
            <w:vMerge w:val="restart"/>
          </w:tcPr>
          <w:p w14:paraId="7C308820" w14:textId="77777777" w:rsidR="00C751E3" w:rsidRPr="009F211C" w:rsidRDefault="00C751E3" w:rsidP="00C751E3">
            <w:pPr>
              <w:pStyle w:val="tabletext"/>
              <w:rPr>
                <w:rFonts w:cstheme="minorHAnsi"/>
                <w:b/>
                <w:sz w:val="22"/>
                <w:szCs w:val="22"/>
              </w:rPr>
            </w:pPr>
            <w:r w:rsidRPr="003E3BBC">
              <w:rPr>
                <w:rFonts w:cstheme="minorHAnsi"/>
                <w:b/>
                <w:sz w:val="22"/>
                <w:szCs w:val="22"/>
              </w:rPr>
              <w:t>Transport and Driver’s Licenc</w:t>
            </w:r>
            <w:r>
              <w:rPr>
                <w:rFonts w:cstheme="minorHAnsi"/>
                <w:b/>
                <w:sz w:val="22"/>
                <w:szCs w:val="22"/>
              </w:rPr>
              <w:t>es</w:t>
            </w:r>
          </w:p>
        </w:tc>
        <w:tc>
          <w:tcPr>
            <w:tcW w:w="2835" w:type="dxa"/>
            <w:tcBorders>
              <w:bottom w:val="nil"/>
            </w:tcBorders>
          </w:tcPr>
          <w:p w14:paraId="6CE33074" w14:textId="77777777" w:rsidR="00C751E3" w:rsidRPr="003A2A4B" w:rsidRDefault="00C751E3" w:rsidP="00C751E3">
            <w:pPr>
              <w:pStyle w:val="tabletext"/>
              <w:rPr>
                <w:rFonts w:ascii="Calibri" w:hAnsi="Calibri" w:cs="Calibri"/>
                <w:sz w:val="22"/>
                <w:szCs w:val="22"/>
              </w:rPr>
            </w:pPr>
            <w:r>
              <w:rPr>
                <w:rFonts w:ascii="Calibri" w:hAnsi="Calibri" w:cs="Calibri"/>
                <w:sz w:val="22"/>
                <w:szCs w:val="22"/>
              </w:rPr>
              <w:t>Driving lessons</w:t>
            </w:r>
          </w:p>
        </w:tc>
        <w:tc>
          <w:tcPr>
            <w:tcW w:w="10136" w:type="dxa"/>
            <w:tcBorders>
              <w:bottom w:val="nil"/>
            </w:tcBorders>
          </w:tcPr>
          <w:p w14:paraId="62C6C3A8" w14:textId="77777777" w:rsidR="00C751E3" w:rsidRDefault="00C751E3" w:rsidP="00C751E3">
            <w:pPr>
              <w:pStyle w:val="tabletext"/>
              <w:rPr>
                <w:rFonts w:cstheme="minorHAnsi"/>
                <w:sz w:val="22"/>
                <w:szCs w:val="22"/>
              </w:rPr>
            </w:pPr>
            <w:r>
              <w:rPr>
                <w:rFonts w:cstheme="minorHAnsi"/>
                <w:sz w:val="22"/>
                <w:szCs w:val="22"/>
              </w:rPr>
              <w:t>Providers may use t</w:t>
            </w:r>
            <w:r w:rsidRPr="00662F9A">
              <w:rPr>
                <w:rFonts w:cstheme="minorHAnsi"/>
                <w:sz w:val="22"/>
                <w:szCs w:val="22"/>
              </w:rPr>
              <w:t xml:space="preserve">his </w:t>
            </w:r>
            <w:r>
              <w:rPr>
                <w:rFonts w:cstheme="minorHAnsi"/>
                <w:sz w:val="22"/>
                <w:szCs w:val="22"/>
              </w:rPr>
              <w:t xml:space="preserve">sub </w:t>
            </w:r>
            <w:r w:rsidRPr="00662F9A">
              <w:rPr>
                <w:rFonts w:cstheme="minorHAnsi"/>
                <w:sz w:val="22"/>
                <w:szCs w:val="22"/>
              </w:rPr>
              <w:t>category for driving lessons for driver’s licence classifica</w:t>
            </w:r>
            <w:r>
              <w:rPr>
                <w:rFonts w:cstheme="minorHAnsi"/>
                <w:sz w:val="22"/>
                <w:szCs w:val="22"/>
              </w:rPr>
              <w:t>tions C (Car) and R (Motorcycle).</w:t>
            </w:r>
          </w:p>
          <w:p w14:paraId="7E4CE50F" w14:textId="77777777" w:rsidR="00C751E3" w:rsidRPr="003A2A4B" w:rsidRDefault="00C751E3" w:rsidP="00C751E3">
            <w:pPr>
              <w:pStyle w:val="tabletext"/>
              <w:spacing w:before="120"/>
              <w:rPr>
                <w:rFonts w:cstheme="minorHAnsi"/>
                <w:sz w:val="22"/>
                <w:szCs w:val="22"/>
              </w:rPr>
            </w:pPr>
            <w:r>
              <w:rPr>
                <w:rFonts w:cstheme="minorHAnsi"/>
                <w:sz w:val="22"/>
                <w:szCs w:val="22"/>
              </w:rPr>
              <w:t>Providers may claim a</w:t>
            </w:r>
            <w:r w:rsidRPr="003A2A4B">
              <w:rPr>
                <w:rFonts w:cstheme="minorHAnsi"/>
                <w:sz w:val="22"/>
                <w:szCs w:val="22"/>
              </w:rPr>
              <w:t xml:space="preserve">ssistance given to a </w:t>
            </w:r>
            <w:r>
              <w:rPr>
                <w:rFonts w:cstheme="minorHAnsi"/>
                <w:sz w:val="22"/>
                <w:szCs w:val="22"/>
              </w:rPr>
              <w:t>Participant</w:t>
            </w:r>
            <w:r w:rsidRPr="003A2A4B">
              <w:rPr>
                <w:rFonts w:cstheme="minorHAnsi"/>
                <w:sz w:val="22"/>
                <w:szCs w:val="22"/>
              </w:rPr>
              <w:t xml:space="preserve"> to gain or re-gain their driver’s licence after loss due to driving offences. However, assistance is limited to one claim per </w:t>
            </w:r>
            <w:r>
              <w:rPr>
                <w:rFonts w:cstheme="minorHAnsi"/>
                <w:sz w:val="22"/>
                <w:szCs w:val="22"/>
              </w:rPr>
              <w:t>Participant</w:t>
            </w:r>
            <w:r w:rsidRPr="003A2A4B">
              <w:rPr>
                <w:rFonts w:cstheme="minorHAnsi"/>
                <w:sz w:val="22"/>
                <w:szCs w:val="22"/>
              </w:rPr>
              <w:t xml:space="preserve">, per Period of Unemployment. </w:t>
            </w:r>
          </w:p>
        </w:tc>
        <w:tc>
          <w:tcPr>
            <w:tcW w:w="6247" w:type="dxa"/>
            <w:vMerge w:val="restart"/>
          </w:tcPr>
          <w:p w14:paraId="66FC7944" w14:textId="77777777" w:rsidR="00D06AC7" w:rsidRPr="00A37677" w:rsidRDefault="00D06AC7" w:rsidP="00D06AC7">
            <w:pPr>
              <w:pStyle w:val="tabletext"/>
              <w:rPr>
                <w:rFonts w:cstheme="minorHAnsi"/>
                <w:sz w:val="22"/>
                <w:szCs w:val="22"/>
              </w:rPr>
            </w:pPr>
            <w:r w:rsidRPr="00A37677">
              <w:rPr>
                <w:rFonts w:cstheme="minorHAnsi"/>
                <w:sz w:val="22"/>
                <w:szCs w:val="22"/>
              </w:rPr>
              <w:t xml:space="preserve">In addition to the Documentary Evidence requirements for all purchases detailed in the </w:t>
            </w:r>
            <w:hyperlink w:anchor="_Summary_of_required" w:history="1">
              <w:r w:rsidRPr="002F45B8">
                <w:rPr>
                  <w:rStyle w:val="Hyperlink"/>
                  <w:sz w:val="22"/>
                  <w:szCs w:val="22"/>
                </w:rPr>
                <w:t>Summary of required Documentary Evidence</w:t>
              </w:r>
            </w:hyperlink>
            <w:r w:rsidRPr="00A37677">
              <w:rPr>
                <w:rFonts w:cstheme="minorHAnsi"/>
                <w:color w:val="2E74B5" w:themeColor="accent1" w:themeShade="BF"/>
                <w:sz w:val="22"/>
                <w:szCs w:val="22"/>
              </w:rPr>
              <w:t xml:space="preserve"> </w:t>
            </w:r>
            <w:r w:rsidRPr="00A37677">
              <w:rPr>
                <w:rFonts w:cstheme="minorHAnsi"/>
                <w:sz w:val="22"/>
                <w:szCs w:val="22"/>
              </w:rPr>
              <w:t xml:space="preserve">section, </w:t>
            </w:r>
            <w:r>
              <w:rPr>
                <w:rFonts w:cstheme="minorHAnsi"/>
                <w:sz w:val="22"/>
                <w:szCs w:val="22"/>
              </w:rPr>
              <w:t>a Provider</w:t>
            </w:r>
            <w:r w:rsidRPr="00A37677">
              <w:rPr>
                <w:rFonts w:cstheme="minorHAnsi"/>
                <w:sz w:val="22"/>
                <w:szCs w:val="22"/>
              </w:rPr>
              <w:t xml:space="preserve"> must: </w:t>
            </w:r>
          </w:p>
          <w:p w14:paraId="7EC5199D" w14:textId="77777777" w:rsidR="00C751E3" w:rsidRPr="00A37677" w:rsidRDefault="00D06AC7" w:rsidP="009D0922">
            <w:pPr>
              <w:pStyle w:val="tabletext"/>
              <w:numPr>
                <w:ilvl w:val="0"/>
                <w:numId w:val="6"/>
              </w:numPr>
              <w:ind w:left="351" w:hanging="351"/>
              <w:rPr>
                <w:rFonts w:cstheme="minorHAnsi"/>
                <w:sz w:val="22"/>
                <w:szCs w:val="22"/>
              </w:rPr>
            </w:pPr>
            <w:r>
              <w:rPr>
                <w:rFonts w:cstheme="minorHAnsi"/>
                <w:sz w:val="22"/>
                <w:szCs w:val="22"/>
              </w:rPr>
              <w:t>f</w:t>
            </w:r>
            <w:r w:rsidR="00C751E3">
              <w:rPr>
                <w:rFonts w:cstheme="minorHAnsi"/>
                <w:sz w:val="22"/>
                <w:szCs w:val="22"/>
              </w:rPr>
              <w:t>or the Other transport sub category</w:t>
            </w:r>
            <w:r w:rsidR="00C751E3" w:rsidRPr="00A37677">
              <w:rPr>
                <w:rFonts w:cstheme="minorHAnsi"/>
                <w:sz w:val="22"/>
                <w:szCs w:val="22"/>
              </w:rPr>
              <w:t xml:space="preserve">: </w:t>
            </w:r>
          </w:p>
          <w:p w14:paraId="6A749C29" w14:textId="77777777" w:rsidR="00C751E3" w:rsidRPr="00214801" w:rsidRDefault="00C751E3" w:rsidP="009D0922">
            <w:pPr>
              <w:pStyle w:val="tabletext"/>
              <w:numPr>
                <w:ilvl w:val="1"/>
                <w:numId w:val="6"/>
              </w:numPr>
              <w:ind w:left="600" w:hanging="284"/>
              <w:rPr>
                <w:rFonts w:cstheme="minorHAnsi"/>
                <w:sz w:val="22"/>
                <w:szCs w:val="22"/>
              </w:rPr>
            </w:pPr>
            <w:r>
              <w:rPr>
                <w:rFonts w:cstheme="minorHAnsi"/>
                <w:sz w:val="22"/>
                <w:szCs w:val="22"/>
              </w:rPr>
              <w:t>enter a comment in the commitment in the Department’s IT System, outlining the purchase.</w:t>
            </w:r>
          </w:p>
          <w:p w14:paraId="1697C21D" w14:textId="77777777" w:rsidR="00C751E3" w:rsidRPr="00A37677" w:rsidRDefault="00C751E3" w:rsidP="00C751E3">
            <w:pPr>
              <w:pStyle w:val="tabletext"/>
              <w:spacing w:before="120"/>
              <w:rPr>
                <w:rFonts w:cstheme="minorHAnsi"/>
                <w:sz w:val="22"/>
                <w:szCs w:val="22"/>
              </w:rPr>
            </w:pPr>
          </w:p>
        </w:tc>
      </w:tr>
      <w:tr w:rsidR="00C751E3" w:rsidRPr="00662F9A" w14:paraId="0C132237" w14:textId="77777777" w:rsidTr="00214801">
        <w:tc>
          <w:tcPr>
            <w:tcW w:w="2019" w:type="dxa"/>
            <w:vMerge/>
          </w:tcPr>
          <w:p w14:paraId="000B7460" w14:textId="77777777" w:rsidR="00C751E3" w:rsidRPr="003E3BBC" w:rsidRDefault="00C751E3" w:rsidP="00C751E3">
            <w:pPr>
              <w:pStyle w:val="tabletext"/>
              <w:rPr>
                <w:rFonts w:cstheme="minorHAnsi"/>
                <w:b/>
                <w:sz w:val="22"/>
                <w:szCs w:val="22"/>
              </w:rPr>
            </w:pPr>
          </w:p>
        </w:tc>
        <w:tc>
          <w:tcPr>
            <w:tcW w:w="2835" w:type="dxa"/>
            <w:tcBorders>
              <w:top w:val="nil"/>
              <w:bottom w:val="nil"/>
            </w:tcBorders>
          </w:tcPr>
          <w:p w14:paraId="527C3089" w14:textId="77777777" w:rsidR="00C751E3" w:rsidRDefault="00C751E3" w:rsidP="00C751E3">
            <w:pPr>
              <w:pStyle w:val="tabletext"/>
              <w:spacing w:before="120"/>
              <w:rPr>
                <w:rFonts w:ascii="Calibri" w:hAnsi="Calibri" w:cs="Calibri"/>
                <w:sz w:val="22"/>
                <w:szCs w:val="22"/>
              </w:rPr>
            </w:pPr>
            <w:r>
              <w:rPr>
                <w:rFonts w:ascii="Calibri" w:hAnsi="Calibri" w:cs="Calibri"/>
                <w:sz w:val="22"/>
                <w:szCs w:val="22"/>
              </w:rPr>
              <w:t>Driver’s licence</w:t>
            </w:r>
          </w:p>
        </w:tc>
        <w:tc>
          <w:tcPr>
            <w:tcW w:w="10136" w:type="dxa"/>
            <w:tcBorders>
              <w:top w:val="nil"/>
              <w:bottom w:val="nil"/>
            </w:tcBorders>
          </w:tcPr>
          <w:p w14:paraId="015ED150" w14:textId="77777777" w:rsidR="00C751E3" w:rsidRDefault="00C751E3" w:rsidP="00C751E3">
            <w:pPr>
              <w:pStyle w:val="tabletext"/>
              <w:spacing w:before="120"/>
              <w:rPr>
                <w:rFonts w:ascii="Calibri" w:hAnsi="Calibri" w:cs="Calibri"/>
                <w:sz w:val="22"/>
                <w:szCs w:val="22"/>
              </w:rPr>
            </w:pPr>
            <w:r>
              <w:rPr>
                <w:rFonts w:ascii="Calibri" w:hAnsi="Calibri" w:cs="Calibri"/>
                <w:sz w:val="22"/>
                <w:szCs w:val="22"/>
              </w:rPr>
              <w:t>Providers may use this sub category for:</w:t>
            </w:r>
          </w:p>
          <w:p w14:paraId="2D90AD80" w14:textId="77777777" w:rsidR="00C751E3" w:rsidRPr="003A2A4B" w:rsidRDefault="00C751E3" w:rsidP="00C751E3">
            <w:pPr>
              <w:pStyle w:val="tabletext"/>
              <w:numPr>
                <w:ilvl w:val="0"/>
                <w:numId w:val="6"/>
              </w:numPr>
              <w:ind w:left="351" w:hanging="351"/>
              <w:rPr>
                <w:rFonts w:cstheme="minorHAnsi"/>
                <w:sz w:val="22"/>
                <w:szCs w:val="22"/>
              </w:rPr>
            </w:pPr>
            <w:r w:rsidRPr="003A2A4B">
              <w:rPr>
                <w:rFonts w:cstheme="minorHAnsi"/>
                <w:sz w:val="22"/>
                <w:szCs w:val="22"/>
              </w:rPr>
              <w:t>driver</w:t>
            </w:r>
            <w:r>
              <w:rPr>
                <w:rFonts w:cstheme="minorHAnsi"/>
                <w:sz w:val="22"/>
                <w:szCs w:val="22"/>
              </w:rPr>
              <w:t>’</w:t>
            </w:r>
            <w:r w:rsidRPr="003A2A4B">
              <w:rPr>
                <w:rFonts w:cstheme="minorHAnsi"/>
                <w:sz w:val="22"/>
                <w:szCs w:val="22"/>
              </w:rPr>
              <w:t>s licence (test and licence fee only. Driving lessons for Class C licence must be claimed under the ‘</w:t>
            </w:r>
            <w:r>
              <w:rPr>
                <w:rFonts w:cstheme="minorHAnsi"/>
                <w:sz w:val="22"/>
                <w:szCs w:val="22"/>
              </w:rPr>
              <w:t>D</w:t>
            </w:r>
            <w:r w:rsidRPr="003A2A4B">
              <w:rPr>
                <w:rFonts w:cstheme="minorHAnsi"/>
                <w:sz w:val="22"/>
                <w:szCs w:val="22"/>
              </w:rPr>
              <w:t xml:space="preserve">riving lessons’ </w:t>
            </w:r>
            <w:r>
              <w:rPr>
                <w:rFonts w:cstheme="minorHAnsi"/>
                <w:sz w:val="22"/>
                <w:szCs w:val="22"/>
              </w:rPr>
              <w:t xml:space="preserve">sub </w:t>
            </w:r>
            <w:r w:rsidRPr="003A2A4B">
              <w:rPr>
                <w:rFonts w:cstheme="minorHAnsi"/>
                <w:sz w:val="22"/>
                <w:szCs w:val="22"/>
              </w:rPr>
              <w:t>category)</w:t>
            </w:r>
          </w:p>
          <w:p w14:paraId="225CCD43" w14:textId="77777777" w:rsidR="00C751E3" w:rsidRPr="003A2A4B" w:rsidRDefault="00C751E3" w:rsidP="00C751E3">
            <w:pPr>
              <w:pStyle w:val="tabletext"/>
              <w:numPr>
                <w:ilvl w:val="0"/>
                <w:numId w:val="6"/>
              </w:numPr>
              <w:ind w:left="351" w:hanging="351"/>
              <w:rPr>
                <w:rFonts w:cstheme="minorHAnsi"/>
                <w:sz w:val="22"/>
                <w:szCs w:val="22"/>
              </w:rPr>
            </w:pPr>
            <w:r w:rsidRPr="003A2A4B">
              <w:rPr>
                <w:rFonts w:cstheme="minorHAnsi"/>
                <w:sz w:val="22"/>
                <w:szCs w:val="22"/>
              </w:rPr>
              <w:t>motorcycle licence (test and licence fee only. Driving lessons for Class R licence must be claimed under the ‘</w:t>
            </w:r>
            <w:r>
              <w:rPr>
                <w:rFonts w:cstheme="minorHAnsi"/>
                <w:sz w:val="22"/>
                <w:szCs w:val="22"/>
              </w:rPr>
              <w:t>D</w:t>
            </w:r>
            <w:r w:rsidRPr="003A2A4B">
              <w:rPr>
                <w:rFonts w:cstheme="minorHAnsi"/>
                <w:sz w:val="22"/>
                <w:szCs w:val="22"/>
              </w:rPr>
              <w:t xml:space="preserve">riving lessons’ </w:t>
            </w:r>
            <w:r>
              <w:rPr>
                <w:rFonts w:cstheme="minorHAnsi"/>
                <w:sz w:val="22"/>
                <w:szCs w:val="22"/>
              </w:rPr>
              <w:t xml:space="preserve">sub </w:t>
            </w:r>
            <w:r w:rsidRPr="003A2A4B">
              <w:rPr>
                <w:rFonts w:cstheme="minorHAnsi"/>
                <w:sz w:val="22"/>
                <w:szCs w:val="22"/>
              </w:rPr>
              <w:t>category)</w:t>
            </w:r>
          </w:p>
          <w:p w14:paraId="5D3B4670" w14:textId="77777777" w:rsidR="00C751E3" w:rsidRDefault="00C751E3" w:rsidP="00C751E3">
            <w:pPr>
              <w:pStyle w:val="tabletext"/>
              <w:spacing w:before="120"/>
              <w:rPr>
                <w:rFonts w:ascii="Calibri" w:hAnsi="Calibri" w:cs="Calibri"/>
                <w:sz w:val="22"/>
                <w:szCs w:val="22"/>
              </w:rPr>
            </w:pPr>
            <w:r>
              <w:rPr>
                <w:rFonts w:cstheme="minorHAnsi"/>
                <w:sz w:val="22"/>
                <w:szCs w:val="22"/>
              </w:rPr>
              <w:t>Providers may claim a</w:t>
            </w:r>
            <w:r w:rsidRPr="003A2A4B">
              <w:rPr>
                <w:rFonts w:cstheme="minorHAnsi"/>
                <w:sz w:val="22"/>
                <w:szCs w:val="22"/>
              </w:rPr>
              <w:t xml:space="preserve">ssistance given to a </w:t>
            </w:r>
            <w:r>
              <w:rPr>
                <w:rFonts w:cstheme="minorHAnsi"/>
                <w:sz w:val="22"/>
                <w:szCs w:val="22"/>
              </w:rPr>
              <w:t>Participant</w:t>
            </w:r>
            <w:r w:rsidRPr="003A2A4B">
              <w:rPr>
                <w:rFonts w:cstheme="minorHAnsi"/>
                <w:sz w:val="22"/>
                <w:szCs w:val="22"/>
              </w:rPr>
              <w:t xml:space="preserve"> to gain or re-gain their driver’s licence after loss due to driving offences. However, assistance is limited to one claim per </w:t>
            </w:r>
            <w:r>
              <w:rPr>
                <w:rFonts w:cstheme="minorHAnsi"/>
                <w:sz w:val="22"/>
                <w:szCs w:val="22"/>
              </w:rPr>
              <w:t>Participant</w:t>
            </w:r>
            <w:r w:rsidRPr="003A2A4B">
              <w:rPr>
                <w:rFonts w:cstheme="minorHAnsi"/>
                <w:sz w:val="22"/>
                <w:szCs w:val="22"/>
              </w:rPr>
              <w:t xml:space="preserve">, per Period of Unemployment. </w:t>
            </w:r>
          </w:p>
        </w:tc>
        <w:tc>
          <w:tcPr>
            <w:tcW w:w="6247" w:type="dxa"/>
            <w:vMerge/>
          </w:tcPr>
          <w:p w14:paraId="460A16A2" w14:textId="77777777" w:rsidR="00C751E3" w:rsidRPr="00A37677" w:rsidRDefault="00C751E3" w:rsidP="00C751E3">
            <w:pPr>
              <w:pStyle w:val="tabletext"/>
              <w:rPr>
                <w:rFonts w:cstheme="minorHAnsi"/>
                <w:sz w:val="22"/>
                <w:szCs w:val="22"/>
              </w:rPr>
            </w:pPr>
          </w:p>
        </w:tc>
      </w:tr>
      <w:tr w:rsidR="00C751E3" w:rsidRPr="00662F9A" w14:paraId="1AF73495" w14:textId="77777777" w:rsidTr="00105E62">
        <w:tc>
          <w:tcPr>
            <w:tcW w:w="2019" w:type="dxa"/>
            <w:vMerge/>
          </w:tcPr>
          <w:p w14:paraId="551457E5" w14:textId="77777777" w:rsidR="00C751E3" w:rsidRPr="003E3BBC" w:rsidRDefault="00C751E3" w:rsidP="00C751E3">
            <w:pPr>
              <w:pStyle w:val="tabletext"/>
              <w:rPr>
                <w:rFonts w:cstheme="minorHAnsi"/>
                <w:b/>
                <w:sz w:val="22"/>
                <w:szCs w:val="22"/>
              </w:rPr>
            </w:pPr>
          </w:p>
        </w:tc>
        <w:tc>
          <w:tcPr>
            <w:tcW w:w="2835" w:type="dxa"/>
            <w:tcBorders>
              <w:top w:val="nil"/>
            </w:tcBorders>
          </w:tcPr>
          <w:p w14:paraId="087CC3B6" w14:textId="77777777" w:rsidR="00C751E3" w:rsidRPr="00D1112C" w:rsidRDefault="00C751E3" w:rsidP="00C751E3">
            <w:pPr>
              <w:pStyle w:val="tabletext"/>
              <w:spacing w:before="120"/>
              <w:rPr>
                <w:rFonts w:ascii="Calibri" w:hAnsi="Calibri" w:cs="Calibri"/>
                <w:sz w:val="22"/>
                <w:szCs w:val="22"/>
              </w:rPr>
            </w:pPr>
            <w:r>
              <w:rPr>
                <w:rFonts w:ascii="Calibri" w:hAnsi="Calibri" w:cs="Calibri"/>
                <w:sz w:val="22"/>
                <w:szCs w:val="22"/>
              </w:rPr>
              <w:t>Other transport</w:t>
            </w:r>
          </w:p>
        </w:tc>
        <w:tc>
          <w:tcPr>
            <w:tcW w:w="10136" w:type="dxa"/>
            <w:tcBorders>
              <w:top w:val="nil"/>
            </w:tcBorders>
          </w:tcPr>
          <w:p w14:paraId="356CD697" w14:textId="77777777" w:rsidR="00C751E3" w:rsidRPr="00AB1034" w:rsidRDefault="00C751E3" w:rsidP="00C751E3">
            <w:pPr>
              <w:pStyle w:val="tabletext"/>
              <w:spacing w:before="120"/>
              <w:rPr>
                <w:rFonts w:cstheme="minorHAnsi"/>
                <w:sz w:val="22"/>
                <w:szCs w:val="22"/>
              </w:rPr>
            </w:pPr>
            <w:r>
              <w:rPr>
                <w:rFonts w:cstheme="minorHAnsi"/>
                <w:sz w:val="22"/>
                <w:szCs w:val="22"/>
              </w:rPr>
              <w:t>Providers may use this sub</w:t>
            </w:r>
            <w:r w:rsidRPr="00AB1034">
              <w:rPr>
                <w:rFonts w:cstheme="minorHAnsi"/>
                <w:sz w:val="22"/>
                <w:szCs w:val="22"/>
              </w:rPr>
              <w:t xml:space="preserve"> category </w:t>
            </w:r>
            <w:r>
              <w:rPr>
                <w:rFonts w:cstheme="minorHAnsi"/>
                <w:sz w:val="22"/>
                <w:szCs w:val="22"/>
              </w:rPr>
              <w:t>f</w:t>
            </w:r>
            <w:r w:rsidRPr="00AB1034">
              <w:rPr>
                <w:rFonts w:cstheme="minorHAnsi"/>
                <w:sz w:val="22"/>
                <w:szCs w:val="22"/>
              </w:rPr>
              <w:t xml:space="preserve">or public and private transport and travel assistance, including </w:t>
            </w:r>
            <w:r>
              <w:rPr>
                <w:rFonts w:cstheme="minorHAnsi"/>
                <w:sz w:val="22"/>
                <w:szCs w:val="22"/>
              </w:rPr>
              <w:t xml:space="preserve">petrol and </w:t>
            </w:r>
            <w:r w:rsidRPr="00AB1034">
              <w:rPr>
                <w:rFonts w:cstheme="minorHAnsi"/>
                <w:sz w:val="22"/>
                <w:szCs w:val="22"/>
              </w:rPr>
              <w:t xml:space="preserve">accommodation, for </w:t>
            </w:r>
            <w:r>
              <w:rPr>
                <w:rFonts w:cstheme="minorHAnsi"/>
                <w:sz w:val="22"/>
                <w:szCs w:val="22"/>
              </w:rPr>
              <w:t>Participants</w:t>
            </w:r>
            <w:r w:rsidRPr="00AB1034">
              <w:rPr>
                <w:rFonts w:cstheme="minorHAnsi"/>
                <w:sz w:val="22"/>
                <w:szCs w:val="22"/>
              </w:rPr>
              <w:t xml:space="preserve"> to attend job search related activities, medical appointments and health interventions, training, Internships, participate in programs or Employment. </w:t>
            </w:r>
          </w:p>
          <w:p w14:paraId="2B711E8C" w14:textId="77777777" w:rsidR="00C751E3" w:rsidRPr="00AB1034" w:rsidRDefault="00C751E3" w:rsidP="00C751E3">
            <w:pPr>
              <w:pStyle w:val="tabletext"/>
              <w:spacing w:before="120"/>
              <w:rPr>
                <w:rFonts w:cstheme="minorHAnsi"/>
                <w:sz w:val="22"/>
                <w:szCs w:val="22"/>
              </w:rPr>
            </w:pPr>
            <w:r>
              <w:rPr>
                <w:rFonts w:cstheme="minorHAnsi"/>
                <w:sz w:val="22"/>
                <w:szCs w:val="22"/>
              </w:rPr>
              <w:lastRenderedPageBreak/>
              <w:t>Providers may use this sub category for c</w:t>
            </w:r>
            <w:r w:rsidRPr="00AB1034">
              <w:rPr>
                <w:rFonts w:cstheme="minorHAnsi"/>
                <w:sz w:val="22"/>
                <w:szCs w:val="22"/>
              </w:rPr>
              <w:t>osts associated with hiring a bus</w:t>
            </w:r>
            <w:r>
              <w:rPr>
                <w:rFonts w:cstheme="minorHAnsi"/>
                <w:sz w:val="22"/>
                <w:szCs w:val="22"/>
              </w:rPr>
              <w:t xml:space="preserve"> or other vehicle</w:t>
            </w:r>
            <w:r w:rsidRPr="00AB1034">
              <w:rPr>
                <w:rFonts w:cstheme="minorHAnsi"/>
                <w:sz w:val="22"/>
                <w:szCs w:val="22"/>
              </w:rPr>
              <w:t xml:space="preserve"> to tran</w:t>
            </w:r>
            <w:r>
              <w:rPr>
                <w:rFonts w:cstheme="minorHAnsi"/>
                <w:sz w:val="22"/>
                <w:szCs w:val="22"/>
              </w:rPr>
              <w:t>sport multiple Participants to a program or</w:t>
            </w:r>
            <w:r w:rsidRPr="00AB1034">
              <w:rPr>
                <w:rFonts w:cstheme="minorHAnsi"/>
                <w:sz w:val="22"/>
                <w:szCs w:val="22"/>
              </w:rPr>
              <w:t xml:space="preserve"> activity (including Activities but excluding Work for the </w:t>
            </w:r>
            <w:r>
              <w:rPr>
                <w:rFonts w:cstheme="minorHAnsi"/>
                <w:sz w:val="22"/>
                <w:szCs w:val="22"/>
              </w:rPr>
              <w:t>Dole Activities), E</w:t>
            </w:r>
            <w:r w:rsidRPr="00AB1034">
              <w:rPr>
                <w:rFonts w:cstheme="minorHAnsi"/>
                <w:sz w:val="22"/>
                <w:szCs w:val="22"/>
              </w:rPr>
              <w:t>mployment, or employm</w:t>
            </w:r>
            <w:r>
              <w:rPr>
                <w:rFonts w:cstheme="minorHAnsi"/>
                <w:sz w:val="22"/>
                <w:szCs w:val="22"/>
              </w:rPr>
              <w:t>ent-related activity such as a j</w:t>
            </w:r>
            <w:r w:rsidRPr="00AB1034">
              <w:rPr>
                <w:rFonts w:cstheme="minorHAnsi"/>
                <w:sz w:val="22"/>
                <w:szCs w:val="22"/>
              </w:rPr>
              <w:t xml:space="preserve">ob </w:t>
            </w:r>
            <w:r>
              <w:rPr>
                <w:rFonts w:cstheme="minorHAnsi"/>
                <w:sz w:val="22"/>
                <w:szCs w:val="22"/>
              </w:rPr>
              <w:t>f</w:t>
            </w:r>
            <w:r w:rsidRPr="00AB1034">
              <w:rPr>
                <w:rFonts w:cstheme="minorHAnsi"/>
                <w:sz w:val="22"/>
                <w:szCs w:val="22"/>
              </w:rPr>
              <w:t xml:space="preserve">air or interview. This does not include driving time or overhead costs (as per the </w:t>
            </w:r>
            <w:hyperlink w:anchor="_Determining_what_is" w:history="1">
              <w:r w:rsidRPr="00AB1034">
                <w:rPr>
                  <w:rStyle w:val="Hyperlink"/>
                  <w:rFonts w:cstheme="minorHAnsi"/>
                  <w:sz w:val="22"/>
                  <w:szCs w:val="22"/>
                </w:rPr>
                <w:t>Determining what is a Prohibited Purchase</w:t>
              </w:r>
            </w:hyperlink>
            <w:r w:rsidRPr="00AB1034">
              <w:rPr>
                <w:rFonts w:cstheme="minorHAnsi"/>
                <w:sz w:val="22"/>
                <w:szCs w:val="22"/>
              </w:rPr>
              <w:t xml:space="preserve"> section). </w:t>
            </w:r>
            <w:r>
              <w:rPr>
                <w:rFonts w:cstheme="minorHAnsi"/>
                <w:sz w:val="22"/>
                <w:szCs w:val="22"/>
              </w:rPr>
              <w:t>To claim Reimbursement for bus-</w:t>
            </w:r>
            <w:r w:rsidRPr="00AB1034">
              <w:rPr>
                <w:rFonts w:cstheme="minorHAnsi"/>
                <w:sz w:val="22"/>
                <w:szCs w:val="22"/>
              </w:rPr>
              <w:t xml:space="preserve">hire costs, the Provider must only hire a bus from a Related Entity, community </w:t>
            </w:r>
            <w:r>
              <w:rPr>
                <w:rFonts w:cstheme="minorHAnsi"/>
                <w:sz w:val="22"/>
                <w:szCs w:val="22"/>
              </w:rPr>
              <w:t>sector organisation</w:t>
            </w:r>
            <w:r w:rsidRPr="00AB1034">
              <w:rPr>
                <w:rFonts w:cstheme="minorHAnsi"/>
                <w:sz w:val="22"/>
                <w:szCs w:val="22"/>
              </w:rPr>
              <w:t xml:space="preserve"> or external </w:t>
            </w:r>
            <w:r>
              <w:rPr>
                <w:rFonts w:cstheme="minorHAnsi"/>
                <w:sz w:val="22"/>
                <w:szCs w:val="22"/>
              </w:rPr>
              <w:t>organisation</w:t>
            </w:r>
            <w:r w:rsidRPr="00AB1034">
              <w:rPr>
                <w:rFonts w:cstheme="minorHAnsi"/>
                <w:sz w:val="22"/>
                <w:szCs w:val="22"/>
              </w:rPr>
              <w:t xml:space="preserve"> (i.e. not from a Provider’s Own Organisation) and ensure the bus is registered. </w:t>
            </w:r>
          </w:p>
          <w:p w14:paraId="2DADA379" w14:textId="77777777" w:rsidR="00C751E3" w:rsidRPr="00AB1034" w:rsidRDefault="00C751E3" w:rsidP="00C751E3">
            <w:pPr>
              <w:pStyle w:val="tabletext"/>
              <w:spacing w:before="120"/>
              <w:rPr>
                <w:rFonts w:cstheme="minorHAnsi"/>
                <w:sz w:val="22"/>
                <w:szCs w:val="22"/>
              </w:rPr>
            </w:pPr>
            <w:r w:rsidRPr="00AB1034">
              <w:rPr>
                <w:rFonts w:cstheme="minorHAnsi"/>
                <w:sz w:val="22"/>
                <w:szCs w:val="22"/>
              </w:rPr>
              <w:t>Examples include:</w:t>
            </w:r>
          </w:p>
          <w:p w14:paraId="79651EC9" w14:textId="77777777" w:rsidR="00C751E3" w:rsidRPr="00AB1034" w:rsidRDefault="00C751E3" w:rsidP="00C751E3">
            <w:pPr>
              <w:pStyle w:val="tabletext"/>
              <w:numPr>
                <w:ilvl w:val="0"/>
                <w:numId w:val="6"/>
              </w:numPr>
              <w:ind w:left="351" w:hanging="351"/>
              <w:rPr>
                <w:rFonts w:cstheme="minorHAnsi"/>
                <w:sz w:val="22"/>
                <w:szCs w:val="22"/>
              </w:rPr>
            </w:pPr>
            <w:r w:rsidRPr="00AB1034">
              <w:rPr>
                <w:rFonts w:cstheme="minorHAnsi"/>
                <w:sz w:val="22"/>
                <w:szCs w:val="22"/>
              </w:rPr>
              <w:t>public transport cards, including top-ups</w:t>
            </w:r>
          </w:p>
          <w:p w14:paraId="375B1050" w14:textId="77777777" w:rsidR="00C751E3" w:rsidRDefault="00C751E3" w:rsidP="00C751E3">
            <w:pPr>
              <w:pStyle w:val="tabletext"/>
              <w:numPr>
                <w:ilvl w:val="0"/>
                <w:numId w:val="6"/>
              </w:numPr>
              <w:rPr>
                <w:rFonts w:cstheme="minorHAnsi"/>
                <w:sz w:val="22"/>
                <w:szCs w:val="22"/>
              </w:rPr>
            </w:pPr>
            <w:r w:rsidRPr="0024149D">
              <w:rPr>
                <w:rFonts w:cstheme="minorHAnsi"/>
                <w:sz w:val="22"/>
                <w:szCs w:val="22"/>
              </w:rPr>
              <w:t>purchase of petrol cards or vouchers and the Reimbursement of petrol purchases</w:t>
            </w:r>
          </w:p>
          <w:p w14:paraId="3B8D9A50" w14:textId="77777777" w:rsidR="00C751E3" w:rsidRDefault="00C751E3" w:rsidP="00C751E3">
            <w:pPr>
              <w:pStyle w:val="tabletext"/>
              <w:numPr>
                <w:ilvl w:val="0"/>
                <w:numId w:val="6"/>
              </w:numPr>
              <w:ind w:left="351" w:hanging="351"/>
              <w:rPr>
                <w:rFonts w:cstheme="minorHAnsi"/>
                <w:sz w:val="22"/>
                <w:szCs w:val="22"/>
              </w:rPr>
            </w:pPr>
            <w:r>
              <w:rPr>
                <w:rFonts w:cstheme="minorHAnsi"/>
                <w:sz w:val="22"/>
                <w:szCs w:val="22"/>
              </w:rPr>
              <w:t>vehicles including cars or bicycles</w:t>
            </w:r>
          </w:p>
          <w:p w14:paraId="4265D351" w14:textId="77777777" w:rsidR="00C751E3" w:rsidRPr="00AB1034" w:rsidRDefault="00C751E3" w:rsidP="00C751E3">
            <w:pPr>
              <w:pStyle w:val="tabletext"/>
              <w:numPr>
                <w:ilvl w:val="0"/>
                <w:numId w:val="6"/>
              </w:numPr>
              <w:ind w:left="351" w:hanging="351"/>
              <w:rPr>
                <w:rFonts w:cstheme="minorHAnsi"/>
                <w:sz w:val="22"/>
                <w:szCs w:val="22"/>
              </w:rPr>
            </w:pPr>
            <w:r w:rsidRPr="00AB1034">
              <w:rPr>
                <w:rFonts w:cstheme="minorHAnsi"/>
                <w:sz w:val="22"/>
                <w:szCs w:val="22"/>
              </w:rPr>
              <w:t>vehicle registrations (new and renewal) and inspections</w:t>
            </w:r>
          </w:p>
          <w:p w14:paraId="5768A59D" w14:textId="77777777" w:rsidR="00C751E3" w:rsidRPr="00AB1034" w:rsidRDefault="00C751E3" w:rsidP="00C751E3">
            <w:pPr>
              <w:pStyle w:val="tabletext"/>
              <w:numPr>
                <w:ilvl w:val="0"/>
                <w:numId w:val="6"/>
              </w:numPr>
              <w:ind w:left="351" w:hanging="351"/>
              <w:rPr>
                <w:rFonts w:cstheme="minorHAnsi"/>
                <w:sz w:val="22"/>
                <w:szCs w:val="22"/>
              </w:rPr>
            </w:pPr>
            <w:r w:rsidRPr="00AB1034">
              <w:rPr>
                <w:rFonts w:cstheme="minorHAnsi"/>
                <w:sz w:val="22"/>
                <w:szCs w:val="22"/>
              </w:rPr>
              <w:t>compulsory third-party vehicle insurance</w:t>
            </w:r>
          </w:p>
          <w:p w14:paraId="64A6540C" w14:textId="77777777" w:rsidR="00C751E3" w:rsidRPr="00D1112C" w:rsidRDefault="00C751E3" w:rsidP="00C751E3">
            <w:pPr>
              <w:pStyle w:val="tabletext"/>
              <w:numPr>
                <w:ilvl w:val="0"/>
                <w:numId w:val="6"/>
              </w:numPr>
              <w:ind w:left="351" w:hanging="351"/>
              <w:rPr>
                <w:rFonts w:ascii="Calibri" w:hAnsi="Calibri" w:cs="Calibri"/>
                <w:sz w:val="22"/>
                <w:szCs w:val="22"/>
              </w:rPr>
            </w:pPr>
            <w:r w:rsidRPr="00AB1034">
              <w:rPr>
                <w:rFonts w:cstheme="minorHAnsi"/>
                <w:sz w:val="22"/>
                <w:szCs w:val="22"/>
              </w:rPr>
              <w:t xml:space="preserve">ticket and over-night accommodation for a </w:t>
            </w:r>
            <w:r>
              <w:rPr>
                <w:rFonts w:cstheme="minorHAnsi"/>
                <w:sz w:val="22"/>
                <w:szCs w:val="22"/>
              </w:rPr>
              <w:t>Participant</w:t>
            </w:r>
            <w:r w:rsidRPr="00AB1034">
              <w:rPr>
                <w:rFonts w:cstheme="minorHAnsi"/>
                <w:sz w:val="22"/>
                <w:szCs w:val="22"/>
              </w:rPr>
              <w:t xml:space="preserve"> to attend a job interview in another city.</w:t>
            </w:r>
          </w:p>
        </w:tc>
        <w:tc>
          <w:tcPr>
            <w:tcW w:w="6247" w:type="dxa"/>
            <w:vMerge/>
          </w:tcPr>
          <w:p w14:paraId="5BF32C4C" w14:textId="77777777" w:rsidR="00C751E3" w:rsidRPr="00A37677" w:rsidRDefault="00C751E3" w:rsidP="00C751E3">
            <w:pPr>
              <w:pStyle w:val="tabletext"/>
              <w:rPr>
                <w:rFonts w:cstheme="minorHAnsi"/>
                <w:sz w:val="22"/>
                <w:szCs w:val="22"/>
              </w:rPr>
            </w:pPr>
          </w:p>
        </w:tc>
      </w:tr>
      <w:tr w:rsidR="00C751E3" w:rsidRPr="00662F9A" w14:paraId="0DCFCD61" w14:textId="77777777" w:rsidTr="00EC0EB2">
        <w:tc>
          <w:tcPr>
            <w:tcW w:w="2019" w:type="dxa"/>
            <w:tcBorders>
              <w:bottom w:val="nil"/>
            </w:tcBorders>
          </w:tcPr>
          <w:p w14:paraId="18A8EADC" w14:textId="77777777" w:rsidR="00C751E3" w:rsidRDefault="00C751E3" w:rsidP="00C751E3">
            <w:pPr>
              <w:pStyle w:val="tabletext"/>
              <w:rPr>
                <w:rFonts w:cstheme="minorHAnsi"/>
                <w:b/>
                <w:sz w:val="22"/>
                <w:szCs w:val="22"/>
              </w:rPr>
            </w:pPr>
            <w:r w:rsidRPr="0050753E">
              <w:rPr>
                <w:rFonts w:cstheme="minorHAnsi"/>
                <w:b/>
                <w:sz w:val="22"/>
                <w:szCs w:val="22"/>
              </w:rPr>
              <w:t xml:space="preserve">Vocational </w:t>
            </w:r>
            <w:r>
              <w:rPr>
                <w:rFonts w:cstheme="minorHAnsi"/>
                <w:b/>
                <w:sz w:val="22"/>
                <w:szCs w:val="22"/>
              </w:rPr>
              <w:t>Tickets, Cards and Licences</w:t>
            </w:r>
          </w:p>
        </w:tc>
        <w:tc>
          <w:tcPr>
            <w:tcW w:w="2835" w:type="dxa"/>
            <w:tcBorders>
              <w:bottom w:val="nil"/>
            </w:tcBorders>
          </w:tcPr>
          <w:p w14:paraId="2346AC47" w14:textId="77777777" w:rsidR="00C751E3" w:rsidRDefault="00C751E3" w:rsidP="00C751E3">
            <w:pPr>
              <w:pStyle w:val="tabletext"/>
              <w:rPr>
                <w:rFonts w:cstheme="minorHAnsi"/>
                <w:sz w:val="22"/>
                <w:szCs w:val="22"/>
              </w:rPr>
            </w:pPr>
          </w:p>
        </w:tc>
        <w:tc>
          <w:tcPr>
            <w:tcW w:w="10136" w:type="dxa"/>
            <w:tcBorders>
              <w:bottom w:val="nil"/>
            </w:tcBorders>
          </w:tcPr>
          <w:p w14:paraId="694BD5AA" w14:textId="77777777" w:rsidR="00C751E3" w:rsidRPr="00662F9A" w:rsidRDefault="00C751E3" w:rsidP="00C751E3">
            <w:pPr>
              <w:pStyle w:val="tabletext"/>
              <w:rPr>
                <w:rFonts w:cstheme="minorHAnsi"/>
                <w:sz w:val="22"/>
                <w:szCs w:val="22"/>
              </w:rPr>
            </w:pPr>
            <w:r>
              <w:rPr>
                <w:rFonts w:cstheme="minorHAnsi"/>
                <w:sz w:val="22"/>
                <w:szCs w:val="22"/>
              </w:rPr>
              <w:t>Providers may use t</w:t>
            </w:r>
            <w:r w:rsidRPr="00662F9A">
              <w:rPr>
                <w:rFonts w:cstheme="minorHAnsi"/>
                <w:sz w:val="22"/>
                <w:szCs w:val="22"/>
              </w:rPr>
              <w:t xml:space="preserve">his category for the cost of a licence and the associated test </w:t>
            </w:r>
            <w:r w:rsidRPr="00EB6E07">
              <w:rPr>
                <w:rFonts w:cstheme="minorHAnsi"/>
                <w:sz w:val="22"/>
                <w:szCs w:val="22"/>
              </w:rPr>
              <w:t xml:space="preserve">fees. </w:t>
            </w:r>
            <w:r>
              <w:rPr>
                <w:rFonts w:cstheme="minorHAnsi"/>
                <w:sz w:val="22"/>
                <w:szCs w:val="22"/>
              </w:rPr>
              <w:t>Providers may also claim t</w:t>
            </w:r>
            <w:r w:rsidRPr="00EB6E07">
              <w:rPr>
                <w:rFonts w:cstheme="minorHAnsi"/>
                <w:sz w:val="22"/>
                <w:szCs w:val="22"/>
              </w:rPr>
              <w:t xml:space="preserve">he </w:t>
            </w:r>
            <w:r>
              <w:rPr>
                <w:rFonts w:cstheme="minorHAnsi"/>
                <w:sz w:val="22"/>
                <w:szCs w:val="22"/>
              </w:rPr>
              <w:t xml:space="preserve">accredited </w:t>
            </w:r>
            <w:r w:rsidRPr="00EB6E07">
              <w:rPr>
                <w:rFonts w:cstheme="minorHAnsi"/>
                <w:sz w:val="22"/>
                <w:szCs w:val="22"/>
              </w:rPr>
              <w:t>training costs to obtain the licence under this category</w:t>
            </w:r>
            <w:r>
              <w:rPr>
                <w:rFonts w:cstheme="minorHAnsi"/>
                <w:sz w:val="22"/>
                <w:szCs w:val="22"/>
              </w:rPr>
              <w:t>,</w:t>
            </w:r>
            <w:r w:rsidRPr="00EB6E07">
              <w:rPr>
                <w:rFonts w:cstheme="minorHAnsi"/>
                <w:sz w:val="22"/>
                <w:szCs w:val="22"/>
              </w:rPr>
              <w:t xml:space="preserve"> if the</w:t>
            </w:r>
            <w:r>
              <w:rPr>
                <w:rFonts w:cstheme="minorHAnsi"/>
                <w:sz w:val="22"/>
                <w:szCs w:val="22"/>
              </w:rPr>
              <w:t xml:space="preserve"> accredited</w:t>
            </w:r>
            <w:r w:rsidRPr="00EB6E07">
              <w:rPr>
                <w:rFonts w:cstheme="minorHAnsi"/>
                <w:sz w:val="22"/>
                <w:szCs w:val="22"/>
              </w:rPr>
              <w:t xml:space="preserve"> training is a pre-requisite to applying for or obtaining the licence</w:t>
            </w:r>
            <w:r>
              <w:rPr>
                <w:rFonts w:cstheme="minorHAnsi"/>
                <w:sz w:val="22"/>
                <w:szCs w:val="22"/>
              </w:rPr>
              <w:t xml:space="preserve"> (noting these can often be packaged into the one price)</w:t>
            </w:r>
            <w:r w:rsidRPr="00EB6E07">
              <w:rPr>
                <w:rFonts w:cstheme="minorHAnsi"/>
                <w:sz w:val="22"/>
                <w:szCs w:val="22"/>
              </w:rPr>
              <w:t>.</w:t>
            </w:r>
            <w:r>
              <w:rPr>
                <w:rFonts w:cstheme="minorHAnsi"/>
                <w:sz w:val="22"/>
                <w:szCs w:val="22"/>
              </w:rPr>
              <w:t xml:space="preserve"> Providers can also use this category for non-accredited ‘refresher’ training for a current valid licence. </w:t>
            </w:r>
            <w:r w:rsidRPr="00662F9A">
              <w:rPr>
                <w:rFonts w:cstheme="minorHAnsi"/>
                <w:sz w:val="22"/>
                <w:szCs w:val="22"/>
              </w:rPr>
              <w:t>Examples include:</w:t>
            </w:r>
          </w:p>
          <w:p w14:paraId="1D50CB9A" w14:textId="77777777" w:rsidR="00C751E3" w:rsidRPr="00662F9A" w:rsidRDefault="00C751E3" w:rsidP="00C751E3">
            <w:pPr>
              <w:pStyle w:val="tabletext"/>
              <w:numPr>
                <w:ilvl w:val="0"/>
                <w:numId w:val="6"/>
              </w:numPr>
              <w:ind w:left="351" w:hanging="351"/>
              <w:rPr>
                <w:rFonts w:cstheme="minorHAnsi"/>
                <w:sz w:val="22"/>
                <w:szCs w:val="22"/>
              </w:rPr>
            </w:pPr>
            <w:r>
              <w:rPr>
                <w:rFonts w:cstheme="minorHAnsi"/>
                <w:sz w:val="22"/>
                <w:szCs w:val="22"/>
              </w:rPr>
              <w:t>security l</w:t>
            </w:r>
            <w:r w:rsidRPr="00662F9A">
              <w:rPr>
                <w:rFonts w:cstheme="minorHAnsi"/>
                <w:sz w:val="22"/>
                <w:szCs w:val="22"/>
              </w:rPr>
              <w:t>icence</w:t>
            </w:r>
          </w:p>
          <w:p w14:paraId="3F9F9B8D" w14:textId="77777777" w:rsidR="00C751E3" w:rsidRPr="00662F9A" w:rsidRDefault="00C751E3" w:rsidP="00C751E3">
            <w:pPr>
              <w:pStyle w:val="tabletext"/>
              <w:numPr>
                <w:ilvl w:val="0"/>
                <w:numId w:val="6"/>
              </w:numPr>
              <w:ind w:left="351" w:hanging="351"/>
              <w:rPr>
                <w:rFonts w:cstheme="minorHAnsi"/>
                <w:sz w:val="22"/>
                <w:szCs w:val="22"/>
              </w:rPr>
            </w:pPr>
            <w:r>
              <w:rPr>
                <w:rFonts w:cstheme="minorHAnsi"/>
                <w:sz w:val="22"/>
                <w:szCs w:val="22"/>
              </w:rPr>
              <w:t>forklift l</w:t>
            </w:r>
            <w:r w:rsidRPr="00662F9A">
              <w:rPr>
                <w:rFonts w:cstheme="minorHAnsi"/>
                <w:sz w:val="22"/>
                <w:szCs w:val="22"/>
              </w:rPr>
              <w:t>icence</w:t>
            </w:r>
          </w:p>
          <w:p w14:paraId="691F4A6F" w14:textId="77777777" w:rsidR="00C751E3" w:rsidRPr="00662F9A" w:rsidRDefault="00C751E3" w:rsidP="00C751E3">
            <w:pPr>
              <w:pStyle w:val="tabletext"/>
              <w:numPr>
                <w:ilvl w:val="0"/>
                <w:numId w:val="6"/>
              </w:numPr>
              <w:ind w:left="351" w:hanging="351"/>
              <w:rPr>
                <w:rFonts w:cstheme="minorHAnsi"/>
                <w:sz w:val="22"/>
                <w:szCs w:val="22"/>
              </w:rPr>
            </w:pPr>
            <w:r>
              <w:rPr>
                <w:rFonts w:cstheme="minorHAnsi"/>
                <w:sz w:val="22"/>
                <w:szCs w:val="22"/>
              </w:rPr>
              <w:t>light/medium/heavy rigid l</w:t>
            </w:r>
            <w:r w:rsidRPr="00662F9A">
              <w:rPr>
                <w:rFonts w:cstheme="minorHAnsi"/>
                <w:sz w:val="22"/>
                <w:szCs w:val="22"/>
              </w:rPr>
              <w:t>icence</w:t>
            </w:r>
            <w:r>
              <w:rPr>
                <w:rFonts w:cstheme="minorHAnsi"/>
                <w:sz w:val="22"/>
                <w:szCs w:val="22"/>
              </w:rPr>
              <w:t xml:space="preserve">, including ‘refresher’ training for a current licence </w:t>
            </w:r>
          </w:p>
          <w:p w14:paraId="707778D6" w14:textId="77777777" w:rsidR="00C751E3" w:rsidRPr="00662F9A" w:rsidRDefault="00C751E3" w:rsidP="00C751E3">
            <w:pPr>
              <w:pStyle w:val="tabletext"/>
              <w:numPr>
                <w:ilvl w:val="0"/>
                <w:numId w:val="6"/>
              </w:numPr>
              <w:ind w:left="351" w:hanging="351"/>
              <w:rPr>
                <w:rFonts w:cstheme="minorHAnsi"/>
                <w:sz w:val="22"/>
                <w:szCs w:val="22"/>
              </w:rPr>
            </w:pPr>
            <w:r>
              <w:rPr>
                <w:rFonts w:cstheme="minorHAnsi"/>
                <w:sz w:val="22"/>
                <w:szCs w:val="22"/>
              </w:rPr>
              <w:t>taxi l</w:t>
            </w:r>
            <w:r w:rsidRPr="00662F9A">
              <w:rPr>
                <w:rFonts w:cstheme="minorHAnsi"/>
                <w:sz w:val="22"/>
                <w:szCs w:val="22"/>
              </w:rPr>
              <w:t>icence</w:t>
            </w:r>
            <w:r>
              <w:rPr>
                <w:rFonts w:cstheme="minorHAnsi"/>
                <w:sz w:val="22"/>
                <w:szCs w:val="22"/>
              </w:rPr>
              <w:t>/driver accreditation/limousine licence</w:t>
            </w:r>
          </w:p>
          <w:p w14:paraId="326394E4" w14:textId="77777777" w:rsidR="00C751E3" w:rsidRPr="00662F9A" w:rsidRDefault="00C751E3" w:rsidP="00C751E3">
            <w:pPr>
              <w:pStyle w:val="tabletext"/>
              <w:numPr>
                <w:ilvl w:val="0"/>
                <w:numId w:val="6"/>
              </w:numPr>
              <w:ind w:left="351" w:hanging="351"/>
              <w:rPr>
                <w:rFonts w:cstheme="minorHAnsi"/>
                <w:sz w:val="22"/>
                <w:szCs w:val="22"/>
              </w:rPr>
            </w:pPr>
            <w:r>
              <w:rPr>
                <w:rFonts w:cstheme="minorHAnsi"/>
                <w:sz w:val="22"/>
                <w:szCs w:val="22"/>
              </w:rPr>
              <w:t>white c</w:t>
            </w:r>
            <w:r w:rsidRPr="00662F9A">
              <w:rPr>
                <w:rFonts w:cstheme="minorHAnsi"/>
                <w:sz w:val="22"/>
                <w:szCs w:val="22"/>
              </w:rPr>
              <w:t>ard (or State/Territory equivalent)</w:t>
            </w:r>
          </w:p>
          <w:p w14:paraId="3153BF14" w14:textId="77777777" w:rsidR="00C751E3" w:rsidRPr="00662F9A" w:rsidRDefault="00C751E3" w:rsidP="00C751E3">
            <w:pPr>
              <w:pStyle w:val="tabletext"/>
              <w:numPr>
                <w:ilvl w:val="0"/>
                <w:numId w:val="6"/>
              </w:numPr>
              <w:ind w:left="351" w:hanging="351"/>
              <w:rPr>
                <w:rFonts w:cstheme="minorHAnsi"/>
                <w:sz w:val="22"/>
                <w:szCs w:val="22"/>
              </w:rPr>
            </w:pPr>
            <w:r>
              <w:rPr>
                <w:rFonts w:cstheme="minorHAnsi"/>
                <w:sz w:val="22"/>
                <w:szCs w:val="22"/>
              </w:rPr>
              <w:t>working at heights c</w:t>
            </w:r>
            <w:r w:rsidRPr="00662F9A">
              <w:rPr>
                <w:rFonts w:cstheme="minorHAnsi"/>
                <w:sz w:val="22"/>
                <w:szCs w:val="22"/>
              </w:rPr>
              <w:t>ertificate</w:t>
            </w:r>
          </w:p>
          <w:p w14:paraId="74D62A58" w14:textId="77777777" w:rsidR="00C751E3" w:rsidRPr="00662F9A" w:rsidRDefault="00C751E3" w:rsidP="00C751E3">
            <w:pPr>
              <w:pStyle w:val="tabletext"/>
              <w:numPr>
                <w:ilvl w:val="0"/>
                <w:numId w:val="6"/>
              </w:numPr>
              <w:ind w:left="351" w:hanging="351"/>
              <w:rPr>
                <w:rFonts w:cstheme="minorHAnsi"/>
                <w:sz w:val="22"/>
                <w:szCs w:val="22"/>
              </w:rPr>
            </w:pPr>
            <w:r>
              <w:rPr>
                <w:rFonts w:cstheme="minorHAnsi"/>
                <w:sz w:val="22"/>
                <w:szCs w:val="22"/>
              </w:rPr>
              <w:t>first aid c</w:t>
            </w:r>
            <w:r w:rsidRPr="00662F9A">
              <w:rPr>
                <w:rFonts w:cstheme="minorHAnsi"/>
                <w:sz w:val="22"/>
                <w:szCs w:val="22"/>
              </w:rPr>
              <w:t>ertificate</w:t>
            </w:r>
          </w:p>
          <w:p w14:paraId="57236821" w14:textId="77777777" w:rsidR="00C751E3" w:rsidRPr="00662F9A" w:rsidRDefault="00C751E3" w:rsidP="00C751E3">
            <w:pPr>
              <w:pStyle w:val="tabletext"/>
              <w:numPr>
                <w:ilvl w:val="0"/>
                <w:numId w:val="6"/>
              </w:numPr>
              <w:ind w:left="351" w:hanging="351"/>
              <w:rPr>
                <w:rFonts w:cstheme="minorHAnsi"/>
                <w:sz w:val="22"/>
                <w:szCs w:val="22"/>
              </w:rPr>
            </w:pPr>
            <w:r>
              <w:rPr>
                <w:rFonts w:cstheme="minorHAnsi"/>
                <w:sz w:val="22"/>
                <w:szCs w:val="22"/>
              </w:rPr>
              <w:t>responsible s</w:t>
            </w:r>
            <w:r w:rsidRPr="00662F9A">
              <w:rPr>
                <w:rFonts w:cstheme="minorHAnsi"/>
                <w:sz w:val="22"/>
                <w:szCs w:val="22"/>
              </w:rPr>
              <w:t xml:space="preserve">ervice of </w:t>
            </w:r>
            <w:r>
              <w:rPr>
                <w:rFonts w:cstheme="minorHAnsi"/>
                <w:sz w:val="22"/>
                <w:szCs w:val="22"/>
              </w:rPr>
              <w:t>alcohol c</w:t>
            </w:r>
            <w:r w:rsidRPr="00662F9A">
              <w:rPr>
                <w:rFonts w:cstheme="minorHAnsi"/>
                <w:sz w:val="22"/>
                <w:szCs w:val="22"/>
              </w:rPr>
              <w:t xml:space="preserve">ertificate </w:t>
            </w:r>
          </w:p>
          <w:p w14:paraId="045EA511" w14:textId="77777777" w:rsidR="00C751E3" w:rsidRDefault="00C751E3" w:rsidP="00C751E3">
            <w:pPr>
              <w:pStyle w:val="tabletext"/>
              <w:numPr>
                <w:ilvl w:val="0"/>
                <w:numId w:val="6"/>
              </w:numPr>
              <w:ind w:left="351" w:hanging="351"/>
              <w:rPr>
                <w:rFonts w:cstheme="minorHAnsi"/>
                <w:sz w:val="22"/>
                <w:szCs w:val="22"/>
              </w:rPr>
            </w:pPr>
            <w:r>
              <w:rPr>
                <w:rFonts w:cstheme="minorHAnsi"/>
                <w:sz w:val="22"/>
                <w:szCs w:val="22"/>
              </w:rPr>
              <w:t>responsible c</w:t>
            </w:r>
            <w:r w:rsidRPr="00662F9A">
              <w:rPr>
                <w:rFonts w:cstheme="minorHAnsi"/>
                <w:sz w:val="22"/>
                <w:szCs w:val="22"/>
              </w:rPr>
              <w:t xml:space="preserve">onduct of </w:t>
            </w:r>
            <w:r>
              <w:rPr>
                <w:rFonts w:cstheme="minorHAnsi"/>
                <w:sz w:val="22"/>
                <w:szCs w:val="22"/>
              </w:rPr>
              <w:t>gambling certificate.</w:t>
            </w:r>
          </w:p>
        </w:tc>
        <w:tc>
          <w:tcPr>
            <w:tcW w:w="6247" w:type="dxa"/>
          </w:tcPr>
          <w:p w14:paraId="3DEF1FF1" w14:textId="77777777" w:rsidR="00C751E3" w:rsidRPr="00A37677" w:rsidRDefault="00C751E3" w:rsidP="00C751E3">
            <w:pPr>
              <w:pStyle w:val="tabletext"/>
              <w:rPr>
                <w:rFonts w:cstheme="minorHAnsi"/>
                <w:sz w:val="22"/>
                <w:szCs w:val="22"/>
              </w:rPr>
            </w:pPr>
            <w:r w:rsidRPr="00A37677">
              <w:rPr>
                <w:rFonts w:cstheme="minorHAnsi"/>
                <w:sz w:val="22"/>
                <w:szCs w:val="22"/>
              </w:rPr>
              <w:t xml:space="preserve">Refer to </w:t>
            </w:r>
            <w:hyperlink w:anchor="_Summary_of_required" w:history="1">
              <w:r w:rsidRPr="002F45B8">
                <w:rPr>
                  <w:rStyle w:val="Hyperlink"/>
                  <w:sz w:val="22"/>
                  <w:szCs w:val="22"/>
                </w:rPr>
                <w:t>Summary of required Documentary Evidence</w:t>
              </w:r>
            </w:hyperlink>
            <w:r w:rsidRPr="00A37677">
              <w:rPr>
                <w:rFonts w:cstheme="minorHAnsi"/>
                <w:color w:val="2E74B5" w:themeColor="accent1" w:themeShade="BF"/>
                <w:sz w:val="22"/>
                <w:szCs w:val="22"/>
              </w:rPr>
              <w:t xml:space="preserve"> </w:t>
            </w:r>
            <w:r w:rsidRPr="00A37677">
              <w:rPr>
                <w:rFonts w:cstheme="minorHAnsi"/>
                <w:sz w:val="22"/>
                <w:szCs w:val="22"/>
              </w:rPr>
              <w:t xml:space="preserve">section for the Documentary Evidence requirements for all purchases. </w:t>
            </w:r>
          </w:p>
          <w:p w14:paraId="19A9452F" w14:textId="77777777" w:rsidR="00C751E3" w:rsidRPr="00A37677" w:rsidRDefault="00C751E3" w:rsidP="00D06AC7">
            <w:pPr>
              <w:pStyle w:val="tabletext"/>
              <w:spacing w:before="120"/>
              <w:rPr>
                <w:rFonts w:cstheme="minorHAnsi"/>
                <w:sz w:val="22"/>
                <w:szCs w:val="22"/>
              </w:rPr>
            </w:pPr>
            <w:r w:rsidRPr="00A37677">
              <w:rPr>
                <w:rFonts w:cstheme="minorHAnsi"/>
                <w:sz w:val="22"/>
                <w:szCs w:val="22"/>
              </w:rPr>
              <w:t>There are no additional Documentary Evidence requirements for this category.</w:t>
            </w:r>
          </w:p>
        </w:tc>
      </w:tr>
      <w:tr w:rsidR="00174F7A" w:rsidRPr="00662F9A" w14:paraId="6E6B1240" w14:textId="77777777" w:rsidTr="00EC0EB2">
        <w:tc>
          <w:tcPr>
            <w:tcW w:w="2019" w:type="dxa"/>
            <w:tcBorders>
              <w:bottom w:val="nil"/>
            </w:tcBorders>
          </w:tcPr>
          <w:p w14:paraId="7806C9A4" w14:textId="77777777" w:rsidR="00174F7A" w:rsidRDefault="00174F7A" w:rsidP="00C751E3">
            <w:pPr>
              <w:pStyle w:val="tabletext"/>
              <w:rPr>
                <w:rFonts w:cstheme="minorHAnsi"/>
                <w:b/>
                <w:sz w:val="22"/>
                <w:szCs w:val="22"/>
              </w:rPr>
            </w:pPr>
            <w:r>
              <w:rPr>
                <w:rFonts w:cstheme="minorHAnsi"/>
                <w:b/>
                <w:sz w:val="22"/>
                <w:szCs w:val="22"/>
              </w:rPr>
              <w:t>Wage Subsidies</w:t>
            </w:r>
          </w:p>
        </w:tc>
        <w:tc>
          <w:tcPr>
            <w:tcW w:w="2835" w:type="dxa"/>
            <w:tcBorders>
              <w:bottom w:val="nil"/>
            </w:tcBorders>
          </w:tcPr>
          <w:p w14:paraId="37729CC1" w14:textId="77777777" w:rsidR="00174F7A" w:rsidRDefault="00174F7A" w:rsidP="00C751E3">
            <w:pPr>
              <w:pStyle w:val="tabletext"/>
              <w:rPr>
                <w:rFonts w:cstheme="minorHAnsi"/>
                <w:sz w:val="22"/>
                <w:szCs w:val="22"/>
              </w:rPr>
            </w:pPr>
          </w:p>
        </w:tc>
        <w:tc>
          <w:tcPr>
            <w:tcW w:w="10136" w:type="dxa"/>
            <w:tcBorders>
              <w:bottom w:val="nil"/>
            </w:tcBorders>
          </w:tcPr>
          <w:p w14:paraId="42F45B79" w14:textId="77777777" w:rsidR="00174F7A" w:rsidRDefault="00CF2457" w:rsidP="00690AC9">
            <w:pPr>
              <w:pStyle w:val="tabletext"/>
              <w:rPr>
                <w:rFonts w:cstheme="minorHAnsi"/>
                <w:sz w:val="22"/>
                <w:szCs w:val="22"/>
              </w:rPr>
            </w:pPr>
            <w:r>
              <w:rPr>
                <w:rFonts w:cstheme="minorHAnsi"/>
                <w:sz w:val="22"/>
                <w:szCs w:val="22"/>
              </w:rPr>
              <w:t xml:space="preserve">Refer to the </w:t>
            </w:r>
            <w:hyperlink w:anchor="_Claiming_Reimbursements_for" w:history="1">
              <w:r w:rsidRPr="003E3FF2">
                <w:rPr>
                  <w:rStyle w:val="Hyperlink"/>
                  <w:rFonts w:cstheme="minorHAnsi"/>
                  <w:sz w:val="22"/>
                  <w:szCs w:val="22"/>
                </w:rPr>
                <w:t>Claiming Reimbursements for Wage Subsidies</w:t>
              </w:r>
            </w:hyperlink>
            <w:r>
              <w:rPr>
                <w:rFonts w:cstheme="minorHAnsi"/>
                <w:sz w:val="22"/>
                <w:szCs w:val="22"/>
              </w:rPr>
              <w:t xml:space="preserve"> section </w:t>
            </w:r>
            <w:r w:rsidRPr="005C1D7A">
              <w:rPr>
                <w:rFonts w:cstheme="minorHAnsi"/>
                <w:sz w:val="22"/>
                <w:szCs w:val="22"/>
              </w:rPr>
              <w:t>on how to reimburse wage subsidies from the Employment Fund.</w:t>
            </w:r>
          </w:p>
        </w:tc>
        <w:tc>
          <w:tcPr>
            <w:tcW w:w="6247" w:type="dxa"/>
          </w:tcPr>
          <w:p w14:paraId="3366161C" w14:textId="77777777" w:rsidR="00174F7A" w:rsidRPr="00A37677" w:rsidRDefault="00174F7A" w:rsidP="00C751E3">
            <w:pPr>
              <w:pStyle w:val="tabletext"/>
              <w:rPr>
                <w:rFonts w:cstheme="minorHAnsi"/>
                <w:sz w:val="22"/>
                <w:szCs w:val="22"/>
              </w:rPr>
            </w:pPr>
          </w:p>
        </w:tc>
      </w:tr>
      <w:tr w:rsidR="00077D4D" w:rsidRPr="00662F9A" w14:paraId="01344CCA" w14:textId="77777777" w:rsidTr="00F90CE7">
        <w:tc>
          <w:tcPr>
            <w:tcW w:w="2019" w:type="dxa"/>
            <w:vMerge w:val="restart"/>
          </w:tcPr>
          <w:p w14:paraId="1CA8188A" w14:textId="77777777" w:rsidR="00077D4D" w:rsidRPr="003E3BBC" w:rsidRDefault="00077D4D" w:rsidP="00C751E3">
            <w:pPr>
              <w:pStyle w:val="tabletext"/>
              <w:rPr>
                <w:rFonts w:cstheme="minorHAnsi"/>
                <w:b/>
                <w:sz w:val="22"/>
                <w:szCs w:val="22"/>
              </w:rPr>
            </w:pPr>
            <w:r>
              <w:rPr>
                <w:rFonts w:cstheme="minorHAnsi"/>
                <w:b/>
                <w:sz w:val="22"/>
                <w:szCs w:val="22"/>
              </w:rPr>
              <w:t>Work Experience</w:t>
            </w:r>
          </w:p>
        </w:tc>
        <w:tc>
          <w:tcPr>
            <w:tcW w:w="2835" w:type="dxa"/>
            <w:tcBorders>
              <w:bottom w:val="nil"/>
            </w:tcBorders>
          </w:tcPr>
          <w:p w14:paraId="77C22033" w14:textId="77777777" w:rsidR="00077D4D" w:rsidRPr="00B44B2C" w:rsidRDefault="00077D4D" w:rsidP="00C751E3">
            <w:pPr>
              <w:pStyle w:val="tabletext"/>
              <w:rPr>
                <w:rFonts w:ascii="Calibri" w:hAnsi="Calibri" w:cs="Calibri"/>
                <w:sz w:val="22"/>
                <w:szCs w:val="22"/>
              </w:rPr>
            </w:pPr>
            <w:r>
              <w:rPr>
                <w:rFonts w:cstheme="minorHAnsi"/>
                <w:sz w:val="22"/>
                <w:szCs w:val="22"/>
              </w:rPr>
              <w:t>Department approved n</w:t>
            </w:r>
            <w:r w:rsidRPr="00B44B2C">
              <w:rPr>
                <w:rFonts w:cstheme="minorHAnsi"/>
                <w:sz w:val="22"/>
                <w:szCs w:val="22"/>
              </w:rPr>
              <w:t>on-government program</w:t>
            </w:r>
          </w:p>
        </w:tc>
        <w:tc>
          <w:tcPr>
            <w:tcW w:w="10136" w:type="dxa"/>
            <w:tcBorders>
              <w:bottom w:val="nil"/>
            </w:tcBorders>
          </w:tcPr>
          <w:p w14:paraId="6D5A3BF6" w14:textId="7A2E7329" w:rsidR="00077D4D" w:rsidRPr="00662F9A" w:rsidRDefault="00077D4D" w:rsidP="00C751E3">
            <w:pPr>
              <w:pStyle w:val="tabletext"/>
              <w:rPr>
                <w:rFonts w:cstheme="minorHAnsi"/>
                <w:sz w:val="22"/>
                <w:szCs w:val="22"/>
              </w:rPr>
            </w:pPr>
            <w:r>
              <w:rPr>
                <w:rFonts w:cstheme="minorHAnsi"/>
                <w:sz w:val="22"/>
                <w:szCs w:val="22"/>
              </w:rPr>
              <w:t>Providers may use t</w:t>
            </w:r>
            <w:r w:rsidRPr="00662F9A">
              <w:rPr>
                <w:rFonts w:cstheme="minorHAnsi"/>
                <w:sz w:val="22"/>
                <w:szCs w:val="22"/>
              </w:rPr>
              <w:t xml:space="preserve">his </w:t>
            </w:r>
            <w:r>
              <w:rPr>
                <w:rFonts w:cstheme="minorHAnsi"/>
                <w:sz w:val="22"/>
                <w:szCs w:val="22"/>
              </w:rPr>
              <w:t xml:space="preserve">sub </w:t>
            </w:r>
            <w:r w:rsidRPr="00662F9A">
              <w:rPr>
                <w:rFonts w:cstheme="minorHAnsi"/>
                <w:sz w:val="22"/>
                <w:szCs w:val="22"/>
              </w:rPr>
              <w:t>category for costs related to delivery of a non-government program approved by the Department</w:t>
            </w:r>
            <w:r>
              <w:rPr>
                <w:rFonts w:cstheme="minorHAnsi"/>
                <w:sz w:val="22"/>
                <w:szCs w:val="22"/>
              </w:rPr>
              <w:t xml:space="preserve"> in accordance</w:t>
            </w:r>
            <w:r w:rsidRPr="00662F9A">
              <w:rPr>
                <w:rFonts w:cstheme="minorHAnsi"/>
                <w:sz w:val="22"/>
                <w:szCs w:val="22"/>
              </w:rPr>
              <w:t xml:space="preserve"> with the </w:t>
            </w:r>
            <w:hyperlink r:id="rId48" w:history="1">
              <w:r>
                <w:rPr>
                  <w:rStyle w:val="Hyperlink"/>
                  <w:sz w:val="22"/>
                  <w:szCs w:val="22"/>
                </w:rPr>
                <w:t>New Employment Services Trial Activity Management Guideline</w:t>
              </w:r>
            </w:hyperlink>
            <w:r w:rsidRPr="00662F9A">
              <w:rPr>
                <w:rFonts w:cstheme="minorHAnsi"/>
                <w:sz w:val="22"/>
                <w:szCs w:val="22"/>
              </w:rPr>
              <w:t>.</w:t>
            </w:r>
          </w:p>
          <w:p w14:paraId="39BB3AE3" w14:textId="77777777" w:rsidR="00077D4D" w:rsidRDefault="00077D4D" w:rsidP="00C751E3">
            <w:pPr>
              <w:pStyle w:val="tabletext"/>
              <w:spacing w:before="120"/>
              <w:rPr>
                <w:rFonts w:cstheme="minorHAnsi"/>
                <w:sz w:val="22"/>
                <w:szCs w:val="22"/>
              </w:rPr>
            </w:pPr>
            <w:r>
              <w:rPr>
                <w:rFonts w:cstheme="minorHAnsi"/>
                <w:sz w:val="22"/>
                <w:szCs w:val="22"/>
              </w:rPr>
              <w:t>T</w:t>
            </w:r>
            <w:r w:rsidRPr="00662F9A">
              <w:rPr>
                <w:rFonts w:cstheme="minorHAnsi"/>
                <w:sz w:val="22"/>
                <w:szCs w:val="22"/>
              </w:rPr>
              <w:t>he</w:t>
            </w:r>
            <w:r>
              <w:rPr>
                <w:rFonts w:cstheme="minorHAnsi"/>
                <w:sz w:val="22"/>
                <w:szCs w:val="22"/>
              </w:rPr>
              <w:t xml:space="preserve"> </w:t>
            </w:r>
            <w:hyperlink w:anchor="_Determining_what_is" w:history="1">
              <w:r w:rsidRPr="00627EE1">
                <w:rPr>
                  <w:rStyle w:val="Hyperlink"/>
                  <w:rFonts w:cstheme="minorHAnsi"/>
                  <w:sz w:val="22"/>
                  <w:szCs w:val="22"/>
                </w:rPr>
                <w:t>Determining what is a Prohibited Purchase</w:t>
              </w:r>
            </w:hyperlink>
            <w:r>
              <w:rPr>
                <w:rFonts w:cstheme="minorHAnsi"/>
                <w:sz w:val="22"/>
                <w:szCs w:val="22"/>
              </w:rPr>
              <w:t xml:space="preserve"> </w:t>
            </w:r>
            <w:r w:rsidRPr="00662F9A">
              <w:rPr>
                <w:rFonts w:cstheme="minorHAnsi"/>
                <w:sz w:val="22"/>
                <w:szCs w:val="22"/>
              </w:rPr>
              <w:t>section</w:t>
            </w:r>
            <w:r>
              <w:rPr>
                <w:rFonts w:cstheme="minorHAnsi"/>
                <w:sz w:val="22"/>
                <w:szCs w:val="22"/>
              </w:rPr>
              <w:t xml:space="preserve"> lists the exceptions to the use of this category.</w:t>
            </w:r>
          </w:p>
          <w:p w14:paraId="5ECEED4E" w14:textId="60637EB7" w:rsidR="00077D4D" w:rsidRPr="00D40A71" w:rsidRDefault="00077D4D" w:rsidP="00C751E3">
            <w:pPr>
              <w:pStyle w:val="tabletext"/>
              <w:spacing w:before="120"/>
              <w:rPr>
                <w:rFonts w:ascii="Calibri" w:hAnsi="Calibri" w:cs="Calibri"/>
                <w:sz w:val="22"/>
                <w:szCs w:val="22"/>
              </w:rPr>
            </w:pPr>
            <w:r w:rsidRPr="00662F9A">
              <w:rPr>
                <w:rFonts w:cstheme="minorHAnsi"/>
                <w:sz w:val="22"/>
                <w:szCs w:val="22"/>
              </w:rPr>
              <w:t xml:space="preserve">For information on </w:t>
            </w:r>
            <w:r>
              <w:rPr>
                <w:rFonts w:cstheme="minorHAnsi"/>
                <w:sz w:val="22"/>
                <w:szCs w:val="22"/>
              </w:rPr>
              <w:t>how and what to include in a non-government program application</w:t>
            </w:r>
            <w:r w:rsidRPr="00662F9A">
              <w:rPr>
                <w:rFonts w:cstheme="minorHAnsi"/>
                <w:sz w:val="22"/>
                <w:szCs w:val="22"/>
              </w:rPr>
              <w:t>, refer to the</w:t>
            </w:r>
            <w:r>
              <w:rPr>
                <w:rFonts w:cstheme="minorHAnsi"/>
                <w:sz w:val="22"/>
                <w:szCs w:val="22"/>
              </w:rPr>
              <w:t xml:space="preserve"> </w:t>
            </w:r>
            <w:hyperlink r:id="rId49" w:history="1">
              <w:r>
                <w:rPr>
                  <w:rStyle w:val="Hyperlink"/>
                  <w:rFonts w:cstheme="minorHAnsi"/>
                  <w:sz w:val="22"/>
                  <w:szCs w:val="22"/>
                </w:rPr>
                <w:t>Application Form</w:t>
              </w:r>
            </w:hyperlink>
            <w:r w:rsidRPr="00662F9A">
              <w:rPr>
                <w:rFonts w:cstheme="minorHAnsi"/>
                <w:sz w:val="22"/>
                <w:szCs w:val="22"/>
              </w:rPr>
              <w:t>.</w:t>
            </w:r>
            <w:r>
              <w:rPr>
                <w:rFonts w:cstheme="minorHAnsi"/>
                <w:sz w:val="22"/>
                <w:szCs w:val="22"/>
              </w:rPr>
              <w:t xml:space="preserve"> A </w:t>
            </w:r>
            <w:hyperlink r:id="rId50" w:history="1">
              <w:r w:rsidRPr="00605B08">
                <w:rPr>
                  <w:rStyle w:val="Hyperlink"/>
                  <w:rFonts w:cstheme="minorHAnsi"/>
                  <w:sz w:val="22"/>
                  <w:szCs w:val="22"/>
                </w:rPr>
                <w:t>list of Department approved non-government programs</w:t>
              </w:r>
            </w:hyperlink>
            <w:r>
              <w:rPr>
                <w:rFonts w:cstheme="minorHAnsi"/>
                <w:sz w:val="22"/>
                <w:szCs w:val="22"/>
              </w:rPr>
              <w:t xml:space="preserve"> is available on the Provider Portal.</w:t>
            </w:r>
          </w:p>
        </w:tc>
        <w:tc>
          <w:tcPr>
            <w:tcW w:w="6247" w:type="dxa"/>
            <w:vMerge w:val="restart"/>
          </w:tcPr>
          <w:p w14:paraId="4372B72E" w14:textId="77777777" w:rsidR="00077D4D" w:rsidRPr="00A37677" w:rsidRDefault="00077D4D" w:rsidP="00C751E3">
            <w:pPr>
              <w:pStyle w:val="tabletext"/>
              <w:rPr>
                <w:rFonts w:cstheme="minorHAnsi"/>
                <w:sz w:val="22"/>
                <w:szCs w:val="22"/>
              </w:rPr>
            </w:pPr>
            <w:r w:rsidRPr="00A37677">
              <w:rPr>
                <w:rFonts w:cstheme="minorHAnsi"/>
                <w:sz w:val="22"/>
                <w:szCs w:val="22"/>
              </w:rPr>
              <w:t xml:space="preserve">In addition to the Documentary Evidence requirements for all purchases detailed in the </w:t>
            </w:r>
            <w:hyperlink w:anchor="_Summary_of_required" w:history="1">
              <w:r w:rsidRPr="002F45B8">
                <w:rPr>
                  <w:rStyle w:val="Hyperlink"/>
                  <w:sz w:val="22"/>
                  <w:szCs w:val="22"/>
                </w:rPr>
                <w:t>Summary of required Documentary Evidence</w:t>
              </w:r>
            </w:hyperlink>
            <w:r w:rsidRPr="00A37677">
              <w:rPr>
                <w:rFonts w:cstheme="minorHAnsi"/>
                <w:color w:val="2E74B5" w:themeColor="accent1" w:themeShade="BF"/>
                <w:sz w:val="22"/>
                <w:szCs w:val="22"/>
              </w:rPr>
              <w:t xml:space="preserve"> </w:t>
            </w:r>
            <w:r w:rsidRPr="00A37677">
              <w:rPr>
                <w:rFonts w:cstheme="minorHAnsi"/>
                <w:sz w:val="22"/>
                <w:szCs w:val="22"/>
              </w:rPr>
              <w:t xml:space="preserve">section, </w:t>
            </w:r>
            <w:r>
              <w:rPr>
                <w:rFonts w:cstheme="minorHAnsi"/>
                <w:sz w:val="22"/>
                <w:szCs w:val="22"/>
              </w:rPr>
              <w:t>a Provider</w:t>
            </w:r>
            <w:r w:rsidRPr="00A37677">
              <w:rPr>
                <w:rFonts w:cstheme="minorHAnsi"/>
                <w:sz w:val="22"/>
                <w:szCs w:val="22"/>
              </w:rPr>
              <w:t xml:space="preserve"> must: </w:t>
            </w:r>
          </w:p>
          <w:p w14:paraId="22EA447E" w14:textId="77777777" w:rsidR="00077D4D" w:rsidRDefault="00077D4D" w:rsidP="00C751E3">
            <w:pPr>
              <w:pStyle w:val="tabletext"/>
              <w:numPr>
                <w:ilvl w:val="0"/>
                <w:numId w:val="6"/>
              </w:numPr>
              <w:rPr>
                <w:rFonts w:cstheme="minorHAnsi"/>
                <w:sz w:val="22"/>
                <w:szCs w:val="22"/>
              </w:rPr>
            </w:pPr>
            <w:r>
              <w:rPr>
                <w:rFonts w:cstheme="minorHAnsi"/>
                <w:sz w:val="22"/>
                <w:szCs w:val="22"/>
              </w:rPr>
              <w:t xml:space="preserve">for the </w:t>
            </w:r>
            <w:r w:rsidRPr="00110F5D">
              <w:rPr>
                <w:rFonts w:cstheme="minorHAnsi"/>
                <w:sz w:val="22"/>
                <w:szCs w:val="22"/>
              </w:rPr>
              <w:t>Department approved non-government programs</w:t>
            </w:r>
            <w:r>
              <w:rPr>
                <w:rFonts w:cstheme="minorHAnsi"/>
                <w:sz w:val="22"/>
                <w:szCs w:val="22"/>
              </w:rPr>
              <w:t xml:space="preserve"> sub category</w:t>
            </w:r>
          </w:p>
          <w:p w14:paraId="10525504" w14:textId="77777777" w:rsidR="00077D4D" w:rsidRPr="00A37677" w:rsidRDefault="00077D4D" w:rsidP="00C751E3">
            <w:pPr>
              <w:pStyle w:val="tabletext"/>
              <w:numPr>
                <w:ilvl w:val="1"/>
                <w:numId w:val="6"/>
              </w:numPr>
              <w:ind w:left="600" w:hanging="284"/>
              <w:rPr>
                <w:rFonts w:cstheme="minorHAnsi"/>
                <w:sz w:val="22"/>
                <w:szCs w:val="22"/>
              </w:rPr>
            </w:pPr>
            <w:r w:rsidRPr="00A37677">
              <w:rPr>
                <w:rFonts w:cstheme="minorHAnsi"/>
                <w:sz w:val="22"/>
                <w:szCs w:val="22"/>
              </w:rPr>
              <w:t xml:space="preserve">enter the </w:t>
            </w:r>
            <w:r w:rsidRPr="00E4538E">
              <w:rPr>
                <w:rFonts w:cstheme="minorHAnsi"/>
                <w:sz w:val="22"/>
                <w:szCs w:val="22"/>
              </w:rPr>
              <w:t>associated Activity ID into the commitment in the</w:t>
            </w:r>
            <w:r w:rsidRPr="00A37677">
              <w:rPr>
                <w:rFonts w:cstheme="minorHAnsi"/>
                <w:sz w:val="22"/>
                <w:szCs w:val="22"/>
              </w:rPr>
              <w:t xml:space="preserve"> Department’s IT System</w:t>
            </w:r>
          </w:p>
          <w:p w14:paraId="4194399E" w14:textId="77777777" w:rsidR="00077D4D" w:rsidRPr="00A37677" w:rsidRDefault="00077D4D" w:rsidP="00C751E3">
            <w:pPr>
              <w:pStyle w:val="tabletext"/>
              <w:numPr>
                <w:ilvl w:val="1"/>
                <w:numId w:val="6"/>
              </w:numPr>
              <w:ind w:left="600" w:hanging="284"/>
              <w:rPr>
                <w:rFonts w:cstheme="minorHAnsi"/>
                <w:sz w:val="22"/>
                <w:szCs w:val="22"/>
              </w:rPr>
            </w:pPr>
            <w:r w:rsidRPr="00A37677">
              <w:rPr>
                <w:rFonts w:cstheme="minorHAnsi"/>
                <w:sz w:val="22"/>
                <w:szCs w:val="22"/>
              </w:rPr>
              <w:t>retain an itemised cost breakdown of the program costs supplied by the organisation delivering the program</w:t>
            </w:r>
          </w:p>
          <w:p w14:paraId="6E7340F5" w14:textId="77777777" w:rsidR="00077D4D" w:rsidRDefault="00077D4D" w:rsidP="00C751E3">
            <w:pPr>
              <w:pStyle w:val="tabletext"/>
              <w:numPr>
                <w:ilvl w:val="0"/>
                <w:numId w:val="6"/>
              </w:numPr>
              <w:rPr>
                <w:rFonts w:cstheme="minorHAnsi"/>
                <w:sz w:val="22"/>
                <w:szCs w:val="22"/>
              </w:rPr>
            </w:pPr>
            <w:r>
              <w:rPr>
                <w:rFonts w:cstheme="minorHAnsi"/>
                <w:sz w:val="22"/>
                <w:szCs w:val="22"/>
              </w:rPr>
              <w:t xml:space="preserve">for the </w:t>
            </w:r>
            <w:r w:rsidRPr="00AA50AB">
              <w:rPr>
                <w:rFonts w:cstheme="minorHAnsi"/>
                <w:sz w:val="22"/>
                <w:szCs w:val="22"/>
              </w:rPr>
              <w:t xml:space="preserve">Non Work for the Dole </w:t>
            </w:r>
            <w:r>
              <w:rPr>
                <w:rFonts w:cstheme="minorHAnsi"/>
                <w:sz w:val="22"/>
                <w:szCs w:val="22"/>
              </w:rPr>
              <w:t>a</w:t>
            </w:r>
            <w:r w:rsidRPr="00AA50AB">
              <w:rPr>
                <w:rFonts w:cstheme="minorHAnsi"/>
                <w:sz w:val="22"/>
                <w:szCs w:val="22"/>
              </w:rPr>
              <w:t xml:space="preserve">ctivity </w:t>
            </w:r>
            <w:r>
              <w:rPr>
                <w:rFonts w:cstheme="minorHAnsi"/>
                <w:sz w:val="22"/>
                <w:szCs w:val="22"/>
              </w:rPr>
              <w:t>sub category</w:t>
            </w:r>
          </w:p>
          <w:p w14:paraId="568FD9AF" w14:textId="77777777" w:rsidR="00077D4D" w:rsidRPr="000F3820" w:rsidRDefault="00077D4D" w:rsidP="00C751E3">
            <w:pPr>
              <w:pStyle w:val="tabletext"/>
              <w:numPr>
                <w:ilvl w:val="1"/>
                <w:numId w:val="6"/>
              </w:numPr>
              <w:ind w:left="600" w:hanging="284"/>
              <w:rPr>
                <w:rFonts w:cstheme="minorHAnsi"/>
                <w:sz w:val="22"/>
                <w:szCs w:val="22"/>
              </w:rPr>
            </w:pPr>
            <w:r>
              <w:rPr>
                <w:rFonts w:cstheme="minorHAnsi"/>
                <w:sz w:val="22"/>
                <w:szCs w:val="22"/>
              </w:rPr>
              <w:t xml:space="preserve">for supervision costs, </w:t>
            </w:r>
            <w:r w:rsidRPr="00E4538E">
              <w:rPr>
                <w:rFonts w:cstheme="minorHAnsi"/>
                <w:sz w:val="22"/>
                <w:szCs w:val="22"/>
              </w:rPr>
              <w:t xml:space="preserve">retain dated and signed timesheets or written evidence (e.g. an email) showing the hours completed by the Supervisor in their </w:t>
            </w:r>
            <w:r>
              <w:rPr>
                <w:rFonts w:cstheme="minorHAnsi"/>
                <w:sz w:val="22"/>
                <w:szCs w:val="22"/>
              </w:rPr>
              <w:t xml:space="preserve">Supervisor </w:t>
            </w:r>
            <w:r w:rsidRPr="00E4538E">
              <w:rPr>
                <w:rFonts w:cstheme="minorHAnsi"/>
                <w:sz w:val="22"/>
                <w:szCs w:val="22"/>
              </w:rPr>
              <w:t>role for the Activity.</w:t>
            </w:r>
          </w:p>
          <w:p w14:paraId="679EF0F4" w14:textId="77777777" w:rsidR="00077D4D" w:rsidRDefault="00077D4D" w:rsidP="00C751E3">
            <w:pPr>
              <w:pStyle w:val="tabletext"/>
              <w:numPr>
                <w:ilvl w:val="0"/>
                <w:numId w:val="6"/>
              </w:numPr>
              <w:ind w:left="351" w:hanging="351"/>
              <w:rPr>
                <w:rFonts w:cstheme="minorHAnsi"/>
                <w:sz w:val="22"/>
                <w:szCs w:val="22"/>
              </w:rPr>
            </w:pPr>
            <w:r>
              <w:rPr>
                <w:rFonts w:cstheme="minorHAnsi"/>
                <w:sz w:val="22"/>
                <w:szCs w:val="22"/>
              </w:rPr>
              <w:t>For the Work trial sub category</w:t>
            </w:r>
          </w:p>
          <w:p w14:paraId="578EAD6F" w14:textId="77777777" w:rsidR="00077D4D" w:rsidRPr="000F3820" w:rsidRDefault="00077D4D" w:rsidP="00C751E3">
            <w:pPr>
              <w:pStyle w:val="tabletext"/>
              <w:numPr>
                <w:ilvl w:val="1"/>
                <w:numId w:val="6"/>
              </w:numPr>
              <w:ind w:left="600" w:hanging="284"/>
              <w:rPr>
                <w:rFonts w:cstheme="minorHAnsi"/>
                <w:sz w:val="22"/>
                <w:szCs w:val="22"/>
              </w:rPr>
            </w:pPr>
            <w:r w:rsidRPr="00E4538E">
              <w:rPr>
                <w:rFonts w:cstheme="minorHAnsi"/>
                <w:sz w:val="22"/>
                <w:szCs w:val="22"/>
              </w:rPr>
              <w:t xml:space="preserve">retain evidence that no more than 100 per cent of the </w:t>
            </w:r>
            <w:r>
              <w:rPr>
                <w:rFonts w:cstheme="minorHAnsi"/>
                <w:sz w:val="22"/>
                <w:szCs w:val="22"/>
              </w:rPr>
              <w:t>Participant</w:t>
            </w:r>
            <w:r w:rsidRPr="00E4538E">
              <w:rPr>
                <w:rFonts w:cstheme="minorHAnsi"/>
                <w:sz w:val="22"/>
                <w:szCs w:val="22"/>
              </w:rPr>
              <w:t xml:space="preserve">’s wages for the period of the Work Trial has </w:t>
            </w:r>
            <w:r w:rsidRPr="00E4538E">
              <w:rPr>
                <w:rFonts w:cstheme="minorHAnsi"/>
                <w:sz w:val="22"/>
                <w:szCs w:val="22"/>
              </w:rPr>
              <w:lastRenderedPageBreak/>
              <w:t xml:space="preserve">been claimed. This </w:t>
            </w:r>
            <w:r>
              <w:rPr>
                <w:rFonts w:cstheme="minorHAnsi"/>
                <w:sz w:val="22"/>
                <w:szCs w:val="22"/>
              </w:rPr>
              <w:t xml:space="preserve">could be either </w:t>
            </w:r>
            <w:r w:rsidRPr="000F3820">
              <w:rPr>
                <w:rFonts w:cstheme="minorHAnsi"/>
                <w:sz w:val="22"/>
                <w:szCs w:val="22"/>
              </w:rPr>
              <w:t xml:space="preserve">a statutory declaration, email or other correspondence from the Employer containing the name of the </w:t>
            </w:r>
            <w:r>
              <w:rPr>
                <w:rFonts w:cstheme="minorHAnsi"/>
                <w:sz w:val="22"/>
                <w:szCs w:val="22"/>
              </w:rPr>
              <w:t xml:space="preserve">Participant, </w:t>
            </w:r>
            <w:r w:rsidRPr="000F3820">
              <w:rPr>
                <w:rFonts w:cstheme="minorHAnsi"/>
                <w:sz w:val="22"/>
                <w:szCs w:val="22"/>
              </w:rPr>
              <w:t>payslips</w:t>
            </w:r>
            <w:r>
              <w:rPr>
                <w:rFonts w:cstheme="minorHAnsi"/>
                <w:sz w:val="22"/>
                <w:szCs w:val="22"/>
              </w:rPr>
              <w:t xml:space="preserve">, or </w:t>
            </w:r>
            <w:r w:rsidRPr="000F3820">
              <w:rPr>
                <w:rFonts w:cstheme="minorHAnsi"/>
                <w:sz w:val="22"/>
                <w:szCs w:val="22"/>
              </w:rPr>
              <w:t>a printout from the Employer’s payroll software.</w:t>
            </w:r>
          </w:p>
          <w:p w14:paraId="17A071A4" w14:textId="29DBF27F" w:rsidR="00077D4D" w:rsidRPr="00A37677" w:rsidRDefault="00077D4D" w:rsidP="00C751E3">
            <w:pPr>
              <w:pStyle w:val="tabletext"/>
              <w:spacing w:before="120"/>
              <w:rPr>
                <w:rFonts w:cstheme="minorHAnsi"/>
                <w:sz w:val="22"/>
                <w:szCs w:val="22"/>
              </w:rPr>
            </w:pPr>
            <w:r w:rsidRPr="00A37677">
              <w:rPr>
                <w:rFonts w:cstheme="minorHAnsi"/>
                <w:sz w:val="22"/>
                <w:szCs w:val="22"/>
              </w:rPr>
              <w:t>Refer</w:t>
            </w:r>
            <w:r w:rsidRPr="00A37677">
              <w:rPr>
                <w:sz w:val="22"/>
                <w:szCs w:val="22"/>
              </w:rPr>
              <w:t xml:space="preserve"> to the </w:t>
            </w:r>
            <w:r w:rsidRPr="00333793">
              <w:rPr>
                <w:sz w:val="22"/>
                <w:szCs w:val="22"/>
              </w:rPr>
              <w:t>New Employment Services Trial Employment Fund General Account IT Supporting Document</w:t>
            </w:r>
            <w:r w:rsidRPr="00A37677">
              <w:rPr>
                <w:rStyle w:val="Hyperlink"/>
                <w:sz w:val="22"/>
                <w:szCs w:val="22"/>
              </w:rPr>
              <w:t xml:space="preserve"> </w:t>
            </w:r>
            <w:r w:rsidRPr="00A37677">
              <w:rPr>
                <w:rFonts w:cstheme="minorHAnsi"/>
                <w:sz w:val="22"/>
                <w:szCs w:val="22"/>
              </w:rPr>
              <w:t>for further guidanc</w:t>
            </w:r>
            <w:r>
              <w:rPr>
                <w:rFonts w:cstheme="minorHAnsi"/>
                <w:sz w:val="22"/>
                <w:szCs w:val="22"/>
              </w:rPr>
              <w:t xml:space="preserve">e on creating Work Experience </w:t>
            </w:r>
            <w:r w:rsidRPr="00570288">
              <w:rPr>
                <w:rFonts w:cstheme="minorHAnsi"/>
                <w:sz w:val="22"/>
                <w:szCs w:val="22"/>
              </w:rPr>
              <w:t>commitments</w:t>
            </w:r>
            <w:r w:rsidRPr="00E4538E">
              <w:rPr>
                <w:rFonts w:cstheme="minorHAnsi"/>
                <w:sz w:val="22"/>
                <w:szCs w:val="22"/>
              </w:rPr>
              <w:t xml:space="preserve"> in the</w:t>
            </w:r>
            <w:r w:rsidRPr="00A37677">
              <w:rPr>
                <w:rFonts w:cstheme="minorHAnsi"/>
                <w:sz w:val="22"/>
                <w:szCs w:val="22"/>
              </w:rPr>
              <w:t xml:space="preserve"> Department’s IT System.</w:t>
            </w:r>
          </w:p>
        </w:tc>
      </w:tr>
      <w:tr w:rsidR="00077D4D" w:rsidRPr="00662F9A" w14:paraId="67CCC644" w14:textId="77777777" w:rsidTr="00F90CE7">
        <w:tc>
          <w:tcPr>
            <w:tcW w:w="2019" w:type="dxa"/>
            <w:vMerge/>
          </w:tcPr>
          <w:p w14:paraId="4E729B4D" w14:textId="77777777" w:rsidR="00077D4D" w:rsidRDefault="00077D4D" w:rsidP="00C751E3">
            <w:pPr>
              <w:pStyle w:val="tabletext"/>
              <w:rPr>
                <w:rFonts w:cstheme="minorHAnsi"/>
                <w:b/>
                <w:sz w:val="22"/>
                <w:szCs w:val="22"/>
              </w:rPr>
            </w:pPr>
          </w:p>
        </w:tc>
        <w:tc>
          <w:tcPr>
            <w:tcW w:w="2835" w:type="dxa"/>
            <w:tcBorders>
              <w:top w:val="nil"/>
              <w:bottom w:val="nil"/>
            </w:tcBorders>
          </w:tcPr>
          <w:p w14:paraId="1DBCC27A" w14:textId="77777777" w:rsidR="00077D4D" w:rsidRPr="00D40A71" w:rsidRDefault="00077D4D" w:rsidP="00C751E3">
            <w:pPr>
              <w:pStyle w:val="tabletext"/>
              <w:spacing w:before="120"/>
              <w:rPr>
                <w:rFonts w:ascii="Calibri" w:hAnsi="Calibri" w:cs="Calibri"/>
                <w:sz w:val="22"/>
                <w:szCs w:val="22"/>
              </w:rPr>
            </w:pPr>
            <w:r w:rsidRPr="00D40A71">
              <w:rPr>
                <w:rFonts w:ascii="Calibri" w:hAnsi="Calibri" w:cs="Calibri"/>
                <w:sz w:val="22"/>
                <w:szCs w:val="22"/>
              </w:rPr>
              <w:t>Non</w:t>
            </w:r>
            <w:r>
              <w:rPr>
                <w:rFonts w:ascii="Calibri" w:hAnsi="Calibri" w:cs="Calibri"/>
                <w:sz w:val="22"/>
                <w:szCs w:val="22"/>
              </w:rPr>
              <w:t>-</w:t>
            </w:r>
            <w:r w:rsidRPr="00D40A71">
              <w:rPr>
                <w:rFonts w:ascii="Calibri" w:hAnsi="Calibri" w:cs="Calibri"/>
                <w:sz w:val="22"/>
                <w:szCs w:val="22"/>
              </w:rPr>
              <w:t xml:space="preserve">Work for the Dole </w:t>
            </w:r>
            <w:r>
              <w:rPr>
                <w:rFonts w:ascii="Calibri" w:hAnsi="Calibri" w:cs="Calibri"/>
                <w:sz w:val="22"/>
                <w:szCs w:val="22"/>
              </w:rPr>
              <w:t>a</w:t>
            </w:r>
            <w:r w:rsidRPr="00D40A71">
              <w:rPr>
                <w:rFonts w:ascii="Calibri" w:hAnsi="Calibri" w:cs="Calibri"/>
                <w:sz w:val="22"/>
                <w:szCs w:val="22"/>
              </w:rPr>
              <w:t>ctivity</w:t>
            </w:r>
          </w:p>
        </w:tc>
        <w:tc>
          <w:tcPr>
            <w:tcW w:w="10136" w:type="dxa"/>
            <w:tcBorders>
              <w:top w:val="nil"/>
              <w:bottom w:val="nil"/>
            </w:tcBorders>
          </w:tcPr>
          <w:p w14:paraId="6D7D77AB" w14:textId="77777777" w:rsidR="00077D4D" w:rsidRPr="00662F9A" w:rsidRDefault="00077D4D" w:rsidP="00C751E3">
            <w:pPr>
              <w:pStyle w:val="tabletext"/>
              <w:spacing w:before="120"/>
              <w:rPr>
                <w:rFonts w:cstheme="minorHAnsi"/>
                <w:sz w:val="22"/>
                <w:szCs w:val="22"/>
              </w:rPr>
            </w:pPr>
            <w:r>
              <w:rPr>
                <w:rFonts w:cstheme="minorHAnsi"/>
                <w:sz w:val="22"/>
                <w:szCs w:val="22"/>
              </w:rPr>
              <w:t>Providers may use t</w:t>
            </w:r>
            <w:r w:rsidRPr="00662F9A">
              <w:rPr>
                <w:rFonts w:cstheme="minorHAnsi"/>
                <w:sz w:val="22"/>
                <w:szCs w:val="22"/>
              </w:rPr>
              <w:t xml:space="preserve">his </w:t>
            </w:r>
            <w:r>
              <w:rPr>
                <w:rFonts w:cstheme="minorHAnsi"/>
                <w:sz w:val="22"/>
                <w:szCs w:val="22"/>
              </w:rPr>
              <w:t xml:space="preserve">sub </w:t>
            </w:r>
            <w:r w:rsidRPr="00662F9A">
              <w:rPr>
                <w:rFonts w:cstheme="minorHAnsi"/>
                <w:sz w:val="22"/>
                <w:szCs w:val="22"/>
              </w:rPr>
              <w:t>category for non-Work for the Dole Activity costs such as:</w:t>
            </w:r>
          </w:p>
          <w:p w14:paraId="0164C18D" w14:textId="77777777" w:rsidR="00077D4D" w:rsidRPr="004A688D" w:rsidRDefault="00077D4D" w:rsidP="00C751E3">
            <w:pPr>
              <w:pStyle w:val="tabletext"/>
              <w:numPr>
                <w:ilvl w:val="0"/>
                <w:numId w:val="6"/>
              </w:numPr>
              <w:ind w:left="351" w:hanging="351"/>
              <w:rPr>
                <w:rFonts w:cstheme="minorHAnsi"/>
                <w:sz w:val="22"/>
                <w:szCs w:val="22"/>
              </w:rPr>
            </w:pPr>
            <w:r w:rsidRPr="00662F9A">
              <w:rPr>
                <w:rFonts w:cstheme="minorHAnsi"/>
                <w:sz w:val="22"/>
                <w:szCs w:val="22"/>
              </w:rPr>
              <w:t>risk assessments or additional insurance costs</w:t>
            </w:r>
          </w:p>
          <w:p w14:paraId="1161FD64" w14:textId="77777777" w:rsidR="00077D4D" w:rsidRPr="004A688D" w:rsidRDefault="00077D4D" w:rsidP="00C751E3">
            <w:pPr>
              <w:pStyle w:val="tabletext"/>
              <w:numPr>
                <w:ilvl w:val="0"/>
                <w:numId w:val="6"/>
              </w:numPr>
              <w:ind w:left="351" w:hanging="351"/>
              <w:rPr>
                <w:rFonts w:cstheme="minorHAnsi"/>
                <w:sz w:val="22"/>
                <w:szCs w:val="22"/>
              </w:rPr>
            </w:pPr>
            <w:r w:rsidRPr="00662F9A">
              <w:rPr>
                <w:rFonts w:cstheme="minorHAnsi"/>
                <w:sz w:val="22"/>
                <w:szCs w:val="22"/>
              </w:rPr>
              <w:t>overhead costs</w:t>
            </w:r>
            <w:r>
              <w:rPr>
                <w:rFonts w:cstheme="minorHAnsi"/>
                <w:sz w:val="22"/>
                <w:szCs w:val="22"/>
              </w:rPr>
              <w:t xml:space="preserve"> or additional costs</w:t>
            </w:r>
            <w:r w:rsidRPr="00662F9A">
              <w:rPr>
                <w:rFonts w:cstheme="minorHAnsi"/>
                <w:sz w:val="22"/>
                <w:szCs w:val="22"/>
              </w:rPr>
              <w:t xml:space="preserve"> to enable </w:t>
            </w:r>
            <w:r>
              <w:rPr>
                <w:rFonts w:cstheme="minorHAnsi"/>
                <w:sz w:val="22"/>
                <w:szCs w:val="22"/>
              </w:rPr>
              <w:t>Participants</w:t>
            </w:r>
            <w:r w:rsidRPr="00662F9A">
              <w:rPr>
                <w:rFonts w:cstheme="minorHAnsi"/>
                <w:sz w:val="22"/>
                <w:szCs w:val="22"/>
              </w:rPr>
              <w:t xml:space="preserve"> to participate in the Activity that cannot be recorded against another category</w:t>
            </w:r>
          </w:p>
          <w:p w14:paraId="77429D86" w14:textId="77777777" w:rsidR="00077D4D" w:rsidRPr="003A01EB" w:rsidRDefault="00077D4D" w:rsidP="00C751E3">
            <w:pPr>
              <w:pStyle w:val="tabletext"/>
              <w:numPr>
                <w:ilvl w:val="0"/>
                <w:numId w:val="6"/>
              </w:numPr>
              <w:ind w:left="351" w:hanging="351"/>
              <w:rPr>
                <w:rFonts w:cstheme="minorHAnsi"/>
                <w:sz w:val="22"/>
                <w:szCs w:val="22"/>
              </w:rPr>
            </w:pPr>
            <w:r w:rsidRPr="003A01EB">
              <w:rPr>
                <w:rFonts w:cstheme="minorHAnsi"/>
                <w:sz w:val="22"/>
                <w:szCs w:val="22"/>
              </w:rPr>
              <w:t>non-accredited training if it is required to</w:t>
            </w:r>
            <w:r>
              <w:rPr>
                <w:rFonts w:cstheme="minorHAnsi"/>
                <w:sz w:val="22"/>
                <w:szCs w:val="22"/>
              </w:rPr>
              <w:t xml:space="preserve"> enable a Participant to</w:t>
            </w:r>
            <w:r w:rsidRPr="003A01EB">
              <w:rPr>
                <w:rFonts w:cstheme="minorHAnsi"/>
                <w:sz w:val="22"/>
                <w:szCs w:val="22"/>
              </w:rPr>
              <w:t xml:space="preserve"> participate in an approved non-Work for the Dole Activity</w:t>
            </w:r>
          </w:p>
          <w:p w14:paraId="51A20BDC" w14:textId="1A675341" w:rsidR="00077D4D" w:rsidRPr="00662F9A" w:rsidRDefault="00077D4D" w:rsidP="00C751E3">
            <w:pPr>
              <w:pStyle w:val="tabletext"/>
              <w:numPr>
                <w:ilvl w:val="0"/>
                <w:numId w:val="6"/>
              </w:numPr>
              <w:ind w:left="351" w:hanging="351"/>
              <w:rPr>
                <w:rFonts w:cstheme="minorHAnsi"/>
                <w:color w:val="385623" w:themeColor="accent6" w:themeShade="80"/>
                <w:sz w:val="22"/>
                <w:szCs w:val="22"/>
              </w:rPr>
            </w:pPr>
            <w:r w:rsidRPr="00662F9A">
              <w:rPr>
                <w:rFonts w:cstheme="minorHAnsi"/>
                <w:sz w:val="22"/>
                <w:szCs w:val="22"/>
              </w:rPr>
              <w:t>additional costs to ensure the Activity meets the r</w:t>
            </w:r>
            <w:r>
              <w:rPr>
                <w:rFonts w:cstheme="minorHAnsi"/>
                <w:sz w:val="22"/>
                <w:szCs w:val="22"/>
              </w:rPr>
              <w:t xml:space="preserve">equirements as outlined in the </w:t>
            </w:r>
            <w:hyperlink r:id="rId51" w:history="1">
              <w:r>
                <w:rPr>
                  <w:rStyle w:val="Hyperlink"/>
                  <w:sz w:val="22"/>
                  <w:szCs w:val="22"/>
                </w:rPr>
                <w:t>New Employment Services Trial Activity Management Guideline</w:t>
              </w:r>
            </w:hyperlink>
          </w:p>
          <w:p w14:paraId="50ADE7FD" w14:textId="77777777" w:rsidR="00077D4D" w:rsidRPr="004A688D" w:rsidRDefault="00077D4D" w:rsidP="00C751E3">
            <w:pPr>
              <w:pStyle w:val="tabletext"/>
              <w:numPr>
                <w:ilvl w:val="0"/>
                <w:numId w:val="6"/>
              </w:numPr>
              <w:ind w:left="351" w:hanging="351"/>
              <w:rPr>
                <w:rFonts w:cstheme="minorHAnsi"/>
                <w:sz w:val="22"/>
                <w:szCs w:val="22"/>
              </w:rPr>
            </w:pPr>
            <w:r w:rsidRPr="00662F9A">
              <w:rPr>
                <w:rFonts w:cstheme="minorHAnsi"/>
                <w:sz w:val="22"/>
                <w:szCs w:val="22"/>
              </w:rPr>
              <w:t xml:space="preserve">supervision costs </w:t>
            </w:r>
            <w:r>
              <w:rPr>
                <w:rFonts w:cstheme="minorHAnsi"/>
                <w:sz w:val="22"/>
                <w:szCs w:val="22"/>
              </w:rPr>
              <w:t>when</w:t>
            </w:r>
            <w:r w:rsidRPr="00662F9A">
              <w:rPr>
                <w:rFonts w:cstheme="minorHAnsi"/>
                <w:sz w:val="22"/>
                <w:szCs w:val="22"/>
              </w:rPr>
              <w:t xml:space="preserve"> the supervisor is undertaking the literal supervision of </w:t>
            </w:r>
            <w:r>
              <w:rPr>
                <w:rFonts w:cstheme="minorHAnsi"/>
                <w:sz w:val="22"/>
                <w:szCs w:val="22"/>
              </w:rPr>
              <w:t>Participants</w:t>
            </w:r>
            <w:r w:rsidRPr="00662F9A">
              <w:rPr>
                <w:rFonts w:cstheme="minorHAnsi"/>
                <w:sz w:val="22"/>
                <w:szCs w:val="22"/>
              </w:rPr>
              <w:t xml:space="preserve"> on that Activity and not undertaking other tasks considered services under the Deed.</w:t>
            </w:r>
          </w:p>
          <w:p w14:paraId="3AA9B26C" w14:textId="77777777" w:rsidR="00077D4D" w:rsidRPr="00D40A71" w:rsidRDefault="00077D4D" w:rsidP="00C751E3">
            <w:pPr>
              <w:pStyle w:val="tabletext"/>
              <w:spacing w:before="120"/>
              <w:rPr>
                <w:rFonts w:ascii="Calibri" w:hAnsi="Calibri" w:cs="Calibri"/>
                <w:sz w:val="22"/>
                <w:szCs w:val="22"/>
              </w:rPr>
            </w:pPr>
            <w:r>
              <w:rPr>
                <w:rFonts w:cstheme="minorHAnsi"/>
                <w:sz w:val="22"/>
                <w:szCs w:val="22"/>
              </w:rPr>
              <w:lastRenderedPageBreak/>
              <w:t>T</w:t>
            </w:r>
            <w:r w:rsidRPr="00662F9A">
              <w:rPr>
                <w:rFonts w:cstheme="minorHAnsi"/>
                <w:sz w:val="22"/>
                <w:szCs w:val="22"/>
              </w:rPr>
              <w:t>he</w:t>
            </w:r>
            <w:r>
              <w:rPr>
                <w:rFonts w:cstheme="minorHAnsi"/>
                <w:sz w:val="22"/>
                <w:szCs w:val="22"/>
              </w:rPr>
              <w:t xml:space="preserve"> </w:t>
            </w:r>
            <w:hyperlink w:anchor="_Determining_what_is" w:history="1">
              <w:r w:rsidRPr="00627EE1">
                <w:rPr>
                  <w:rStyle w:val="Hyperlink"/>
                  <w:rFonts w:cstheme="minorHAnsi"/>
                  <w:sz w:val="22"/>
                  <w:szCs w:val="22"/>
                </w:rPr>
                <w:t>Determining what is a Prohibited Purchase</w:t>
              </w:r>
            </w:hyperlink>
            <w:r>
              <w:rPr>
                <w:rFonts w:cstheme="minorHAnsi"/>
                <w:sz w:val="22"/>
                <w:szCs w:val="22"/>
              </w:rPr>
              <w:t xml:space="preserve"> </w:t>
            </w:r>
            <w:r w:rsidRPr="00662F9A">
              <w:rPr>
                <w:rFonts w:cstheme="minorHAnsi"/>
                <w:sz w:val="22"/>
                <w:szCs w:val="22"/>
              </w:rPr>
              <w:t>section</w:t>
            </w:r>
            <w:r>
              <w:rPr>
                <w:rFonts w:cstheme="minorHAnsi"/>
                <w:sz w:val="22"/>
                <w:szCs w:val="22"/>
              </w:rPr>
              <w:t xml:space="preserve"> lists the exceptions to the use of this category.</w:t>
            </w:r>
          </w:p>
        </w:tc>
        <w:tc>
          <w:tcPr>
            <w:tcW w:w="6247" w:type="dxa"/>
            <w:vMerge/>
          </w:tcPr>
          <w:p w14:paraId="1B2EA716" w14:textId="77777777" w:rsidR="00077D4D" w:rsidRPr="00A37677" w:rsidRDefault="00077D4D" w:rsidP="00C751E3">
            <w:pPr>
              <w:pStyle w:val="tabletext"/>
              <w:rPr>
                <w:rFonts w:cstheme="minorHAnsi"/>
                <w:sz w:val="22"/>
                <w:szCs w:val="22"/>
              </w:rPr>
            </w:pPr>
          </w:p>
        </w:tc>
      </w:tr>
      <w:tr w:rsidR="00077D4D" w:rsidRPr="00662F9A" w14:paraId="3EF625A6" w14:textId="77777777" w:rsidTr="00F90CE7">
        <w:tc>
          <w:tcPr>
            <w:tcW w:w="2019" w:type="dxa"/>
            <w:vMerge/>
          </w:tcPr>
          <w:p w14:paraId="35DEFF49" w14:textId="77777777" w:rsidR="00077D4D" w:rsidRDefault="00077D4D" w:rsidP="00C751E3">
            <w:pPr>
              <w:pStyle w:val="tabletext"/>
              <w:rPr>
                <w:rFonts w:cstheme="minorHAnsi"/>
                <w:b/>
                <w:sz w:val="22"/>
                <w:szCs w:val="22"/>
              </w:rPr>
            </w:pPr>
          </w:p>
        </w:tc>
        <w:tc>
          <w:tcPr>
            <w:tcW w:w="2835" w:type="dxa"/>
            <w:tcBorders>
              <w:top w:val="nil"/>
              <w:bottom w:val="nil"/>
            </w:tcBorders>
          </w:tcPr>
          <w:p w14:paraId="46F47287" w14:textId="77777777" w:rsidR="00077D4D" w:rsidRPr="00D40A71" w:rsidRDefault="00077D4D" w:rsidP="00C751E3">
            <w:pPr>
              <w:pStyle w:val="tabletext"/>
              <w:spacing w:before="120"/>
              <w:rPr>
                <w:rFonts w:ascii="Calibri" w:hAnsi="Calibri" w:cs="Calibri"/>
                <w:sz w:val="22"/>
                <w:szCs w:val="22"/>
              </w:rPr>
            </w:pPr>
            <w:r w:rsidRPr="00D40A71">
              <w:rPr>
                <w:rFonts w:ascii="Calibri" w:hAnsi="Calibri" w:cs="Calibri"/>
                <w:sz w:val="22"/>
                <w:szCs w:val="22"/>
              </w:rPr>
              <w:t>Pa</w:t>
            </w:r>
            <w:r>
              <w:rPr>
                <w:rFonts w:ascii="Calibri" w:hAnsi="Calibri" w:cs="Calibri"/>
                <w:sz w:val="22"/>
                <w:szCs w:val="22"/>
              </w:rPr>
              <w:t>TH</w:t>
            </w:r>
            <w:r w:rsidRPr="00D40A71">
              <w:rPr>
                <w:rFonts w:ascii="Calibri" w:hAnsi="Calibri" w:cs="Calibri"/>
                <w:sz w:val="22"/>
                <w:szCs w:val="22"/>
              </w:rPr>
              <w:t xml:space="preserve"> Internship Placement</w:t>
            </w:r>
          </w:p>
        </w:tc>
        <w:tc>
          <w:tcPr>
            <w:tcW w:w="10136" w:type="dxa"/>
            <w:tcBorders>
              <w:top w:val="nil"/>
              <w:bottom w:val="nil"/>
            </w:tcBorders>
          </w:tcPr>
          <w:p w14:paraId="2ADA8B2C" w14:textId="77777777" w:rsidR="00077D4D" w:rsidRPr="00453109" w:rsidRDefault="00077D4D" w:rsidP="00C751E3">
            <w:pPr>
              <w:pStyle w:val="tabletext"/>
              <w:spacing w:before="120"/>
              <w:rPr>
                <w:rFonts w:cstheme="minorHAnsi"/>
                <w:sz w:val="22"/>
                <w:szCs w:val="22"/>
              </w:rPr>
            </w:pPr>
            <w:r>
              <w:rPr>
                <w:rFonts w:cstheme="minorHAnsi"/>
                <w:sz w:val="22"/>
                <w:szCs w:val="22"/>
              </w:rPr>
              <w:t>Providers may use t</w:t>
            </w:r>
            <w:r w:rsidRPr="00453109">
              <w:rPr>
                <w:rFonts w:cstheme="minorHAnsi"/>
                <w:sz w:val="22"/>
                <w:szCs w:val="22"/>
              </w:rPr>
              <w:t xml:space="preserve">his </w:t>
            </w:r>
            <w:r>
              <w:rPr>
                <w:rFonts w:cstheme="minorHAnsi"/>
                <w:sz w:val="22"/>
                <w:szCs w:val="22"/>
              </w:rPr>
              <w:t xml:space="preserve">sub </w:t>
            </w:r>
            <w:r w:rsidRPr="00453109">
              <w:rPr>
                <w:rFonts w:cstheme="minorHAnsi"/>
                <w:sz w:val="22"/>
                <w:szCs w:val="22"/>
              </w:rPr>
              <w:t xml:space="preserve">category </w:t>
            </w:r>
            <w:r>
              <w:rPr>
                <w:rFonts w:cstheme="minorHAnsi"/>
                <w:sz w:val="22"/>
                <w:szCs w:val="22"/>
              </w:rPr>
              <w:t>for PaTH Internship placement costs that cannot be claimed under another category.</w:t>
            </w:r>
            <w:r w:rsidRPr="00453109">
              <w:rPr>
                <w:rFonts w:cstheme="minorHAnsi"/>
                <w:sz w:val="22"/>
                <w:szCs w:val="22"/>
              </w:rPr>
              <w:t xml:space="preserve"> These costs may include:</w:t>
            </w:r>
          </w:p>
          <w:p w14:paraId="1D19E091" w14:textId="77777777" w:rsidR="00077D4D" w:rsidRPr="00453109" w:rsidRDefault="00077D4D" w:rsidP="00C751E3">
            <w:pPr>
              <w:pStyle w:val="tabletext"/>
              <w:numPr>
                <w:ilvl w:val="0"/>
                <w:numId w:val="6"/>
              </w:numPr>
              <w:ind w:left="351" w:hanging="351"/>
              <w:rPr>
                <w:rFonts w:cstheme="minorHAnsi"/>
                <w:sz w:val="22"/>
                <w:szCs w:val="22"/>
              </w:rPr>
            </w:pPr>
            <w:r w:rsidRPr="00453109">
              <w:rPr>
                <w:rFonts w:cstheme="minorHAnsi"/>
                <w:sz w:val="22"/>
                <w:szCs w:val="22"/>
              </w:rPr>
              <w:t xml:space="preserve">costs associated with risk assessments </w:t>
            </w:r>
          </w:p>
          <w:p w14:paraId="04C8DC64" w14:textId="77777777" w:rsidR="00077D4D" w:rsidRDefault="00077D4D" w:rsidP="00C751E3">
            <w:pPr>
              <w:pStyle w:val="tabletext"/>
              <w:numPr>
                <w:ilvl w:val="0"/>
                <w:numId w:val="6"/>
              </w:numPr>
              <w:ind w:left="351" w:hanging="351"/>
              <w:rPr>
                <w:rFonts w:cstheme="minorHAnsi"/>
                <w:sz w:val="22"/>
                <w:szCs w:val="22"/>
              </w:rPr>
            </w:pPr>
            <w:r w:rsidRPr="00453109">
              <w:rPr>
                <w:rFonts w:cstheme="minorHAnsi"/>
                <w:sz w:val="22"/>
                <w:szCs w:val="22"/>
              </w:rPr>
              <w:t>additional</w:t>
            </w:r>
            <w:r>
              <w:rPr>
                <w:rFonts w:cstheme="minorHAnsi"/>
                <w:sz w:val="22"/>
                <w:szCs w:val="22"/>
              </w:rPr>
              <w:t xml:space="preserve"> insurance costs (if required)</w:t>
            </w:r>
          </w:p>
          <w:p w14:paraId="28BBA745" w14:textId="77777777" w:rsidR="00077D4D" w:rsidRPr="00453109" w:rsidRDefault="00077D4D" w:rsidP="00C751E3">
            <w:pPr>
              <w:pStyle w:val="tabletext"/>
              <w:numPr>
                <w:ilvl w:val="0"/>
                <w:numId w:val="6"/>
              </w:numPr>
              <w:ind w:left="351" w:hanging="351"/>
              <w:rPr>
                <w:rFonts w:cstheme="minorHAnsi"/>
                <w:sz w:val="22"/>
                <w:szCs w:val="22"/>
              </w:rPr>
            </w:pPr>
            <w:r w:rsidRPr="00453109">
              <w:rPr>
                <w:rFonts w:cstheme="minorHAnsi"/>
                <w:sz w:val="22"/>
                <w:szCs w:val="22"/>
              </w:rPr>
              <w:t>other costs required to support and enable the</w:t>
            </w:r>
            <w:r>
              <w:rPr>
                <w:rFonts w:cstheme="minorHAnsi"/>
                <w:sz w:val="22"/>
                <w:szCs w:val="22"/>
              </w:rPr>
              <w:t xml:space="preserve"> Participant to participate in a PaTH I</w:t>
            </w:r>
            <w:r w:rsidRPr="00453109">
              <w:rPr>
                <w:rFonts w:cstheme="minorHAnsi"/>
                <w:sz w:val="22"/>
                <w:szCs w:val="22"/>
              </w:rPr>
              <w:t xml:space="preserve">nternship placement that is </w:t>
            </w:r>
            <w:r>
              <w:rPr>
                <w:rFonts w:cstheme="minorHAnsi"/>
                <w:sz w:val="22"/>
                <w:szCs w:val="22"/>
              </w:rPr>
              <w:t>not covered by other categories.</w:t>
            </w:r>
          </w:p>
          <w:p w14:paraId="420CCBB9" w14:textId="08F194A5" w:rsidR="00077D4D" w:rsidRPr="00D40A71" w:rsidRDefault="00077D4D" w:rsidP="00C751E3">
            <w:pPr>
              <w:pStyle w:val="tabletext"/>
              <w:spacing w:before="120"/>
              <w:rPr>
                <w:rFonts w:ascii="Calibri" w:hAnsi="Calibri" w:cs="Calibri"/>
                <w:sz w:val="22"/>
                <w:szCs w:val="22"/>
              </w:rPr>
            </w:pPr>
            <w:r>
              <w:rPr>
                <w:rFonts w:cstheme="minorHAnsi"/>
                <w:sz w:val="22"/>
                <w:szCs w:val="22"/>
              </w:rPr>
              <w:t>To use this sub category, Providers must</w:t>
            </w:r>
            <w:r w:rsidRPr="00453109">
              <w:rPr>
                <w:rFonts w:cstheme="minorHAnsi"/>
                <w:sz w:val="22"/>
                <w:szCs w:val="22"/>
              </w:rPr>
              <w:t xml:space="preserve"> ensure the</w:t>
            </w:r>
            <w:r>
              <w:rPr>
                <w:rFonts w:cstheme="minorHAnsi"/>
                <w:sz w:val="22"/>
                <w:szCs w:val="22"/>
              </w:rPr>
              <w:t xml:space="preserve"> PaTH</w:t>
            </w:r>
            <w:r w:rsidRPr="00453109">
              <w:rPr>
                <w:rFonts w:cstheme="minorHAnsi"/>
                <w:sz w:val="22"/>
                <w:szCs w:val="22"/>
              </w:rPr>
              <w:t xml:space="preserve"> </w:t>
            </w:r>
            <w:r>
              <w:rPr>
                <w:rFonts w:cstheme="minorHAnsi"/>
                <w:sz w:val="22"/>
                <w:szCs w:val="22"/>
              </w:rPr>
              <w:t>Internship p</w:t>
            </w:r>
            <w:r w:rsidRPr="00453109">
              <w:rPr>
                <w:rFonts w:cstheme="minorHAnsi"/>
                <w:sz w:val="22"/>
                <w:szCs w:val="22"/>
              </w:rPr>
              <w:t xml:space="preserve">lacement meets the requirements as outlined in the </w:t>
            </w:r>
            <w:hyperlink r:id="rId52" w:history="1">
              <w:r w:rsidRPr="006B7075">
                <w:rPr>
                  <w:rStyle w:val="Hyperlink"/>
                  <w:sz w:val="22"/>
                  <w:szCs w:val="22"/>
                </w:rPr>
                <w:t xml:space="preserve">New Employment Services Trial </w:t>
              </w:r>
              <w:r w:rsidRPr="006B7075">
                <w:rPr>
                  <w:rStyle w:val="Hyperlink"/>
                  <w:rFonts w:cstheme="minorHAnsi"/>
                  <w:sz w:val="22"/>
                  <w:szCs w:val="22"/>
                </w:rPr>
                <w:t>Managing PaTH Internships Guideline</w:t>
              </w:r>
            </w:hyperlink>
            <w:r w:rsidRPr="00ED22CA">
              <w:rPr>
                <w:rFonts w:cstheme="minorHAnsi"/>
                <w:sz w:val="22"/>
                <w:szCs w:val="22"/>
              </w:rPr>
              <w:t>.</w:t>
            </w:r>
          </w:p>
        </w:tc>
        <w:tc>
          <w:tcPr>
            <w:tcW w:w="6247" w:type="dxa"/>
            <w:vMerge/>
          </w:tcPr>
          <w:p w14:paraId="7FF040E2" w14:textId="77777777" w:rsidR="00077D4D" w:rsidRPr="00A37677" w:rsidRDefault="00077D4D" w:rsidP="00C751E3">
            <w:pPr>
              <w:pStyle w:val="tabletext"/>
              <w:rPr>
                <w:rFonts w:cstheme="minorHAnsi"/>
                <w:sz w:val="22"/>
                <w:szCs w:val="22"/>
              </w:rPr>
            </w:pPr>
          </w:p>
        </w:tc>
      </w:tr>
      <w:tr w:rsidR="00077D4D" w:rsidRPr="00662F9A" w14:paraId="4A234897" w14:textId="77777777" w:rsidTr="00F90CE7">
        <w:tc>
          <w:tcPr>
            <w:tcW w:w="2019" w:type="dxa"/>
            <w:vMerge/>
          </w:tcPr>
          <w:p w14:paraId="040F1B6A" w14:textId="77777777" w:rsidR="00077D4D" w:rsidRDefault="00077D4D" w:rsidP="00C751E3">
            <w:pPr>
              <w:pStyle w:val="tabletext"/>
              <w:rPr>
                <w:rFonts w:cstheme="minorHAnsi"/>
                <w:b/>
                <w:sz w:val="22"/>
                <w:szCs w:val="22"/>
              </w:rPr>
            </w:pPr>
          </w:p>
        </w:tc>
        <w:tc>
          <w:tcPr>
            <w:tcW w:w="2835" w:type="dxa"/>
            <w:tcBorders>
              <w:top w:val="nil"/>
            </w:tcBorders>
          </w:tcPr>
          <w:p w14:paraId="529B5745" w14:textId="77777777" w:rsidR="00077D4D" w:rsidRPr="00D40A71" w:rsidRDefault="00077D4D" w:rsidP="00C751E3">
            <w:pPr>
              <w:pStyle w:val="tabletext"/>
              <w:spacing w:before="120"/>
              <w:rPr>
                <w:rFonts w:ascii="Calibri" w:hAnsi="Calibri" w:cs="Calibri"/>
                <w:sz w:val="22"/>
                <w:szCs w:val="22"/>
              </w:rPr>
            </w:pPr>
            <w:r w:rsidRPr="00D40A71">
              <w:rPr>
                <w:rFonts w:ascii="Calibri" w:hAnsi="Calibri" w:cs="Calibri"/>
                <w:sz w:val="22"/>
                <w:szCs w:val="22"/>
              </w:rPr>
              <w:t xml:space="preserve">Work </w:t>
            </w:r>
            <w:r>
              <w:rPr>
                <w:rFonts w:ascii="Calibri" w:hAnsi="Calibri" w:cs="Calibri"/>
                <w:sz w:val="22"/>
                <w:szCs w:val="22"/>
              </w:rPr>
              <w:t>t</w:t>
            </w:r>
            <w:r w:rsidRPr="00D40A71">
              <w:rPr>
                <w:rFonts w:ascii="Calibri" w:hAnsi="Calibri" w:cs="Calibri"/>
                <w:sz w:val="22"/>
                <w:szCs w:val="22"/>
              </w:rPr>
              <w:t>rial</w:t>
            </w:r>
          </w:p>
        </w:tc>
        <w:tc>
          <w:tcPr>
            <w:tcW w:w="10136" w:type="dxa"/>
            <w:tcBorders>
              <w:top w:val="nil"/>
            </w:tcBorders>
          </w:tcPr>
          <w:p w14:paraId="2C6FE0E3" w14:textId="77777777" w:rsidR="00077D4D" w:rsidRPr="00B2653A" w:rsidRDefault="00077D4D" w:rsidP="00C751E3">
            <w:pPr>
              <w:pStyle w:val="tabletext"/>
              <w:spacing w:before="120"/>
              <w:rPr>
                <w:rFonts w:cstheme="minorHAnsi"/>
                <w:color w:val="385623" w:themeColor="accent6" w:themeShade="80"/>
                <w:sz w:val="22"/>
                <w:szCs w:val="22"/>
              </w:rPr>
            </w:pPr>
            <w:r>
              <w:rPr>
                <w:rFonts w:cstheme="minorHAnsi"/>
                <w:sz w:val="22"/>
                <w:szCs w:val="22"/>
              </w:rPr>
              <w:t>Providers may use t</w:t>
            </w:r>
            <w:r w:rsidRPr="00B2653A">
              <w:rPr>
                <w:rFonts w:cstheme="minorHAnsi"/>
                <w:sz w:val="22"/>
                <w:szCs w:val="22"/>
              </w:rPr>
              <w:t xml:space="preserve">his category for </w:t>
            </w:r>
            <w:r>
              <w:rPr>
                <w:rFonts w:cstheme="minorHAnsi"/>
                <w:sz w:val="22"/>
                <w:szCs w:val="22"/>
              </w:rPr>
              <w:t xml:space="preserve">a </w:t>
            </w:r>
            <w:r w:rsidRPr="00B2653A">
              <w:rPr>
                <w:rFonts w:cstheme="minorHAnsi"/>
                <w:sz w:val="22"/>
                <w:szCs w:val="22"/>
              </w:rPr>
              <w:t>Work Trial Placement</w:t>
            </w:r>
            <w:r>
              <w:rPr>
                <w:rFonts w:cstheme="minorHAnsi"/>
                <w:sz w:val="22"/>
                <w:szCs w:val="22"/>
              </w:rPr>
              <w:t>. T</w:t>
            </w:r>
            <w:r w:rsidRPr="00B2653A">
              <w:rPr>
                <w:rFonts w:cstheme="minorHAnsi"/>
                <w:sz w:val="22"/>
                <w:szCs w:val="22"/>
              </w:rPr>
              <w:t>he Work Trial must:</w:t>
            </w:r>
          </w:p>
          <w:p w14:paraId="5B1330BE" w14:textId="77777777" w:rsidR="00077D4D" w:rsidRPr="00B2653A" w:rsidRDefault="00077D4D" w:rsidP="00C751E3">
            <w:pPr>
              <w:pStyle w:val="tabletext"/>
              <w:numPr>
                <w:ilvl w:val="0"/>
                <w:numId w:val="6"/>
              </w:numPr>
              <w:ind w:left="351" w:hanging="351"/>
              <w:rPr>
                <w:rFonts w:cstheme="minorHAnsi"/>
                <w:color w:val="385623" w:themeColor="accent6" w:themeShade="80"/>
                <w:sz w:val="22"/>
                <w:szCs w:val="22"/>
              </w:rPr>
            </w:pPr>
            <w:r w:rsidRPr="00B2653A">
              <w:rPr>
                <w:rFonts w:cstheme="minorHAnsi"/>
                <w:sz w:val="22"/>
                <w:szCs w:val="22"/>
              </w:rPr>
              <w:t>be limited to two weeks</w:t>
            </w:r>
          </w:p>
          <w:p w14:paraId="0A41BF6B" w14:textId="77777777" w:rsidR="00077D4D" w:rsidRPr="00777D25" w:rsidRDefault="00077D4D" w:rsidP="00C751E3">
            <w:pPr>
              <w:pStyle w:val="tabletext"/>
              <w:numPr>
                <w:ilvl w:val="0"/>
                <w:numId w:val="6"/>
              </w:numPr>
              <w:ind w:left="351" w:hanging="351"/>
              <w:rPr>
                <w:rFonts w:cstheme="minorHAnsi"/>
                <w:sz w:val="22"/>
                <w:szCs w:val="22"/>
              </w:rPr>
            </w:pPr>
            <w:r w:rsidRPr="00B2653A">
              <w:rPr>
                <w:rFonts w:cstheme="minorHAnsi"/>
                <w:sz w:val="22"/>
                <w:szCs w:val="22"/>
              </w:rPr>
              <w:t xml:space="preserve">not be more than the wages the </w:t>
            </w:r>
            <w:r>
              <w:rPr>
                <w:rFonts w:cstheme="minorHAnsi"/>
                <w:sz w:val="22"/>
                <w:szCs w:val="22"/>
              </w:rPr>
              <w:t>Participant</w:t>
            </w:r>
            <w:r w:rsidRPr="00B2653A">
              <w:rPr>
                <w:rFonts w:cstheme="minorHAnsi"/>
                <w:sz w:val="22"/>
                <w:szCs w:val="22"/>
              </w:rPr>
              <w:t xml:space="preserve"> earns for the period of the Work Trial</w:t>
            </w:r>
            <w:r>
              <w:rPr>
                <w:rFonts w:cstheme="minorHAnsi"/>
                <w:sz w:val="22"/>
                <w:szCs w:val="22"/>
              </w:rPr>
              <w:t>; and</w:t>
            </w:r>
          </w:p>
          <w:p w14:paraId="17592FE9" w14:textId="18F5C2BA" w:rsidR="00077D4D" w:rsidRPr="00D40A71" w:rsidRDefault="00077D4D" w:rsidP="00785291">
            <w:pPr>
              <w:pStyle w:val="tabletext"/>
              <w:numPr>
                <w:ilvl w:val="0"/>
                <w:numId w:val="6"/>
              </w:numPr>
              <w:rPr>
                <w:rFonts w:ascii="Calibri" w:hAnsi="Calibri" w:cs="Calibri"/>
                <w:sz w:val="22"/>
                <w:szCs w:val="22"/>
              </w:rPr>
            </w:pPr>
            <w:r w:rsidRPr="00B2653A">
              <w:rPr>
                <w:rFonts w:cstheme="minorHAnsi"/>
                <w:sz w:val="22"/>
                <w:szCs w:val="22"/>
              </w:rPr>
              <w:t xml:space="preserve">meet the Wage Subsidy Placement eligibility detailed in the </w:t>
            </w:r>
            <w:hyperlink r:id="rId53" w:history="1">
              <w:r>
                <w:rPr>
                  <w:rStyle w:val="Hyperlink"/>
                  <w:sz w:val="22"/>
                  <w:szCs w:val="22"/>
                </w:rPr>
                <w:t>New Employment Services Trial Managing Wage Subsidies Guideline</w:t>
              </w:r>
            </w:hyperlink>
            <w:r w:rsidRPr="00B2653A">
              <w:rPr>
                <w:rFonts w:cstheme="minorHAnsi"/>
                <w:sz w:val="22"/>
                <w:szCs w:val="22"/>
              </w:rPr>
              <w:t>.</w:t>
            </w:r>
          </w:p>
        </w:tc>
        <w:tc>
          <w:tcPr>
            <w:tcW w:w="6247" w:type="dxa"/>
            <w:vMerge/>
          </w:tcPr>
          <w:p w14:paraId="538FAE6C" w14:textId="77777777" w:rsidR="00077D4D" w:rsidRPr="00A37677" w:rsidRDefault="00077D4D" w:rsidP="00C751E3">
            <w:pPr>
              <w:pStyle w:val="tabletext"/>
              <w:numPr>
                <w:ilvl w:val="0"/>
                <w:numId w:val="6"/>
              </w:numPr>
              <w:rPr>
                <w:rFonts w:cstheme="minorHAnsi"/>
                <w:sz w:val="22"/>
                <w:szCs w:val="22"/>
              </w:rPr>
            </w:pPr>
          </w:p>
        </w:tc>
      </w:tr>
      <w:tr w:rsidR="00C751E3" w:rsidRPr="00662F9A" w14:paraId="62D7DAE0" w14:textId="77777777" w:rsidTr="00827A41">
        <w:tc>
          <w:tcPr>
            <w:tcW w:w="2019" w:type="dxa"/>
          </w:tcPr>
          <w:p w14:paraId="46A49D26" w14:textId="77777777" w:rsidR="00C751E3" w:rsidRPr="003E3BBC" w:rsidRDefault="00C751E3" w:rsidP="00C751E3">
            <w:pPr>
              <w:pStyle w:val="tabletext"/>
              <w:rPr>
                <w:rFonts w:cstheme="minorHAnsi"/>
                <w:b/>
                <w:sz w:val="22"/>
                <w:szCs w:val="22"/>
              </w:rPr>
            </w:pPr>
            <w:r w:rsidRPr="003E3BBC">
              <w:rPr>
                <w:rFonts w:cstheme="minorHAnsi"/>
                <w:b/>
                <w:sz w:val="22"/>
                <w:szCs w:val="22"/>
              </w:rPr>
              <w:t>Work Related Items</w:t>
            </w:r>
          </w:p>
        </w:tc>
        <w:tc>
          <w:tcPr>
            <w:tcW w:w="2835" w:type="dxa"/>
          </w:tcPr>
          <w:p w14:paraId="342DA1E8" w14:textId="77777777" w:rsidR="00C751E3" w:rsidRPr="001D263C" w:rsidRDefault="00C751E3" w:rsidP="00C751E3">
            <w:pPr>
              <w:pStyle w:val="tabletext"/>
              <w:rPr>
                <w:rFonts w:ascii="Calibri" w:hAnsi="Calibri" w:cs="Calibri"/>
                <w:sz w:val="22"/>
                <w:szCs w:val="22"/>
              </w:rPr>
            </w:pPr>
          </w:p>
        </w:tc>
        <w:tc>
          <w:tcPr>
            <w:tcW w:w="10136" w:type="dxa"/>
          </w:tcPr>
          <w:p w14:paraId="55A918B9" w14:textId="77777777" w:rsidR="00C751E3" w:rsidRDefault="00C751E3" w:rsidP="00C751E3">
            <w:pPr>
              <w:pStyle w:val="tabletext"/>
              <w:numPr>
                <w:ilvl w:val="0"/>
                <w:numId w:val="6"/>
              </w:numPr>
              <w:ind w:left="351" w:hanging="351"/>
              <w:rPr>
                <w:rFonts w:cstheme="minorHAnsi"/>
                <w:sz w:val="22"/>
                <w:szCs w:val="22"/>
              </w:rPr>
            </w:pPr>
            <w:r>
              <w:rPr>
                <w:rFonts w:cstheme="minorHAnsi"/>
                <w:sz w:val="22"/>
                <w:szCs w:val="22"/>
              </w:rPr>
              <w:t>Providers may use t</w:t>
            </w:r>
            <w:r w:rsidRPr="00662F9A">
              <w:rPr>
                <w:rFonts w:cstheme="minorHAnsi"/>
                <w:sz w:val="22"/>
                <w:szCs w:val="22"/>
              </w:rPr>
              <w:t xml:space="preserve">his category </w:t>
            </w:r>
            <w:r>
              <w:rPr>
                <w:rFonts w:cstheme="minorHAnsi"/>
                <w:sz w:val="22"/>
                <w:szCs w:val="22"/>
              </w:rPr>
              <w:t xml:space="preserve">for purchases that are </w:t>
            </w:r>
            <w:r w:rsidRPr="00662F9A">
              <w:rPr>
                <w:rFonts w:cstheme="minorHAnsi"/>
                <w:sz w:val="22"/>
                <w:szCs w:val="22"/>
              </w:rPr>
              <w:t>directly related</w:t>
            </w:r>
            <w:r>
              <w:rPr>
                <w:rFonts w:cstheme="minorHAnsi"/>
                <w:sz w:val="22"/>
                <w:szCs w:val="22"/>
              </w:rPr>
              <w:t xml:space="preserve"> to</w:t>
            </w:r>
            <w:r w:rsidRPr="00662F9A">
              <w:rPr>
                <w:rFonts w:cstheme="minorHAnsi"/>
                <w:sz w:val="22"/>
                <w:szCs w:val="22"/>
              </w:rPr>
              <w:t xml:space="preserve"> </w:t>
            </w:r>
            <w:r>
              <w:rPr>
                <w:rFonts w:cstheme="minorHAnsi"/>
                <w:sz w:val="22"/>
                <w:szCs w:val="22"/>
              </w:rPr>
              <w:t xml:space="preserve">training, participation in programs, PaTH Internships or Employment </w:t>
            </w:r>
          </w:p>
          <w:p w14:paraId="53264A12" w14:textId="77777777" w:rsidR="00C751E3" w:rsidRDefault="00C751E3" w:rsidP="00C751E3">
            <w:pPr>
              <w:pStyle w:val="tabletext"/>
              <w:numPr>
                <w:ilvl w:val="0"/>
                <w:numId w:val="6"/>
              </w:numPr>
              <w:ind w:left="351" w:hanging="351"/>
              <w:rPr>
                <w:rFonts w:cstheme="minorHAnsi"/>
                <w:sz w:val="22"/>
                <w:szCs w:val="22"/>
              </w:rPr>
            </w:pPr>
            <w:r>
              <w:rPr>
                <w:rFonts w:cstheme="minorHAnsi"/>
                <w:sz w:val="22"/>
                <w:szCs w:val="22"/>
              </w:rPr>
              <w:t>are not a prohibited item, and</w:t>
            </w:r>
          </w:p>
          <w:p w14:paraId="7EF47EB5" w14:textId="77777777" w:rsidR="00C751E3" w:rsidRDefault="00C751E3" w:rsidP="00C751E3">
            <w:pPr>
              <w:pStyle w:val="tabletext"/>
              <w:numPr>
                <w:ilvl w:val="0"/>
                <w:numId w:val="6"/>
              </w:numPr>
              <w:ind w:left="351" w:hanging="351"/>
              <w:rPr>
                <w:rFonts w:cstheme="minorHAnsi"/>
                <w:sz w:val="22"/>
                <w:szCs w:val="22"/>
              </w:rPr>
            </w:pPr>
            <w:r w:rsidRPr="00662F9A">
              <w:rPr>
                <w:rFonts w:cstheme="minorHAnsi"/>
                <w:sz w:val="22"/>
                <w:szCs w:val="22"/>
              </w:rPr>
              <w:t>cannot be recorded against anoth</w:t>
            </w:r>
            <w:r>
              <w:rPr>
                <w:rFonts w:cstheme="minorHAnsi"/>
                <w:sz w:val="22"/>
                <w:szCs w:val="22"/>
              </w:rPr>
              <w:t xml:space="preserve">er category. </w:t>
            </w:r>
          </w:p>
          <w:p w14:paraId="04ADF4B9" w14:textId="77777777" w:rsidR="00C751E3" w:rsidRDefault="00C751E3" w:rsidP="00C751E3">
            <w:pPr>
              <w:pStyle w:val="tabletext"/>
              <w:spacing w:before="120"/>
              <w:rPr>
                <w:rFonts w:cstheme="minorHAnsi"/>
                <w:sz w:val="22"/>
                <w:szCs w:val="22"/>
              </w:rPr>
            </w:pPr>
            <w:r>
              <w:rPr>
                <w:rFonts w:cstheme="minorHAnsi"/>
                <w:sz w:val="22"/>
                <w:szCs w:val="22"/>
              </w:rPr>
              <w:t>Examples of purchases under this category include:</w:t>
            </w:r>
          </w:p>
          <w:p w14:paraId="20920033" w14:textId="77777777" w:rsidR="00C751E3" w:rsidRDefault="00C751E3" w:rsidP="00C751E3">
            <w:pPr>
              <w:pStyle w:val="tabletext"/>
              <w:numPr>
                <w:ilvl w:val="0"/>
                <w:numId w:val="6"/>
              </w:numPr>
              <w:ind w:left="351" w:hanging="351"/>
              <w:rPr>
                <w:rFonts w:cstheme="minorHAnsi"/>
                <w:sz w:val="22"/>
                <w:szCs w:val="22"/>
              </w:rPr>
            </w:pPr>
            <w:r>
              <w:rPr>
                <w:rFonts w:cstheme="minorHAnsi"/>
                <w:sz w:val="22"/>
                <w:szCs w:val="22"/>
              </w:rPr>
              <w:t xml:space="preserve">clothing and presentation purchases, for example </w:t>
            </w:r>
          </w:p>
          <w:p w14:paraId="1C1E77B3" w14:textId="77777777" w:rsidR="00C751E3" w:rsidRPr="00BC7483" w:rsidRDefault="00C751E3" w:rsidP="00C751E3">
            <w:pPr>
              <w:pStyle w:val="tabletext"/>
              <w:numPr>
                <w:ilvl w:val="1"/>
                <w:numId w:val="6"/>
              </w:numPr>
              <w:ind w:left="600" w:hanging="284"/>
              <w:rPr>
                <w:rFonts w:cstheme="minorHAnsi"/>
                <w:sz w:val="22"/>
                <w:szCs w:val="22"/>
              </w:rPr>
            </w:pPr>
            <w:r w:rsidRPr="00BC7483">
              <w:rPr>
                <w:rFonts w:cstheme="minorHAnsi"/>
                <w:sz w:val="22"/>
                <w:szCs w:val="22"/>
              </w:rPr>
              <w:t>work-related clothing, for example business shirts</w:t>
            </w:r>
          </w:p>
          <w:p w14:paraId="57E2D954" w14:textId="77777777" w:rsidR="00C751E3" w:rsidRPr="00BC7483" w:rsidRDefault="00C751E3" w:rsidP="00C751E3">
            <w:pPr>
              <w:pStyle w:val="tabletext"/>
              <w:numPr>
                <w:ilvl w:val="1"/>
                <w:numId w:val="6"/>
              </w:numPr>
              <w:ind w:left="600" w:hanging="284"/>
              <w:rPr>
                <w:rFonts w:cstheme="minorHAnsi"/>
                <w:sz w:val="22"/>
                <w:szCs w:val="22"/>
              </w:rPr>
            </w:pPr>
            <w:r w:rsidRPr="00BC7483">
              <w:rPr>
                <w:rFonts w:cstheme="minorHAnsi"/>
                <w:sz w:val="22"/>
                <w:szCs w:val="22"/>
              </w:rPr>
              <w:t>personal protective clothing, such as hi-vis shirts</w:t>
            </w:r>
            <w:r>
              <w:rPr>
                <w:rFonts w:cstheme="minorHAnsi"/>
                <w:sz w:val="22"/>
                <w:szCs w:val="22"/>
              </w:rPr>
              <w:t xml:space="preserve"> and</w:t>
            </w:r>
            <w:r w:rsidRPr="00BC7483">
              <w:rPr>
                <w:rFonts w:cstheme="minorHAnsi"/>
                <w:sz w:val="22"/>
                <w:szCs w:val="22"/>
              </w:rPr>
              <w:t xml:space="preserve"> steel cap boots</w:t>
            </w:r>
            <w:r>
              <w:rPr>
                <w:rFonts w:cstheme="minorHAnsi"/>
                <w:sz w:val="22"/>
                <w:szCs w:val="22"/>
              </w:rPr>
              <w:t>, where</w:t>
            </w:r>
            <w:r w:rsidRPr="00BC7483">
              <w:rPr>
                <w:rFonts w:cstheme="minorHAnsi"/>
                <w:sz w:val="22"/>
                <w:szCs w:val="22"/>
              </w:rPr>
              <w:t xml:space="preserve"> these are not for a </w:t>
            </w:r>
            <w:r>
              <w:rPr>
                <w:rFonts w:cstheme="minorHAnsi"/>
                <w:sz w:val="22"/>
                <w:szCs w:val="22"/>
              </w:rPr>
              <w:t>Participant</w:t>
            </w:r>
            <w:r w:rsidRPr="00BC7483">
              <w:rPr>
                <w:rFonts w:cstheme="minorHAnsi"/>
                <w:sz w:val="22"/>
                <w:szCs w:val="22"/>
              </w:rPr>
              <w:t xml:space="preserve"> to participate in a Work for the Dole Activity</w:t>
            </w:r>
          </w:p>
          <w:p w14:paraId="34B85A69" w14:textId="77777777" w:rsidR="00C751E3" w:rsidRPr="00662F9A" w:rsidRDefault="00C751E3" w:rsidP="00C751E3">
            <w:pPr>
              <w:pStyle w:val="tabletext"/>
              <w:numPr>
                <w:ilvl w:val="1"/>
                <w:numId w:val="6"/>
              </w:numPr>
              <w:ind w:left="600" w:hanging="284"/>
              <w:rPr>
                <w:rFonts w:cstheme="minorHAnsi"/>
                <w:sz w:val="22"/>
                <w:szCs w:val="22"/>
              </w:rPr>
            </w:pPr>
            <w:r w:rsidRPr="00662F9A">
              <w:rPr>
                <w:rFonts w:cstheme="minorHAnsi"/>
                <w:sz w:val="22"/>
                <w:szCs w:val="22"/>
              </w:rPr>
              <w:t xml:space="preserve">clothing for a </w:t>
            </w:r>
            <w:r>
              <w:rPr>
                <w:rFonts w:cstheme="minorHAnsi"/>
                <w:sz w:val="22"/>
                <w:szCs w:val="22"/>
              </w:rPr>
              <w:t>Participant</w:t>
            </w:r>
            <w:r w:rsidRPr="00662F9A">
              <w:rPr>
                <w:rFonts w:cstheme="minorHAnsi"/>
                <w:sz w:val="22"/>
                <w:szCs w:val="22"/>
              </w:rPr>
              <w:t xml:space="preserve"> to improve their presentation</w:t>
            </w:r>
            <w:r>
              <w:rPr>
                <w:rFonts w:cstheme="minorHAnsi"/>
                <w:sz w:val="22"/>
                <w:szCs w:val="22"/>
              </w:rPr>
              <w:t>,</w:t>
            </w:r>
            <w:r w:rsidRPr="00662F9A">
              <w:rPr>
                <w:rFonts w:cstheme="minorHAnsi"/>
                <w:sz w:val="22"/>
                <w:szCs w:val="22"/>
              </w:rPr>
              <w:t xml:space="preserve"> </w:t>
            </w:r>
            <w:r>
              <w:rPr>
                <w:rFonts w:cstheme="minorHAnsi"/>
                <w:sz w:val="22"/>
                <w:szCs w:val="22"/>
              </w:rPr>
              <w:t xml:space="preserve">for example </w:t>
            </w:r>
            <w:r w:rsidRPr="00662F9A">
              <w:rPr>
                <w:rFonts w:cstheme="minorHAnsi"/>
                <w:sz w:val="22"/>
                <w:szCs w:val="22"/>
              </w:rPr>
              <w:t>when attending interviews</w:t>
            </w:r>
            <w:r>
              <w:rPr>
                <w:rFonts w:cstheme="minorHAnsi"/>
                <w:sz w:val="22"/>
                <w:szCs w:val="22"/>
              </w:rPr>
              <w:t>, PaTH Internships or participating in programs or</w:t>
            </w:r>
            <w:r w:rsidRPr="00662F9A">
              <w:rPr>
                <w:rFonts w:cstheme="minorHAnsi"/>
                <w:sz w:val="22"/>
                <w:szCs w:val="22"/>
              </w:rPr>
              <w:t xml:space="preserve"> training</w:t>
            </w:r>
          </w:p>
          <w:p w14:paraId="1F714164" w14:textId="77777777" w:rsidR="00C751E3" w:rsidRPr="00662F9A" w:rsidRDefault="00C751E3" w:rsidP="00C751E3">
            <w:pPr>
              <w:pStyle w:val="tabletext"/>
              <w:numPr>
                <w:ilvl w:val="1"/>
                <w:numId w:val="6"/>
              </w:numPr>
              <w:ind w:left="600" w:hanging="284"/>
              <w:rPr>
                <w:rFonts w:cstheme="minorHAnsi"/>
                <w:sz w:val="22"/>
                <w:szCs w:val="22"/>
              </w:rPr>
            </w:pPr>
            <w:r w:rsidRPr="00662F9A">
              <w:rPr>
                <w:rFonts w:cstheme="minorHAnsi"/>
                <w:sz w:val="22"/>
                <w:szCs w:val="22"/>
              </w:rPr>
              <w:t xml:space="preserve">hygiene packs </w:t>
            </w:r>
          </w:p>
          <w:p w14:paraId="56E66B99" w14:textId="77777777" w:rsidR="00C751E3" w:rsidRDefault="00C751E3" w:rsidP="00C751E3">
            <w:pPr>
              <w:pStyle w:val="tabletext"/>
              <w:numPr>
                <w:ilvl w:val="1"/>
                <w:numId w:val="6"/>
              </w:numPr>
              <w:ind w:left="600" w:hanging="284"/>
              <w:rPr>
                <w:rFonts w:cstheme="minorHAnsi"/>
                <w:sz w:val="22"/>
                <w:szCs w:val="22"/>
              </w:rPr>
            </w:pPr>
            <w:r w:rsidRPr="00662F9A">
              <w:rPr>
                <w:rFonts w:cstheme="minorHAnsi"/>
                <w:sz w:val="22"/>
                <w:szCs w:val="22"/>
              </w:rPr>
              <w:t>basic haircuts.</w:t>
            </w:r>
          </w:p>
          <w:p w14:paraId="60BAB75A" w14:textId="77777777" w:rsidR="00C751E3" w:rsidRDefault="00C751E3" w:rsidP="00C751E3">
            <w:pPr>
              <w:pStyle w:val="tabletext"/>
              <w:numPr>
                <w:ilvl w:val="0"/>
                <w:numId w:val="6"/>
              </w:numPr>
              <w:ind w:left="351" w:hanging="351"/>
              <w:rPr>
                <w:rFonts w:cstheme="minorHAnsi"/>
                <w:sz w:val="22"/>
                <w:szCs w:val="22"/>
              </w:rPr>
            </w:pPr>
            <w:r w:rsidRPr="00662F9A">
              <w:rPr>
                <w:rFonts w:cstheme="minorHAnsi"/>
                <w:sz w:val="22"/>
                <w:szCs w:val="22"/>
              </w:rPr>
              <w:t xml:space="preserve">the purchase of tools, books and equipment required by a </w:t>
            </w:r>
            <w:r>
              <w:rPr>
                <w:rFonts w:cstheme="minorHAnsi"/>
                <w:sz w:val="22"/>
                <w:szCs w:val="22"/>
              </w:rPr>
              <w:t>Participant</w:t>
            </w:r>
            <w:r w:rsidRPr="00662F9A">
              <w:rPr>
                <w:rFonts w:cstheme="minorHAnsi"/>
                <w:sz w:val="22"/>
                <w:szCs w:val="22"/>
              </w:rPr>
              <w:t xml:space="preserve"> to find an</w:t>
            </w:r>
            <w:r>
              <w:rPr>
                <w:rFonts w:cstheme="minorHAnsi"/>
                <w:sz w:val="22"/>
                <w:szCs w:val="22"/>
              </w:rPr>
              <w:t>d keep a job, or to participate in training, programs, PaTH Internships and/or education</w:t>
            </w:r>
            <w:r w:rsidRPr="00662F9A">
              <w:rPr>
                <w:rFonts w:cstheme="minorHAnsi"/>
                <w:sz w:val="22"/>
                <w:szCs w:val="22"/>
              </w:rPr>
              <w:t>.</w:t>
            </w:r>
          </w:p>
          <w:p w14:paraId="218C2EDD" w14:textId="4621820A" w:rsidR="000F7419" w:rsidRPr="00F16056" w:rsidRDefault="00C751E3" w:rsidP="00F16056">
            <w:pPr>
              <w:pStyle w:val="tabletext"/>
              <w:numPr>
                <w:ilvl w:val="0"/>
                <w:numId w:val="6"/>
              </w:numPr>
              <w:ind w:left="351" w:hanging="351"/>
              <w:rPr>
                <w:rFonts w:cstheme="minorHAnsi"/>
                <w:sz w:val="22"/>
                <w:szCs w:val="22"/>
              </w:rPr>
            </w:pPr>
            <w:r w:rsidRPr="009F0AB1">
              <w:rPr>
                <w:rFonts w:cstheme="minorHAnsi"/>
                <w:sz w:val="22"/>
                <w:szCs w:val="22"/>
              </w:rPr>
              <w:t xml:space="preserve">Comprehensive </w:t>
            </w:r>
            <w:r w:rsidR="009F0AB1">
              <w:rPr>
                <w:rFonts w:cstheme="minorHAnsi"/>
                <w:sz w:val="22"/>
                <w:szCs w:val="22"/>
              </w:rPr>
              <w:t>s</w:t>
            </w:r>
            <w:r w:rsidR="009F0AB1" w:rsidRPr="009F0AB1">
              <w:rPr>
                <w:rFonts w:cstheme="minorHAnsi"/>
                <w:sz w:val="22"/>
                <w:szCs w:val="22"/>
              </w:rPr>
              <w:t xml:space="preserve">kills </w:t>
            </w:r>
            <w:r w:rsidR="009F0AB1">
              <w:rPr>
                <w:rFonts w:cstheme="minorHAnsi"/>
                <w:sz w:val="22"/>
                <w:szCs w:val="22"/>
              </w:rPr>
              <w:t>a</w:t>
            </w:r>
            <w:r w:rsidR="009F0AB1" w:rsidRPr="009F0AB1">
              <w:rPr>
                <w:rFonts w:cstheme="minorHAnsi"/>
                <w:sz w:val="22"/>
                <w:szCs w:val="22"/>
              </w:rPr>
              <w:t xml:space="preserve">ssessments </w:t>
            </w:r>
            <w:r w:rsidRPr="009F0AB1">
              <w:rPr>
                <w:rFonts w:cstheme="minorHAnsi"/>
                <w:sz w:val="22"/>
                <w:szCs w:val="22"/>
              </w:rPr>
              <w:t>for Stronger Transitions Eligible Participants</w:t>
            </w:r>
            <w:r w:rsidR="000F7419">
              <w:rPr>
                <w:rFonts w:cstheme="minorHAnsi"/>
                <w:sz w:val="22"/>
                <w:szCs w:val="22"/>
              </w:rPr>
              <w:t xml:space="preserve">. </w:t>
            </w:r>
            <w:r w:rsidR="000F7419" w:rsidRPr="00F16056">
              <w:rPr>
                <w:rFonts w:cstheme="minorHAnsi"/>
                <w:sz w:val="22"/>
                <w:szCs w:val="22"/>
              </w:rPr>
              <w:t>Assessments claimed prior to 1 July 2020 must be conducted by Transition Services Panel Members, or any other Departmental approved service providers.</w:t>
            </w:r>
            <w:r w:rsidR="000F7419" w:rsidRPr="00F16056" w:rsidDel="00E30F87">
              <w:rPr>
                <w:rFonts w:cstheme="minorHAnsi"/>
                <w:sz w:val="22"/>
                <w:szCs w:val="22"/>
              </w:rPr>
              <w:t xml:space="preserve"> </w:t>
            </w:r>
          </w:p>
          <w:p w14:paraId="35FC6EF6" w14:textId="7751F642" w:rsidR="00C751E3" w:rsidRDefault="00C751E3" w:rsidP="00C751E3">
            <w:pPr>
              <w:pStyle w:val="tabletext"/>
              <w:numPr>
                <w:ilvl w:val="0"/>
                <w:numId w:val="6"/>
              </w:numPr>
              <w:ind w:left="351" w:hanging="351"/>
              <w:rPr>
                <w:rFonts w:cstheme="minorHAnsi"/>
                <w:sz w:val="22"/>
                <w:szCs w:val="22"/>
              </w:rPr>
            </w:pPr>
            <w:r>
              <w:rPr>
                <w:rFonts w:cstheme="minorHAnsi"/>
                <w:sz w:val="22"/>
                <w:szCs w:val="22"/>
              </w:rPr>
              <w:t>p</w:t>
            </w:r>
            <w:r w:rsidRPr="00662F9A">
              <w:rPr>
                <w:rFonts w:cstheme="minorHAnsi"/>
                <w:sz w:val="22"/>
                <w:szCs w:val="22"/>
              </w:rPr>
              <w:t>re-employment medical check</w:t>
            </w:r>
            <w:r>
              <w:rPr>
                <w:rFonts w:cstheme="minorHAnsi"/>
                <w:sz w:val="22"/>
                <w:szCs w:val="22"/>
              </w:rPr>
              <w:t>s</w:t>
            </w:r>
          </w:p>
          <w:p w14:paraId="3039A99C" w14:textId="77777777" w:rsidR="00C751E3" w:rsidRDefault="00C751E3" w:rsidP="00C751E3">
            <w:pPr>
              <w:pStyle w:val="tabletext"/>
              <w:numPr>
                <w:ilvl w:val="0"/>
                <w:numId w:val="6"/>
              </w:numPr>
              <w:ind w:left="351" w:hanging="351"/>
              <w:rPr>
                <w:rFonts w:cstheme="minorHAnsi"/>
                <w:sz w:val="22"/>
                <w:szCs w:val="22"/>
              </w:rPr>
            </w:pPr>
            <w:r>
              <w:rPr>
                <w:rFonts w:cstheme="minorHAnsi"/>
                <w:sz w:val="22"/>
                <w:szCs w:val="22"/>
              </w:rPr>
              <w:t>Working with Children checks</w:t>
            </w:r>
          </w:p>
          <w:p w14:paraId="2F2CA222" w14:textId="77777777" w:rsidR="00C751E3" w:rsidRDefault="00C751E3" w:rsidP="00C751E3">
            <w:pPr>
              <w:pStyle w:val="tabletext"/>
              <w:numPr>
                <w:ilvl w:val="0"/>
                <w:numId w:val="6"/>
              </w:numPr>
              <w:ind w:left="351" w:hanging="351"/>
              <w:rPr>
                <w:rFonts w:cstheme="minorHAnsi"/>
                <w:sz w:val="22"/>
                <w:szCs w:val="22"/>
              </w:rPr>
            </w:pPr>
            <w:r>
              <w:rPr>
                <w:rFonts w:cstheme="minorHAnsi"/>
                <w:sz w:val="22"/>
                <w:szCs w:val="22"/>
              </w:rPr>
              <w:t>Working with Vulnerable People checks</w:t>
            </w:r>
          </w:p>
          <w:p w14:paraId="5E54D1BC" w14:textId="77777777" w:rsidR="00C751E3" w:rsidRDefault="00C751E3" w:rsidP="00C751E3">
            <w:pPr>
              <w:pStyle w:val="tabletext"/>
              <w:numPr>
                <w:ilvl w:val="0"/>
                <w:numId w:val="6"/>
              </w:numPr>
              <w:ind w:left="351" w:hanging="351"/>
              <w:rPr>
                <w:rFonts w:cstheme="minorHAnsi"/>
                <w:sz w:val="22"/>
                <w:szCs w:val="22"/>
              </w:rPr>
            </w:pPr>
            <w:r>
              <w:rPr>
                <w:rFonts w:cstheme="minorHAnsi"/>
                <w:sz w:val="22"/>
                <w:szCs w:val="22"/>
              </w:rPr>
              <w:t>police checks for Participants (including for Work for the Dole Participants)</w:t>
            </w:r>
          </w:p>
          <w:p w14:paraId="76FEFBE6" w14:textId="77777777" w:rsidR="00C751E3" w:rsidRPr="00FB0734" w:rsidRDefault="00C751E3" w:rsidP="00C751E3">
            <w:pPr>
              <w:pStyle w:val="tabletext"/>
              <w:numPr>
                <w:ilvl w:val="0"/>
                <w:numId w:val="6"/>
              </w:numPr>
              <w:ind w:left="351" w:hanging="351"/>
              <w:rPr>
                <w:rFonts w:ascii="Calibri" w:hAnsi="Calibri" w:cs="Calibri"/>
                <w:szCs w:val="22"/>
              </w:rPr>
            </w:pPr>
            <w:r>
              <w:rPr>
                <w:rFonts w:cstheme="minorHAnsi"/>
                <w:sz w:val="22"/>
                <w:szCs w:val="22"/>
              </w:rPr>
              <w:t xml:space="preserve">out-of-pocket expenses for child care, after-school care or holiday care not covered by Government rebates. </w:t>
            </w:r>
          </w:p>
        </w:tc>
        <w:tc>
          <w:tcPr>
            <w:tcW w:w="6247" w:type="dxa"/>
          </w:tcPr>
          <w:p w14:paraId="2F12A842" w14:textId="77777777" w:rsidR="00D06AC7" w:rsidRPr="00A37677" w:rsidRDefault="00D06AC7" w:rsidP="00D06AC7">
            <w:pPr>
              <w:pStyle w:val="tabletext"/>
              <w:rPr>
                <w:rFonts w:cstheme="minorHAnsi"/>
                <w:sz w:val="22"/>
                <w:szCs w:val="22"/>
              </w:rPr>
            </w:pPr>
            <w:r w:rsidRPr="00A37677">
              <w:rPr>
                <w:rFonts w:cstheme="minorHAnsi"/>
                <w:sz w:val="22"/>
                <w:szCs w:val="22"/>
              </w:rPr>
              <w:t xml:space="preserve">In addition to the Documentary Evidence requirements for all purchases detailed in the </w:t>
            </w:r>
            <w:hyperlink w:anchor="_Summary_of_required" w:history="1">
              <w:r w:rsidRPr="002F45B8">
                <w:rPr>
                  <w:rStyle w:val="Hyperlink"/>
                  <w:sz w:val="22"/>
                  <w:szCs w:val="22"/>
                </w:rPr>
                <w:t>Summary of required Documentary Evidence</w:t>
              </w:r>
            </w:hyperlink>
            <w:r w:rsidRPr="00A37677">
              <w:rPr>
                <w:rFonts w:cstheme="minorHAnsi"/>
                <w:color w:val="2E74B5" w:themeColor="accent1" w:themeShade="BF"/>
                <w:sz w:val="22"/>
                <w:szCs w:val="22"/>
              </w:rPr>
              <w:t xml:space="preserve"> </w:t>
            </w:r>
            <w:r w:rsidRPr="00A37677">
              <w:rPr>
                <w:rFonts w:cstheme="minorHAnsi"/>
                <w:sz w:val="22"/>
                <w:szCs w:val="22"/>
              </w:rPr>
              <w:t xml:space="preserve">section, </w:t>
            </w:r>
            <w:r>
              <w:rPr>
                <w:rFonts w:cstheme="minorHAnsi"/>
                <w:sz w:val="22"/>
                <w:szCs w:val="22"/>
              </w:rPr>
              <w:t>a Provider</w:t>
            </w:r>
            <w:r w:rsidRPr="00A37677">
              <w:rPr>
                <w:rFonts w:cstheme="minorHAnsi"/>
                <w:sz w:val="22"/>
                <w:szCs w:val="22"/>
              </w:rPr>
              <w:t xml:space="preserve"> must: </w:t>
            </w:r>
          </w:p>
          <w:p w14:paraId="79CDAFA2" w14:textId="77777777" w:rsidR="00C751E3" w:rsidRPr="00D06AC7" w:rsidRDefault="00C751E3" w:rsidP="00D06AC7">
            <w:pPr>
              <w:pStyle w:val="tabletext"/>
              <w:numPr>
                <w:ilvl w:val="0"/>
                <w:numId w:val="6"/>
              </w:numPr>
              <w:rPr>
                <w:rFonts w:cstheme="minorHAnsi"/>
                <w:sz w:val="22"/>
                <w:szCs w:val="22"/>
              </w:rPr>
            </w:pPr>
            <w:r>
              <w:rPr>
                <w:rFonts w:cstheme="minorHAnsi"/>
                <w:sz w:val="22"/>
                <w:szCs w:val="22"/>
              </w:rPr>
              <w:t>enter a comment in the commitment in the Department’s IT System, outlining the purchase.</w:t>
            </w:r>
          </w:p>
        </w:tc>
      </w:tr>
    </w:tbl>
    <w:p w14:paraId="0DF4BB7D" w14:textId="77777777" w:rsidR="00A623DF" w:rsidRDefault="00A623DF" w:rsidP="00A623DF">
      <w:pPr>
        <w:pStyle w:val="guidelinedeedref"/>
        <w:ind w:left="0"/>
        <w:sectPr w:rsidR="00A623DF" w:rsidSect="001C29B4">
          <w:pgSz w:w="23811" w:h="16838" w:orient="landscape" w:code="8"/>
          <w:pgMar w:top="1276" w:right="1134" w:bottom="993" w:left="1440" w:header="708" w:footer="709" w:gutter="0"/>
          <w:cols w:space="708"/>
          <w:docGrid w:linePitch="360"/>
        </w:sectPr>
      </w:pPr>
    </w:p>
    <w:p w14:paraId="00C96469" w14:textId="77777777" w:rsidR="00A623DF" w:rsidRPr="00B80802" w:rsidRDefault="00A623DF" w:rsidP="00A623DF">
      <w:pPr>
        <w:pStyle w:val="Heading1"/>
        <w:numPr>
          <w:ilvl w:val="0"/>
          <w:numId w:val="7"/>
        </w:numPr>
      </w:pPr>
      <w:bookmarkStart w:id="92" w:name="_Document_Change_History"/>
      <w:bookmarkStart w:id="93" w:name="_Toc468875624"/>
      <w:bookmarkStart w:id="94" w:name="_Toc21002820"/>
      <w:bookmarkStart w:id="95" w:name="_Toc51762296"/>
      <w:bookmarkEnd w:id="92"/>
      <w:r>
        <w:lastRenderedPageBreak/>
        <w:t>Document Change History</w:t>
      </w:r>
      <w:bookmarkEnd w:id="93"/>
      <w:bookmarkEnd w:id="94"/>
      <w:bookmarkEnd w:id="95"/>
    </w:p>
    <w:tbl>
      <w:tblPr>
        <w:tblW w:w="9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ocument Change History"/>
      </w:tblPr>
      <w:tblGrid>
        <w:gridCol w:w="1433"/>
        <w:gridCol w:w="1560"/>
        <w:gridCol w:w="1417"/>
        <w:gridCol w:w="5118"/>
      </w:tblGrid>
      <w:tr w:rsidR="00A623DF" w:rsidRPr="001C174B" w14:paraId="6EDA9A49" w14:textId="77777777" w:rsidTr="00295678">
        <w:trPr>
          <w:tblHeader/>
          <w:jc w:val="center"/>
        </w:trPr>
        <w:tc>
          <w:tcPr>
            <w:tcW w:w="1433" w:type="dxa"/>
            <w:shd w:val="clear" w:color="auto" w:fill="auto"/>
            <w:vAlign w:val="center"/>
          </w:tcPr>
          <w:p w14:paraId="491DB3E3" w14:textId="77777777" w:rsidR="00A623DF" w:rsidRPr="0029228B" w:rsidRDefault="00A623DF" w:rsidP="00295678">
            <w:pPr>
              <w:pStyle w:val="TableHeadingCentred"/>
              <w:rPr>
                <w:rFonts w:asciiTheme="minorHAnsi" w:hAnsiTheme="minorHAnsi" w:cstheme="minorHAnsi"/>
                <w:color w:val="auto"/>
                <w:szCs w:val="22"/>
              </w:rPr>
            </w:pPr>
            <w:r w:rsidRPr="0029228B">
              <w:rPr>
                <w:rFonts w:asciiTheme="minorHAnsi" w:hAnsiTheme="minorHAnsi" w:cstheme="minorHAnsi"/>
                <w:color w:val="auto"/>
                <w:szCs w:val="22"/>
              </w:rPr>
              <w:t>Version</w:t>
            </w:r>
          </w:p>
        </w:tc>
        <w:tc>
          <w:tcPr>
            <w:tcW w:w="1560" w:type="dxa"/>
            <w:shd w:val="clear" w:color="auto" w:fill="auto"/>
            <w:vAlign w:val="center"/>
          </w:tcPr>
          <w:p w14:paraId="138AD799" w14:textId="77777777" w:rsidR="00A623DF" w:rsidRPr="0029228B" w:rsidRDefault="00A623DF" w:rsidP="00295678">
            <w:pPr>
              <w:pStyle w:val="TableHeadingCentred"/>
              <w:rPr>
                <w:rFonts w:asciiTheme="minorHAnsi" w:hAnsiTheme="minorHAnsi" w:cstheme="minorHAnsi"/>
                <w:color w:val="auto"/>
                <w:szCs w:val="22"/>
              </w:rPr>
            </w:pPr>
            <w:r w:rsidRPr="0029228B">
              <w:rPr>
                <w:rFonts w:asciiTheme="minorHAnsi" w:hAnsiTheme="minorHAnsi" w:cstheme="minorHAnsi"/>
                <w:color w:val="auto"/>
                <w:szCs w:val="22"/>
              </w:rPr>
              <w:t>Effective date</w:t>
            </w:r>
          </w:p>
        </w:tc>
        <w:tc>
          <w:tcPr>
            <w:tcW w:w="1417" w:type="dxa"/>
            <w:shd w:val="clear" w:color="auto" w:fill="auto"/>
            <w:vAlign w:val="center"/>
          </w:tcPr>
          <w:p w14:paraId="507DB623" w14:textId="77777777" w:rsidR="00A623DF" w:rsidRPr="0029228B" w:rsidRDefault="00A623DF" w:rsidP="00295678">
            <w:pPr>
              <w:pStyle w:val="TableHeadingCentred"/>
              <w:rPr>
                <w:rFonts w:asciiTheme="minorHAnsi" w:hAnsiTheme="minorHAnsi" w:cstheme="minorHAnsi"/>
                <w:color w:val="auto"/>
                <w:szCs w:val="22"/>
              </w:rPr>
            </w:pPr>
            <w:r w:rsidRPr="0029228B">
              <w:rPr>
                <w:rFonts w:asciiTheme="minorHAnsi" w:hAnsiTheme="minorHAnsi" w:cstheme="minorHAnsi"/>
                <w:color w:val="auto"/>
                <w:szCs w:val="22"/>
              </w:rPr>
              <w:t>End date</w:t>
            </w:r>
          </w:p>
        </w:tc>
        <w:tc>
          <w:tcPr>
            <w:tcW w:w="5118" w:type="dxa"/>
            <w:shd w:val="clear" w:color="auto" w:fill="auto"/>
            <w:vAlign w:val="center"/>
          </w:tcPr>
          <w:p w14:paraId="01C14758" w14:textId="77777777" w:rsidR="00A623DF" w:rsidRPr="0029228B" w:rsidRDefault="00A623DF" w:rsidP="00295678">
            <w:pPr>
              <w:pStyle w:val="TableHeadingCentred"/>
              <w:rPr>
                <w:rFonts w:asciiTheme="minorHAnsi" w:hAnsiTheme="minorHAnsi" w:cstheme="minorHAnsi"/>
                <w:color w:val="auto"/>
                <w:szCs w:val="22"/>
              </w:rPr>
            </w:pPr>
            <w:r w:rsidRPr="0029228B">
              <w:rPr>
                <w:rFonts w:asciiTheme="minorHAnsi" w:hAnsiTheme="minorHAnsi" w:cstheme="minorHAnsi"/>
                <w:color w:val="auto"/>
                <w:szCs w:val="22"/>
              </w:rPr>
              <w:t xml:space="preserve">Change and location </w:t>
            </w:r>
          </w:p>
        </w:tc>
      </w:tr>
      <w:tr w:rsidR="00F90CE7" w:rsidRPr="001C174B" w14:paraId="009D8E82" w14:textId="77777777" w:rsidTr="005D0151">
        <w:trPr>
          <w:trHeight w:val="382"/>
          <w:jc w:val="center"/>
        </w:trPr>
        <w:tc>
          <w:tcPr>
            <w:tcW w:w="1433" w:type="dxa"/>
            <w:tcBorders>
              <w:top w:val="single" w:sz="4" w:space="0" w:color="auto"/>
              <w:left w:val="single" w:sz="4" w:space="0" w:color="auto"/>
              <w:bottom w:val="single" w:sz="4" w:space="0" w:color="auto"/>
              <w:right w:val="single" w:sz="4" w:space="0" w:color="auto"/>
            </w:tcBorders>
          </w:tcPr>
          <w:p w14:paraId="097C5E80" w14:textId="3CC8EB42" w:rsidR="00F90CE7" w:rsidRPr="008905F8" w:rsidRDefault="00F90CE7" w:rsidP="00E776B8">
            <w:pPr>
              <w:pStyle w:val="TableTextCentred"/>
              <w:rPr>
                <w:rFonts w:asciiTheme="minorHAnsi" w:hAnsiTheme="minorHAnsi" w:cstheme="minorHAnsi"/>
                <w:sz w:val="21"/>
                <w:szCs w:val="21"/>
              </w:rPr>
            </w:pPr>
            <w:r>
              <w:rPr>
                <w:rFonts w:asciiTheme="minorHAnsi" w:hAnsiTheme="minorHAnsi" w:cstheme="minorHAnsi"/>
                <w:sz w:val="21"/>
                <w:szCs w:val="21"/>
              </w:rPr>
              <w:t>2.0</w:t>
            </w:r>
          </w:p>
        </w:tc>
        <w:tc>
          <w:tcPr>
            <w:tcW w:w="1560" w:type="dxa"/>
            <w:tcBorders>
              <w:top w:val="single" w:sz="4" w:space="0" w:color="auto"/>
              <w:left w:val="single" w:sz="4" w:space="0" w:color="auto"/>
              <w:bottom w:val="single" w:sz="4" w:space="0" w:color="auto"/>
              <w:right w:val="single" w:sz="4" w:space="0" w:color="auto"/>
            </w:tcBorders>
          </w:tcPr>
          <w:p w14:paraId="0341FDA4" w14:textId="6962500E" w:rsidR="00F90CE7" w:rsidRDefault="00F90CE7" w:rsidP="00E776B8">
            <w:pPr>
              <w:pStyle w:val="TableTextCentred"/>
              <w:rPr>
                <w:rFonts w:asciiTheme="minorHAnsi" w:hAnsiTheme="minorHAnsi" w:cstheme="minorHAnsi"/>
                <w:sz w:val="21"/>
                <w:szCs w:val="21"/>
              </w:rPr>
            </w:pPr>
            <w:r>
              <w:rPr>
                <w:rFonts w:asciiTheme="minorHAnsi" w:hAnsiTheme="minorHAnsi" w:cstheme="minorHAnsi"/>
                <w:sz w:val="21"/>
                <w:szCs w:val="21"/>
              </w:rPr>
              <w:t>01 07 20</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5AC2558" w14:textId="34F550F1" w:rsidR="00F90CE7" w:rsidRDefault="00F90CE7" w:rsidP="00E776B8">
            <w:pPr>
              <w:pStyle w:val="TableTextCentred"/>
              <w:rPr>
                <w:rFonts w:asciiTheme="minorHAnsi" w:hAnsiTheme="minorHAnsi" w:cstheme="minorHAnsi"/>
                <w:sz w:val="21"/>
                <w:szCs w:val="21"/>
              </w:rPr>
            </w:pPr>
            <w:r>
              <w:rPr>
                <w:rFonts w:asciiTheme="minorHAnsi" w:hAnsiTheme="minorHAnsi" w:cstheme="minorHAnsi"/>
                <w:sz w:val="21"/>
                <w:szCs w:val="21"/>
              </w:rPr>
              <w:t>31 12 20</w:t>
            </w:r>
          </w:p>
        </w:tc>
        <w:tc>
          <w:tcPr>
            <w:tcW w:w="5118" w:type="dxa"/>
            <w:tcBorders>
              <w:top w:val="single" w:sz="4" w:space="0" w:color="auto"/>
              <w:left w:val="single" w:sz="4" w:space="0" w:color="auto"/>
              <w:bottom w:val="single" w:sz="4" w:space="0" w:color="auto"/>
              <w:right w:val="single" w:sz="4" w:space="0" w:color="auto"/>
            </w:tcBorders>
          </w:tcPr>
          <w:p w14:paraId="360FE5B3" w14:textId="77777777" w:rsidR="00F90CE7" w:rsidRPr="002A1DE7" w:rsidRDefault="00F90CE7" w:rsidP="00F90CE7">
            <w:pPr>
              <w:pStyle w:val="guidelinedocinfo"/>
              <w:rPr>
                <w:b/>
                <w:color w:val="auto"/>
                <w:sz w:val="20"/>
              </w:rPr>
            </w:pPr>
            <w:r w:rsidRPr="002A1DE7">
              <w:rPr>
                <w:b/>
                <w:color w:val="auto"/>
                <w:sz w:val="20"/>
              </w:rPr>
              <w:t>Policy changes:</w:t>
            </w:r>
          </w:p>
          <w:p w14:paraId="1AEBD999" w14:textId="77777777" w:rsidR="00F90CE7" w:rsidRPr="0041504C" w:rsidRDefault="00F90CE7" w:rsidP="00F90CE7">
            <w:pPr>
              <w:pStyle w:val="guidelinedocinfo"/>
              <w:rPr>
                <w:sz w:val="20"/>
              </w:rPr>
            </w:pPr>
            <w:r w:rsidRPr="008F6D57">
              <w:rPr>
                <w:color w:val="auto"/>
                <w:sz w:val="20"/>
              </w:rPr>
              <w:t xml:space="preserve">(Pgs. 10, 13 and 16) Career Transition Assistance (CTA) removed due to new funding arrangements from </w:t>
            </w:r>
            <w:r w:rsidRPr="0041504C">
              <w:rPr>
                <w:color w:val="auto"/>
                <w:sz w:val="20"/>
              </w:rPr>
              <w:t>4</w:t>
            </w:r>
            <w:r w:rsidRPr="008F6D57">
              <w:rPr>
                <w:color w:val="auto"/>
                <w:sz w:val="20"/>
              </w:rPr>
              <w:t> May 2020.</w:t>
            </w:r>
          </w:p>
          <w:p w14:paraId="650786B1" w14:textId="77777777" w:rsidR="00F90CE7" w:rsidRDefault="00F90CE7" w:rsidP="00F90CE7">
            <w:pPr>
              <w:pStyle w:val="guidelinedocinfo"/>
              <w:rPr>
                <w:color w:val="auto"/>
                <w:sz w:val="20"/>
              </w:rPr>
            </w:pPr>
            <w:r w:rsidRPr="002A1DE7">
              <w:rPr>
                <w:color w:val="auto"/>
                <w:sz w:val="20"/>
              </w:rPr>
              <w:t>(</w:t>
            </w:r>
            <w:r>
              <w:rPr>
                <w:color w:val="auto"/>
                <w:sz w:val="20"/>
              </w:rPr>
              <w:t>P</w:t>
            </w:r>
            <w:r w:rsidRPr="002A1DE7">
              <w:rPr>
                <w:color w:val="auto"/>
                <w:sz w:val="20"/>
              </w:rPr>
              <w:t>g</w:t>
            </w:r>
            <w:r>
              <w:rPr>
                <w:color w:val="auto"/>
                <w:sz w:val="20"/>
              </w:rPr>
              <w:t>s</w:t>
            </w:r>
            <w:r w:rsidRPr="002A1DE7">
              <w:rPr>
                <w:color w:val="auto"/>
                <w:sz w:val="20"/>
              </w:rPr>
              <w:t>. 1</w:t>
            </w:r>
            <w:r>
              <w:rPr>
                <w:color w:val="auto"/>
                <w:sz w:val="20"/>
              </w:rPr>
              <w:t>9</w:t>
            </w:r>
            <w:r w:rsidRPr="002A1DE7">
              <w:rPr>
                <w:color w:val="auto"/>
                <w:sz w:val="20"/>
              </w:rPr>
              <w:t>) Professional Services ‘Did Not Attend’ limit changed to three missed ‘Did Not Attends’ per Participant, per Provider, per Financial Year.</w:t>
            </w:r>
          </w:p>
          <w:p w14:paraId="6CC71269" w14:textId="77777777" w:rsidR="00F90CE7" w:rsidRPr="002A1DE7" w:rsidRDefault="00F90CE7" w:rsidP="00F90CE7">
            <w:pPr>
              <w:pStyle w:val="guidelinedocinfo"/>
              <w:rPr>
                <w:b/>
                <w:color w:val="auto"/>
                <w:sz w:val="20"/>
              </w:rPr>
            </w:pPr>
            <w:r w:rsidRPr="002A1DE7">
              <w:rPr>
                <w:b/>
                <w:color w:val="auto"/>
                <w:sz w:val="20"/>
              </w:rPr>
              <w:t>Wording changes:</w:t>
            </w:r>
          </w:p>
          <w:p w14:paraId="2C1A2561" w14:textId="77777777" w:rsidR="00F90CE7" w:rsidRPr="002A1DE7" w:rsidRDefault="00F90CE7" w:rsidP="00F90CE7">
            <w:pPr>
              <w:pStyle w:val="guidelinedocinfo"/>
              <w:rPr>
                <w:color w:val="auto"/>
                <w:sz w:val="20"/>
              </w:rPr>
            </w:pPr>
            <w:r w:rsidRPr="002A1DE7">
              <w:rPr>
                <w:color w:val="auto"/>
                <w:sz w:val="20"/>
              </w:rPr>
              <w:t>Minor editorial changes throughout.</w:t>
            </w:r>
          </w:p>
          <w:p w14:paraId="0218CEFC" w14:textId="77777777" w:rsidR="00F90CE7" w:rsidRPr="002A1DE7" w:rsidRDefault="00F90CE7" w:rsidP="00F90CE7">
            <w:pPr>
              <w:pStyle w:val="guidelinedocinfo"/>
              <w:rPr>
                <w:color w:val="auto"/>
                <w:sz w:val="20"/>
              </w:rPr>
            </w:pPr>
            <w:r w:rsidRPr="002A1DE7">
              <w:rPr>
                <w:color w:val="auto"/>
                <w:sz w:val="20"/>
              </w:rPr>
              <w:t>(</w:t>
            </w:r>
            <w:r>
              <w:rPr>
                <w:color w:val="auto"/>
                <w:sz w:val="20"/>
              </w:rPr>
              <w:t>P</w:t>
            </w:r>
            <w:r w:rsidRPr="002A1DE7">
              <w:rPr>
                <w:color w:val="auto"/>
                <w:sz w:val="20"/>
              </w:rPr>
              <w:t>g</w:t>
            </w:r>
            <w:r>
              <w:rPr>
                <w:color w:val="auto"/>
                <w:sz w:val="20"/>
              </w:rPr>
              <w:t>s</w:t>
            </w:r>
            <w:r w:rsidRPr="002A1DE7">
              <w:rPr>
                <w:color w:val="auto"/>
                <w:sz w:val="20"/>
              </w:rPr>
              <w:t xml:space="preserve">. </w:t>
            </w:r>
            <w:r>
              <w:rPr>
                <w:color w:val="auto"/>
                <w:sz w:val="20"/>
              </w:rPr>
              <w:t>4 and 7</w:t>
            </w:r>
            <w:r w:rsidRPr="002A1DE7">
              <w:rPr>
                <w:color w:val="auto"/>
                <w:sz w:val="20"/>
              </w:rPr>
              <w:t>) Clarifying Employment Fund credits and access for participants transferred from the Volunteer Online Employment Services Trial.</w:t>
            </w:r>
          </w:p>
          <w:p w14:paraId="0CC95DBC" w14:textId="77777777" w:rsidR="00F90CE7" w:rsidRPr="002A1DE7" w:rsidRDefault="00F90CE7" w:rsidP="00F90CE7">
            <w:pPr>
              <w:pStyle w:val="guidelinedocinfo"/>
              <w:rPr>
                <w:color w:val="auto"/>
                <w:sz w:val="20"/>
              </w:rPr>
            </w:pPr>
            <w:r w:rsidRPr="002A1DE7">
              <w:rPr>
                <w:color w:val="auto"/>
                <w:sz w:val="20"/>
              </w:rPr>
              <w:t>(</w:t>
            </w:r>
            <w:r>
              <w:rPr>
                <w:color w:val="auto"/>
                <w:sz w:val="20"/>
              </w:rPr>
              <w:t>P</w:t>
            </w:r>
            <w:r w:rsidRPr="002A1DE7">
              <w:rPr>
                <w:color w:val="auto"/>
                <w:sz w:val="20"/>
              </w:rPr>
              <w:t xml:space="preserve">g. </w:t>
            </w:r>
            <w:r>
              <w:rPr>
                <w:color w:val="auto"/>
                <w:sz w:val="20"/>
              </w:rPr>
              <w:t>6</w:t>
            </w:r>
            <w:r w:rsidRPr="002A1DE7">
              <w:rPr>
                <w:color w:val="auto"/>
                <w:sz w:val="20"/>
              </w:rPr>
              <w:t>) Updated reference to Employment Fund category to Certified Interpreters</w:t>
            </w:r>
            <w:r>
              <w:rPr>
                <w:color w:val="auto"/>
                <w:sz w:val="20"/>
              </w:rPr>
              <w:t>.</w:t>
            </w:r>
          </w:p>
          <w:p w14:paraId="241DB404" w14:textId="77777777" w:rsidR="00F90CE7" w:rsidRPr="002A1DE7" w:rsidRDefault="00F90CE7" w:rsidP="00F90CE7">
            <w:pPr>
              <w:pStyle w:val="guidelinedocinfo"/>
              <w:rPr>
                <w:color w:val="auto"/>
                <w:sz w:val="20"/>
              </w:rPr>
            </w:pPr>
            <w:r w:rsidRPr="002A1DE7">
              <w:rPr>
                <w:color w:val="auto"/>
                <w:sz w:val="20"/>
              </w:rPr>
              <w:t>(</w:t>
            </w:r>
            <w:r>
              <w:rPr>
                <w:color w:val="auto"/>
                <w:sz w:val="20"/>
              </w:rPr>
              <w:t>P</w:t>
            </w:r>
            <w:r w:rsidRPr="002A1DE7">
              <w:rPr>
                <w:color w:val="auto"/>
                <w:sz w:val="20"/>
              </w:rPr>
              <w:t>g</w:t>
            </w:r>
            <w:r>
              <w:rPr>
                <w:color w:val="auto"/>
                <w:sz w:val="20"/>
              </w:rPr>
              <w:t>s</w:t>
            </w:r>
            <w:r w:rsidRPr="002A1DE7">
              <w:rPr>
                <w:color w:val="auto"/>
                <w:sz w:val="20"/>
              </w:rPr>
              <w:t xml:space="preserve">. </w:t>
            </w:r>
            <w:r>
              <w:rPr>
                <w:color w:val="auto"/>
                <w:sz w:val="20"/>
              </w:rPr>
              <w:t>4, 8 and 22</w:t>
            </w:r>
            <w:r w:rsidRPr="002A1DE7">
              <w:rPr>
                <w:color w:val="auto"/>
                <w:sz w:val="20"/>
              </w:rPr>
              <w:t xml:space="preserve">) Clarifying Stronger Transitions Package closed to new entrants </w:t>
            </w:r>
            <w:r>
              <w:rPr>
                <w:color w:val="auto"/>
                <w:sz w:val="20"/>
              </w:rPr>
              <w:t>on</w:t>
            </w:r>
            <w:r w:rsidRPr="002A1DE7">
              <w:rPr>
                <w:color w:val="auto"/>
                <w:sz w:val="20"/>
              </w:rPr>
              <w:t xml:space="preserve"> 1 July</w:t>
            </w:r>
            <w:r>
              <w:rPr>
                <w:color w:val="auto"/>
                <w:sz w:val="20"/>
              </w:rPr>
              <w:t xml:space="preserve"> </w:t>
            </w:r>
            <w:r w:rsidRPr="002A1DE7">
              <w:rPr>
                <w:color w:val="auto"/>
                <w:sz w:val="20"/>
              </w:rPr>
              <w:t>2020.</w:t>
            </w:r>
          </w:p>
          <w:p w14:paraId="08214D42" w14:textId="112A9258" w:rsidR="00F90CE7" w:rsidRPr="009C7E45" w:rsidRDefault="00F90CE7" w:rsidP="00861F51">
            <w:pPr>
              <w:pStyle w:val="guidelinedocinfo"/>
              <w:rPr>
                <w:rFonts w:cstheme="minorHAnsi"/>
                <w:szCs w:val="20"/>
              </w:rPr>
            </w:pPr>
            <w:r w:rsidRPr="002A1DE7">
              <w:rPr>
                <w:color w:val="auto"/>
                <w:sz w:val="20"/>
              </w:rPr>
              <w:t>(</w:t>
            </w:r>
            <w:r>
              <w:rPr>
                <w:color w:val="auto"/>
                <w:sz w:val="20"/>
              </w:rPr>
              <w:t>P</w:t>
            </w:r>
            <w:r w:rsidRPr="002A1DE7">
              <w:rPr>
                <w:color w:val="auto"/>
                <w:sz w:val="20"/>
              </w:rPr>
              <w:t xml:space="preserve">g. </w:t>
            </w:r>
            <w:r>
              <w:rPr>
                <w:color w:val="auto"/>
                <w:sz w:val="20"/>
              </w:rPr>
              <w:t>8</w:t>
            </w:r>
            <w:r w:rsidRPr="008F6D57">
              <w:rPr>
                <w:color w:val="auto"/>
                <w:sz w:val="20"/>
              </w:rPr>
              <w:t>) Added CTA as a prohibited item</w:t>
            </w:r>
            <w:r>
              <w:rPr>
                <w:color w:val="auto"/>
                <w:sz w:val="20"/>
              </w:rPr>
              <w:t xml:space="preserve"> from 4 May 2020 and r</w:t>
            </w:r>
            <w:r w:rsidRPr="002A1DE7">
              <w:rPr>
                <w:color w:val="auto"/>
                <w:sz w:val="20"/>
              </w:rPr>
              <w:t>emoved Seasonal Work Incentive Payments from the prohibited items list as trial ended 30 June 2019.</w:t>
            </w:r>
          </w:p>
        </w:tc>
      </w:tr>
      <w:tr w:rsidR="00E776B8" w:rsidRPr="001C174B" w14:paraId="235E2F30" w14:textId="77777777" w:rsidTr="005D0151">
        <w:trPr>
          <w:trHeight w:val="382"/>
          <w:jc w:val="center"/>
        </w:trPr>
        <w:tc>
          <w:tcPr>
            <w:tcW w:w="1433" w:type="dxa"/>
            <w:tcBorders>
              <w:top w:val="single" w:sz="4" w:space="0" w:color="auto"/>
              <w:left w:val="single" w:sz="4" w:space="0" w:color="auto"/>
              <w:bottom w:val="single" w:sz="4" w:space="0" w:color="auto"/>
              <w:right w:val="single" w:sz="4" w:space="0" w:color="auto"/>
            </w:tcBorders>
          </w:tcPr>
          <w:p w14:paraId="5CFB3293" w14:textId="54B82FC4" w:rsidR="00E776B8" w:rsidRPr="008905F8" w:rsidRDefault="00E776B8" w:rsidP="00E776B8">
            <w:pPr>
              <w:pStyle w:val="TableTextCentred"/>
              <w:rPr>
                <w:rFonts w:asciiTheme="minorHAnsi" w:hAnsiTheme="minorHAnsi" w:cstheme="minorHAnsi"/>
                <w:sz w:val="21"/>
                <w:szCs w:val="21"/>
              </w:rPr>
            </w:pPr>
            <w:r w:rsidRPr="008905F8">
              <w:rPr>
                <w:rFonts w:asciiTheme="minorHAnsi" w:hAnsiTheme="minorHAnsi" w:cstheme="minorHAnsi"/>
                <w:sz w:val="21"/>
                <w:szCs w:val="21"/>
              </w:rPr>
              <w:t>1.0</w:t>
            </w:r>
          </w:p>
        </w:tc>
        <w:tc>
          <w:tcPr>
            <w:tcW w:w="1560" w:type="dxa"/>
            <w:tcBorders>
              <w:top w:val="single" w:sz="4" w:space="0" w:color="auto"/>
              <w:left w:val="single" w:sz="4" w:space="0" w:color="auto"/>
              <w:bottom w:val="single" w:sz="4" w:space="0" w:color="auto"/>
              <w:right w:val="single" w:sz="4" w:space="0" w:color="auto"/>
            </w:tcBorders>
          </w:tcPr>
          <w:p w14:paraId="2BD0155C" w14:textId="0E8682FE" w:rsidR="00E776B8" w:rsidRPr="008905F8" w:rsidRDefault="00E776B8" w:rsidP="00E776B8">
            <w:pPr>
              <w:pStyle w:val="TableTextCentred"/>
              <w:rPr>
                <w:rFonts w:asciiTheme="minorHAnsi" w:hAnsiTheme="minorHAnsi" w:cstheme="minorHAnsi"/>
                <w:sz w:val="21"/>
                <w:szCs w:val="21"/>
              </w:rPr>
            </w:pPr>
            <w:r>
              <w:rPr>
                <w:rFonts w:asciiTheme="minorHAnsi" w:hAnsiTheme="minorHAnsi" w:cstheme="minorHAnsi"/>
                <w:sz w:val="21"/>
                <w:szCs w:val="21"/>
              </w:rPr>
              <w:t>04 11</w:t>
            </w:r>
            <w:r w:rsidRPr="008905F8">
              <w:rPr>
                <w:rFonts w:asciiTheme="minorHAnsi" w:hAnsiTheme="minorHAnsi" w:cstheme="minorHAnsi"/>
                <w:sz w:val="21"/>
                <w:szCs w:val="21"/>
              </w:rPr>
              <w:t xml:space="preserve"> 1</w:t>
            </w:r>
            <w:r>
              <w:rPr>
                <w:rFonts w:asciiTheme="minorHAnsi" w:hAnsiTheme="minorHAnsi" w:cstheme="minorHAnsi"/>
                <w:sz w:val="21"/>
                <w:szCs w:val="21"/>
              </w:rPr>
              <w:t>9</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8D029BC" w14:textId="595BF714" w:rsidR="00E776B8" w:rsidRPr="008905F8" w:rsidRDefault="00E776B8" w:rsidP="00E776B8">
            <w:pPr>
              <w:pStyle w:val="TableTextCentred"/>
              <w:rPr>
                <w:rFonts w:asciiTheme="minorHAnsi" w:hAnsiTheme="minorHAnsi" w:cstheme="minorHAnsi"/>
                <w:sz w:val="21"/>
                <w:szCs w:val="21"/>
              </w:rPr>
            </w:pPr>
            <w:r>
              <w:rPr>
                <w:rFonts w:asciiTheme="minorHAnsi" w:hAnsiTheme="minorHAnsi" w:cstheme="minorHAnsi"/>
                <w:sz w:val="21"/>
                <w:szCs w:val="21"/>
              </w:rPr>
              <w:t>30 06 20</w:t>
            </w:r>
          </w:p>
        </w:tc>
        <w:tc>
          <w:tcPr>
            <w:tcW w:w="5118" w:type="dxa"/>
            <w:tcBorders>
              <w:top w:val="single" w:sz="4" w:space="0" w:color="auto"/>
              <w:left w:val="single" w:sz="4" w:space="0" w:color="auto"/>
              <w:bottom w:val="single" w:sz="4" w:space="0" w:color="auto"/>
              <w:right w:val="single" w:sz="4" w:space="0" w:color="auto"/>
            </w:tcBorders>
          </w:tcPr>
          <w:p w14:paraId="14DDFDCC" w14:textId="46181987" w:rsidR="00E776B8" w:rsidRPr="009C7E45" w:rsidRDefault="00E776B8" w:rsidP="005D0151">
            <w:pPr>
              <w:pStyle w:val="guidelinechanges"/>
              <w:spacing w:before="120" w:after="120"/>
              <w:ind w:left="360" w:hanging="360"/>
              <w:rPr>
                <w:rFonts w:cstheme="minorHAnsi"/>
                <w:szCs w:val="20"/>
              </w:rPr>
            </w:pPr>
            <w:r w:rsidRPr="009C7E45">
              <w:rPr>
                <w:rFonts w:cstheme="minorHAnsi"/>
                <w:szCs w:val="20"/>
              </w:rPr>
              <w:t>Original version of document.</w:t>
            </w:r>
          </w:p>
        </w:tc>
      </w:tr>
    </w:tbl>
    <w:p w14:paraId="44390E1C" w14:textId="6E252D19" w:rsidR="006476E9" w:rsidRDefault="006476E9" w:rsidP="00A623DF"/>
    <w:p w14:paraId="0CBE2715" w14:textId="77777777" w:rsidR="006476E9" w:rsidRDefault="006476E9">
      <w:r>
        <w:br w:type="page"/>
      </w:r>
    </w:p>
    <w:p w14:paraId="5BDF32CB" w14:textId="77777777" w:rsidR="00A623DF" w:rsidRPr="00D718A0" w:rsidRDefault="00A623DF" w:rsidP="00A623DF">
      <w:pPr>
        <w:pBdr>
          <w:top w:val="single" w:sz="4" w:space="1" w:color="auto"/>
        </w:pBdr>
        <w:ind w:right="-23"/>
        <w:rPr>
          <w:sz w:val="20"/>
        </w:rPr>
      </w:pPr>
      <w:r w:rsidRPr="00D718A0">
        <w:rPr>
          <w:sz w:val="20"/>
        </w:rPr>
        <w:lastRenderedPageBreak/>
        <w:t xml:space="preserve">All capitalised terms in this Guideline have the same meaning as in the </w:t>
      </w:r>
      <w:r w:rsidR="00D718A0" w:rsidRPr="00D718A0">
        <w:rPr>
          <w:sz w:val="20"/>
        </w:rPr>
        <w:t>New Employment Services Trial Deed 2019¬22</w:t>
      </w:r>
      <w:r w:rsidRPr="00D718A0">
        <w:rPr>
          <w:sz w:val="20"/>
        </w:rPr>
        <w:t xml:space="preserve"> (the Deed). </w:t>
      </w:r>
    </w:p>
    <w:p w14:paraId="1CAC81CC" w14:textId="411DF0E0" w:rsidR="00A623DF" w:rsidRPr="00D718A0" w:rsidRDefault="00A623DF" w:rsidP="00A623DF">
      <w:pPr>
        <w:pBdr>
          <w:top w:val="single" w:sz="4" w:space="1" w:color="auto"/>
        </w:pBdr>
        <w:ind w:right="-23"/>
        <w:rPr>
          <w:sz w:val="20"/>
        </w:rPr>
      </w:pPr>
      <w:r w:rsidRPr="00D718A0">
        <w:rPr>
          <w:sz w:val="20"/>
        </w:rPr>
        <w:t xml:space="preserve">References to </w:t>
      </w:r>
      <w:r w:rsidR="007B014B">
        <w:rPr>
          <w:sz w:val="20"/>
        </w:rPr>
        <w:t xml:space="preserve">NEST </w:t>
      </w:r>
      <w:r w:rsidRPr="00D718A0">
        <w:rPr>
          <w:sz w:val="20"/>
        </w:rPr>
        <w:t>Provider mean</w:t>
      </w:r>
      <w:r w:rsidR="007B014B">
        <w:rPr>
          <w:sz w:val="20"/>
        </w:rPr>
        <w:t>s</w:t>
      </w:r>
      <w:r w:rsidRPr="00D718A0">
        <w:rPr>
          <w:sz w:val="20"/>
        </w:rPr>
        <w:t xml:space="preserve"> </w:t>
      </w:r>
      <w:r w:rsidR="000F733A" w:rsidRPr="00D718A0">
        <w:rPr>
          <w:sz w:val="20"/>
        </w:rPr>
        <w:t>a</w:t>
      </w:r>
      <w:r w:rsidRPr="00D718A0">
        <w:rPr>
          <w:sz w:val="20"/>
        </w:rPr>
        <w:t xml:space="preserve"> </w:t>
      </w:r>
      <w:r w:rsidR="007B014B">
        <w:rPr>
          <w:sz w:val="20"/>
        </w:rPr>
        <w:t xml:space="preserve">New </w:t>
      </w:r>
      <w:r w:rsidRPr="00D718A0">
        <w:rPr>
          <w:sz w:val="20"/>
        </w:rPr>
        <w:t xml:space="preserve">Employment </w:t>
      </w:r>
      <w:r w:rsidR="007B014B">
        <w:rPr>
          <w:sz w:val="20"/>
        </w:rPr>
        <w:t xml:space="preserve">Services Trial </w:t>
      </w:r>
      <w:r w:rsidRPr="00D718A0">
        <w:rPr>
          <w:sz w:val="20"/>
        </w:rPr>
        <w:t xml:space="preserve">Provider and references to </w:t>
      </w:r>
      <w:r w:rsidR="005D0DAA">
        <w:rPr>
          <w:sz w:val="20"/>
        </w:rPr>
        <w:t>Participant</w:t>
      </w:r>
      <w:r w:rsidRPr="00D718A0">
        <w:rPr>
          <w:sz w:val="20"/>
        </w:rPr>
        <w:t xml:space="preserve">/s mean </w:t>
      </w:r>
      <w:r w:rsidR="00D718A0">
        <w:rPr>
          <w:sz w:val="20"/>
        </w:rPr>
        <w:t>Enhanced Services</w:t>
      </w:r>
      <w:r w:rsidR="00D718A0" w:rsidRPr="00D718A0">
        <w:rPr>
          <w:sz w:val="20"/>
        </w:rPr>
        <w:t xml:space="preserve"> </w:t>
      </w:r>
      <w:r w:rsidRPr="00D718A0">
        <w:rPr>
          <w:sz w:val="20"/>
        </w:rPr>
        <w:t xml:space="preserve">Participants as defined in the Deed. </w:t>
      </w:r>
    </w:p>
    <w:p w14:paraId="20FC1FBD" w14:textId="77777777" w:rsidR="007B1F55" w:rsidRPr="00054B18" w:rsidRDefault="00A623DF" w:rsidP="00A623DF">
      <w:pPr>
        <w:rPr>
          <w:sz w:val="20"/>
        </w:rPr>
      </w:pPr>
      <w:r w:rsidRPr="00D718A0">
        <w:rPr>
          <w:sz w:val="20"/>
        </w:rPr>
        <w:t xml:space="preserve">This Guideline is not a stand-alone document and does not contain the entirety of Employment Services Providers’ obligations. </w:t>
      </w:r>
      <w:r w:rsidR="00F17968">
        <w:rPr>
          <w:sz w:val="20"/>
        </w:rPr>
        <w:t xml:space="preserve">Providers </w:t>
      </w:r>
      <w:r w:rsidRPr="00D718A0">
        <w:rPr>
          <w:sz w:val="20"/>
        </w:rPr>
        <w:t xml:space="preserve">must read </w:t>
      </w:r>
      <w:r w:rsidR="00F17968">
        <w:rPr>
          <w:sz w:val="20"/>
        </w:rPr>
        <w:t xml:space="preserve">it </w:t>
      </w:r>
      <w:r w:rsidRPr="00D718A0">
        <w:rPr>
          <w:sz w:val="20"/>
        </w:rPr>
        <w:t xml:space="preserve">in conjunction with the Deed and any relevant Guidelines or reference material issued by </w:t>
      </w:r>
      <w:r w:rsidR="00D718A0" w:rsidRPr="00D718A0">
        <w:rPr>
          <w:sz w:val="20"/>
        </w:rPr>
        <w:t xml:space="preserve">the </w:t>
      </w:r>
      <w:r w:rsidRPr="00D718A0">
        <w:rPr>
          <w:sz w:val="20"/>
        </w:rPr>
        <w:t>Department under or in connection with the Deed.</w:t>
      </w:r>
    </w:p>
    <w:sectPr w:rsidR="007B1F55" w:rsidRPr="00054B18" w:rsidSect="008F36FB">
      <w:headerReference w:type="default" r:id="rId54"/>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842DE" w14:textId="77777777" w:rsidR="00725B09" w:rsidRDefault="00725B09" w:rsidP="008A194F">
      <w:pPr>
        <w:spacing w:before="0"/>
      </w:pPr>
      <w:r>
        <w:separator/>
      </w:r>
    </w:p>
  </w:endnote>
  <w:endnote w:type="continuationSeparator" w:id="0">
    <w:p w14:paraId="32DC0B17" w14:textId="77777777" w:rsidR="00725B09" w:rsidRDefault="00725B09" w:rsidP="008A194F">
      <w:pPr>
        <w:spacing w:before="0"/>
      </w:pPr>
      <w:r>
        <w:continuationSeparator/>
      </w:r>
    </w:p>
  </w:endnote>
  <w:endnote w:type="continuationNotice" w:id="1">
    <w:p w14:paraId="6FB356CC" w14:textId="77777777" w:rsidR="00725B09" w:rsidRDefault="00725B0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418C" w14:textId="524AB565" w:rsidR="00F90CE7" w:rsidRDefault="00F90CE7" w:rsidP="005D0151">
    <w:pPr>
      <w:pStyle w:val="Footer"/>
      <w:pBdr>
        <w:top w:val="single" w:sz="4" w:space="1" w:color="767171" w:themeColor="background2" w:themeShade="80"/>
      </w:pBdr>
    </w:pPr>
    <w:r w:rsidRPr="004A2C22">
      <w:rPr>
        <w:sz w:val="20"/>
        <w:szCs w:val="20"/>
      </w:rPr>
      <w:t xml:space="preserve">Effective from: </w:t>
    </w:r>
    <w:r>
      <w:rPr>
        <w:sz w:val="20"/>
        <w:szCs w:val="20"/>
      </w:rPr>
      <w:t xml:space="preserve">1 </w:t>
    </w:r>
    <w:r w:rsidR="004421F4">
      <w:rPr>
        <w:sz w:val="20"/>
        <w:szCs w:val="20"/>
      </w:rPr>
      <w:t>January</w:t>
    </w:r>
    <w:r>
      <w:rPr>
        <w:sz w:val="20"/>
        <w:szCs w:val="20"/>
      </w:rPr>
      <w:t xml:space="preserve"> 202</w:t>
    </w:r>
    <w:r w:rsidR="004421F4">
      <w:rPr>
        <w:sz w:val="20"/>
        <w:szCs w:val="20"/>
      </w:rPr>
      <w:t>1</w:t>
    </w:r>
    <w:r w:rsidRPr="004A2C22">
      <w:rPr>
        <w:sz w:val="20"/>
        <w:szCs w:val="20"/>
      </w:rPr>
      <w:tab/>
    </w:r>
    <w:r w:rsidRPr="00675C00">
      <w:rPr>
        <w:sz w:val="20"/>
      </w:rPr>
      <w:t>TRIM ID:</w:t>
    </w:r>
    <w:r w:rsidR="0092675E">
      <w:rPr>
        <w:sz w:val="20"/>
      </w:rPr>
      <w:t xml:space="preserve"> </w:t>
    </w:r>
    <w:r w:rsidR="0092675E" w:rsidRPr="0092675E">
      <w:rPr>
        <w:sz w:val="20"/>
      </w:rPr>
      <w:t>D20/1075410</w:t>
    </w:r>
    <w:r w:rsidRPr="004A2C22">
      <w:rPr>
        <w:sz w:val="20"/>
        <w:szCs w:val="20"/>
      </w:rPr>
      <w:tab/>
      <w:t xml:space="preserve">Page </w:t>
    </w:r>
    <w:r w:rsidRPr="004A2C22">
      <w:rPr>
        <w:sz w:val="20"/>
        <w:szCs w:val="20"/>
      </w:rPr>
      <w:fldChar w:fldCharType="begin"/>
    </w:r>
    <w:r w:rsidRPr="004A2C22">
      <w:rPr>
        <w:sz w:val="20"/>
        <w:szCs w:val="20"/>
      </w:rPr>
      <w:instrText xml:space="preserve"> PAGE   \* MERGEFORMAT </w:instrText>
    </w:r>
    <w:r w:rsidRPr="004A2C22">
      <w:rPr>
        <w:sz w:val="20"/>
        <w:szCs w:val="20"/>
      </w:rPr>
      <w:fldChar w:fldCharType="separate"/>
    </w:r>
    <w:r w:rsidR="00D62327">
      <w:rPr>
        <w:noProof/>
        <w:sz w:val="20"/>
        <w:szCs w:val="20"/>
      </w:rPr>
      <w:t>7</w:t>
    </w:r>
    <w:r w:rsidRPr="004A2C22">
      <w:rPr>
        <w:sz w:val="20"/>
        <w:szCs w:val="20"/>
      </w:rPr>
      <w:fldChar w:fldCharType="end"/>
    </w:r>
    <w:r w:rsidRPr="004A2C22">
      <w:rPr>
        <w:sz w:val="20"/>
        <w:szCs w:val="20"/>
      </w:rPr>
      <w:t xml:space="preserve"> of </w:t>
    </w:r>
    <w:r w:rsidRPr="004A2C22">
      <w:rPr>
        <w:sz w:val="20"/>
        <w:szCs w:val="20"/>
      </w:rPr>
      <w:fldChar w:fldCharType="begin"/>
    </w:r>
    <w:r w:rsidRPr="004A2C22">
      <w:rPr>
        <w:sz w:val="20"/>
        <w:szCs w:val="20"/>
      </w:rPr>
      <w:instrText xml:space="preserve"> NUMPAGES   \* MERGEFORMAT </w:instrText>
    </w:r>
    <w:r w:rsidRPr="004A2C22">
      <w:rPr>
        <w:sz w:val="20"/>
        <w:szCs w:val="20"/>
      </w:rPr>
      <w:fldChar w:fldCharType="separate"/>
    </w:r>
    <w:r w:rsidR="00D62327">
      <w:rPr>
        <w:noProof/>
        <w:sz w:val="20"/>
        <w:szCs w:val="20"/>
      </w:rPr>
      <w:t>24</w:t>
    </w:r>
    <w:r w:rsidRPr="004A2C22">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EC1ED" w14:textId="77777777" w:rsidR="00725B09" w:rsidRDefault="00725B09" w:rsidP="008A194F">
      <w:pPr>
        <w:spacing w:before="0"/>
      </w:pPr>
      <w:r>
        <w:separator/>
      </w:r>
    </w:p>
  </w:footnote>
  <w:footnote w:type="continuationSeparator" w:id="0">
    <w:p w14:paraId="2587D771" w14:textId="77777777" w:rsidR="00725B09" w:rsidRDefault="00725B09" w:rsidP="008A194F">
      <w:pPr>
        <w:spacing w:before="0"/>
      </w:pPr>
      <w:r>
        <w:continuationSeparator/>
      </w:r>
    </w:p>
  </w:footnote>
  <w:footnote w:type="continuationNotice" w:id="1">
    <w:p w14:paraId="0983E57B" w14:textId="77777777" w:rsidR="00725B09" w:rsidRDefault="00725B09">
      <w:pPr>
        <w:spacing w:before="0"/>
      </w:pPr>
    </w:p>
  </w:footnote>
  <w:footnote w:id="2">
    <w:p w14:paraId="4BE14CD4" w14:textId="54DEC0EB" w:rsidR="00F90CE7" w:rsidRDefault="00F90CE7" w:rsidP="00A623DF">
      <w:pPr>
        <w:pStyle w:val="FootnoteText"/>
      </w:pPr>
      <w:r w:rsidRPr="004C1034">
        <w:rPr>
          <w:rStyle w:val="FootnoteReference"/>
        </w:rPr>
        <w:footnoteRef/>
      </w:r>
      <w:r w:rsidRPr="004C1034">
        <w:t xml:space="preserve"> </w:t>
      </w:r>
      <w:r>
        <w:rPr>
          <w:lang w:val="en-US" w:eastAsia="en-AU"/>
        </w:rPr>
        <w:t>T</w:t>
      </w:r>
      <w:r w:rsidRPr="004C1034">
        <w:rPr>
          <w:lang w:val="en-US" w:eastAsia="en-AU"/>
        </w:rPr>
        <w:t xml:space="preserve">he </w:t>
      </w:r>
      <w:hyperlink r:id="rId1" w:history="1">
        <w:r w:rsidRPr="008D7CC8">
          <w:rPr>
            <w:rStyle w:val="Hyperlink"/>
            <w:lang w:val="en-US" w:eastAsia="en-AU"/>
          </w:rPr>
          <w:t>Allied Health Professionals Australia website</w:t>
        </w:r>
      </w:hyperlink>
      <w:r>
        <w:rPr>
          <w:lang w:val="en-US" w:eastAsia="en-AU"/>
        </w:rPr>
        <w:t xml:space="preserve"> (at www.</w:t>
      </w:r>
      <w:r w:rsidRPr="007B014B">
        <w:t xml:space="preserve"> </w:t>
      </w:r>
      <w:r w:rsidRPr="007B014B">
        <w:rPr>
          <w:lang w:val="en-US" w:eastAsia="en-AU"/>
        </w:rPr>
        <w:t>ahpa.com.au/</w:t>
      </w:r>
      <w:r>
        <w:rPr>
          <w:lang w:val="en-US" w:eastAsia="en-AU"/>
        </w:rPr>
        <w:t>) has further information on allied health professionals.</w:t>
      </w:r>
    </w:p>
  </w:footnote>
  <w:footnote w:id="3">
    <w:p w14:paraId="1D4D3AA2" w14:textId="77777777" w:rsidR="00F90CE7" w:rsidRPr="00054B18" w:rsidRDefault="00F90CE7" w:rsidP="00A623DF">
      <w:pPr>
        <w:pStyle w:val="FootnoteText"/>
      </w:pPr>
      <w:r w:rsidRPr="00054B18">
        <w:rPr>
          <w:rStyle w:val="FootnoteReference"/>
        </w:rPr>
        <w:footnoteRef/>
      </w:r>
      <w:r w:rsidRPr="00054B18">
        <w:t xml:space="preserve"> Australian Psychological Society (APS) defines psychological reports as: “A report is a psychological service that is directly requested by the referring agency or client. Thus</w:t>
      </w:r>
      <w:r>
        <w:t>,</w:t>
      </w:r>
      <w:r w:rsidRPr="00054B18">
        <w:t xml:space="preserve"> reports prepared for clients are usually done based on explicitly written consent from the client or legal guardian. A report is a structured presentation typically including such components as relevant psychosocial history, history of presenting issues, present condition, test results, option and intervention recommendation. Professional letters to medical or other referral agencies concerning treatment needs of the client are not considered to constitute reports. Note that report preparation time is inclusive of relevant file and document review. “(Definition sourced from APS national schedule of recommended fees and item numbers for psychological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2E686" w14:textId="68312AAC" w:rsidR="00F90CE7" w:rsidRDefault="00F90CE7" w:rsidP="00E112A1">
    <w:pPr>
      <w:pStyle w:val="Header"/>
      <w:pBdr>
        <w:bottom w:val="single" w:sz="4" w:space="1" w:color="767171" w:themeColor="background2" w:themeShade="80"/>
      </w:pBdr>
      <w:tabs>
        <w:tab w:val="clear" w:pos="4513"/>
      </w:tabs>
    </w:pPr>
    <w:r>
      <w:t>New Employment Services Trial Guideline</w:t>
    </w:r>
    <w:r>
      <w:tab/>
    </w:r>
    <w:r>
      <w:rPr>
        <w:b/>
      </w:rPr>
      <w:t>NEST Using the Employment Fund General Account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9D27A" w14:textId="77777777" w:rsidR="00F90CE7" w:rsidRDefault="00F90CE7" w:rsidP="00E112A1">
    <w:pPr>
      <w:pStyle w:val="Header"/>
      <w:pBdr>
        <w:bottom w:val="single" w:sz="4" w:space="1" w:color="767171" w:themeColor="background2" w:themeShade="80"/>
      </w:pBdr>
      <w:tabs>
        <w:tab w:val="clear" w:pos="4513"/>
      </w:tabs>
    </w:pPr>
    <w:r>
      <w:t>Enhanced Services Guideline</w:t>
    </w:r>
    <w:r>
      <w:tab/>
    </w:r>
    <w:r>
      <w:rPr>
        <w:b/>
      </w:rPr>
      <w:t>NEST Using the Employment Fund General Account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9B"/>
    <w:multiLevelType w:val="hybridMultilevel"/>
    <w:tmpl w:val="958E127A"/>
    <w:lvl w:ilvl="0" w:tplc="E086FCDA">
      <w:start w:val="1"/>
      <w:numFmt w:val="bullet"/>
      <w:lvlText w:val=""/>
      <w:lvlJc w:val="left"/>
      <w:pPr>
        <w:ind w:left="786" w:hanging="360"/>
      </w:pPr>
      <w:rPr>
        <w:rFonts w:ascii="Symbol" w:hAnsi="Symbol" w:hint="default"/>
        <w:color w:val="auto"/>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FE75AE"/>
    <w:multiLevelType w:val="hybridMultilevel"/>
    <w:tmpl w:val="D4CE9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AC3C80"/>
    <w:multiLevelType w:val="multilevel"/>
    <w:tmpl w:val="96DE5D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CB29C0"/>
    <w:multiLevelType w:val="hybridMultilevel"/>
    <w:tmpl w:val="C79A192E"/>
    <w:lvl w:ilvl="0" w:tplc="E086FCDA">
      <w:start w:val="1"/>
      <w:numFmt w:val="bullet"/>
      <w:lvlText w:val=""/>
      <w:lvlJc w:val="left"/>
      <w:pPr>
        <w:ind w:left="720" w:hanging="360"/>
      </w:pPr>
      <w:rPr>
        <w:rFonts w:ascii="Symbol" w:hAnsi="Symbol" w:hint="default"/>
        <w:color w:val="auto"/>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EE26F7"/>
    <w:multiLevelType w:val="hybridMultilevel"/>
    <w:tmpl w:val="1F7C36A0"/>
    <w:lvl w:ilvl="0" w:tplc="E086FCDA">
      <w:start w:val="1"/>
      <w:numFmt w:val="bullet"/>
      <w:lvlText w:val=""/>
      <w:lvlJc w:val="left"/>
      <w:pPr>
        <w:ind w:left="720" w:hanging="360"/>
      </w:pPr>
      <w:rPr>
        <w:rFonts w:ascii="Symbol" w:hAnsi="Symbol" w:hint="default"/>
        <w:color w:val="auto"/>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F90865"/>
    <w:multiLevelType w:val="hybridMultilevel"/>
    <w:tmpl w:val="F84AE66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1C1047A8"/>
    <w:multiLevelType w:val="hybridMultilevel"/>
    <w:tmpl w:val="523C5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8E7778"/>
    <w:multiLevelType w:val="hybridMultilevel"/>
    <w:tmpl w:val="2B608596"/>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22990730"/>
    <w:multiLevelType w:val="hybridMultilevel"/>
    <w:tmpl w:val="CD6EA302"/>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3216D3D"/>
    <w:multiLevelType w:val="hybridMultilevel"/>
    <w:tmpl w:val="F3521184"/>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1704A0E"/>
    <w:multiLevelType w:val="hybridMultilevel"/>
    <w:tmpl w:val="F22C3D9A"/>
    <w:lvl w:ilvl="0" w:tplc="CBC023C8">
      <w:start w:val="1"/>
      <w:numFmt w:val="bullet"/>
      <w:pStyle w:val="docev"/>
      <w:lvlText w:val=""/>
      <w:lvlJc w:val="left"/>
      <w:pPr>
        <w:ind w:left="720" w:hanging="360"/>
      </w:pPr>
      <w:rPr>
        <w:rFonts w:ascii="Wingdings" w:hAnsi="Wingdings"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B111CA"/>
    <w:multiLevelType w:val="hybridMultilevel"/>
    <w:tmpl w:val="2EE8C472"/>
    <w:lvl w:ilvl="0" w:tplc="E9AE60E4">
      <w:start w:val="1"/>
      <w:numFmt w:val="bullet"/>
      <w:pStyle w:val="WHS"/>
      <w:lvlText w:val=""/>
      <w:lvlJc w:val="left"/>
      <w:pPr>
        <w:ind w:left="360" w:hanging="360"/>
      </w:pPr>
      <w:rPr>
        <w:rFonts w:ascii="Webdings" w:hAnsi="Webdings" w:hint="default"/>
        <w:b/>
        <w:i w:val="0"/>
        <w:color w:val="FF000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377F1E"/>
    <w:multiLevelType w:val="hybridMultilevel"/>
    <w:tmpl w:val="D902DE3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0820AF2"/>
    <w:multiLevelType w:val="hybridMultilevel"/>
    <w:tmpl w:val="35045CCA"/>
    <w:lvl w:ilvl="0" w:tplc="29EEE73C">
      <w:start w:val="1"/>
      <w:numFmt w:val="bullet"/>
      <w:lvlText w:val=""/>
      <w:lvlJc w:val="left"/>
      <w:pPr>
        <w:ind w:left="1071" w:hanging="360"/>
      </w:pPr>
      <w:rPr>
        <w:rFonts w:ascii="Symbol" w:hAnsi="Symbol" w:hint="default"/>
      </w:rPr>
    </w:lvl>
    <w:lvl w:ilvl="1" w:tplc="0C090005">
      <w:start w:val="1"/>
      <w:numFmt w:val="bullet"/>
      <w:lvlText w:val=""/>
      <w:lvlJc w:val="left"/>
      <w:pPr>
        <w:ind w:left="1791" w:hanging="360"/>
      </w:pPr>
      <w:rPr>
        <w:rFonts w:ascii="Wingdings" w:hAnsi="Wingdings" w:hint="default"/>
      </w:rPr>
    </w:lvl>
    <w:lvl w:ilvl="2" w:tplc="0C090005">
      <w:start w:val="1"/>
      <w:numFmt w:val="bullet"/>
      <w:lvlText w:val=""/>
      <w:lvlJc w:val="left"/>
      <w:pPr>
        <w:ind w:left="2511" w:hanging="360"/>
      </w:pPr>
      <w:rPr>
        <w:rFonts w:ascii="Wingdings" w:hAnsi="Wingdings" w:hint="default"/>
      </w:rPr>
    </w:lvl>
    <w:lvl w:ilvl="3" w:tplc="0C090001" w:tentative="1">
      <w:start w:val="1"/>
      <w:numFmt w:val="bullet"/>
      <w:lvlText w:val=""/>
      <w:lvlJc w:val="left"/>
      <w:pPr>
        <w:ind w:left="3231" w:hanging="360"/>
      </w:pPr>
      <w:rPr>
        <w:rFonts w:ascii="Symbol" w:hAnsi="Symbol" w:hint="default"/>
      </w:rPr>
    </w:lvl>
    <w:lvl w:ilvl="4" w:tplc="0C090003" w:tentative="1">
      <w:start w:val="1"/>
      <w:numFmt w:val="bullet"/>
      <w:lvlText w:val="o"/>
      <w:lvlJc w:val="left"/>
      <w:pPr>
        <w:ind w:left="3951" w:hanging="360"/>
      </w:pPr>
      <w:rPr>
        <w:rFonts w:ascii="Courier New" w:hAnsi="Courier New" w:cs="Courier New" w:hint="default"/>
      </w:rPr>
    </w:lvl>
    <w:lvl w:ilvl="5" w:tplc="0C090005" w:tentative="1">
      <w:start w:val="1"/>
      <w:numFmt w:val="bullet"/>
      <w:lvlText w:val=""/>
      <w:lvlJc w:val="left"/>
      <w:pPr>
        <w:ind w:left="4671" w:hanging="360"/>
      </w:pPr>
      <w:rPr>
        <w:rFonts w:ascii="Wingdings" w:hAnsi="Wingdings" w:hint="default"/>
      </w:rPr>
    </w:lvl>
    <w:lvl w:ilvl="6" w:tplc="0C090001" w:tentative="1">
      <w:start w:val="1"/>
      <w:numFmt w:val="bullet"/>
      <w:lvlText w:val=""/>
      <w:lvlJc w:val="left"/>
      <w:pPr>
        <w:ind w:left="5391" w:hanging="360"/>
      </w:pPr>
      <w:rPr>
        <w:rFonts w:ascii="Symbol" w:hAnsi="Symbol" w:hint="default"/>
      </w:rPr>
    </w:lvl>
    <w:lvl w:ilvl="7" w:tplc="0C090003" w:tentative="1">
      <w:start w:val="1"/>
      <w:numFmt w:val="bullet"/>
      <w:lvlText w:val="o"/>
      <w:lvlJc w:val="left"/>
      <w:pPr>
        <w:ind w:left="6111" w:hanging="360"/>
      </w:pPr>
      <w:rPr>
        <w:rFonts w:ascii="Courier New" w:hAnsi="Courier New" w:cs="Courier New" w:hint="default"/>
      </w:rPr>
    </w:lvl>
    <w:lvl w:ilvl="8" w:tplc="0C090005" w:tentative="1">
      <w:start w:val="1"/>
      <w:numFmt w:val="bullet"/>
      <w:lvlText w:val=""/>
      <w:lvlJc w:val="left"/>
      <w:pPr>
        <w:ind w:left="6831" w:hanging="360"/>
      </w:pPr>
      <w:rPr>
        <w:rFonts w:ascii="Wingdings" w:hAnsi="Wingdings" w:hint="default"/>
      </w:rPr>
    </w:lvl>
  </w:abstractNum>
  <w:abstractNum w:abstractNumId="14" w15:restartNumberingAfterBreak="0">
    <w:nsid w:val="427B38E3"/>
    <w:multiLevelType w:val="hybridMultilevel"/>
    <w:tmpl w:val="F574E3F6"/>
    <w:lvl w:ilvl="0" w:tplc="52E6C24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A05851"/>
    <w:multiLevelType w:val="hybridMultilevel"/>
    <w:tmpl w:val="DD26BEE0"/>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15:restartNumberingAfterBreak="0">
    <w:nsid w:val="55DF1F44"/>
    <w:multiLevelType w:val="hybridMultilevel"/>
    <w:tmpl w:val="7DF6EBC4"/>
    <w:lvl w:ilvl="0" w:tplc="EFA64B3A">
      <w:start w:val="1"/>
      <w:numFmt w:val="bullet"/>
      <w:pStyle w:val="Systemstep"/>
      <w:lvlText w:val=""/>
      <w:lvlJc w:val="left"/>
      <w:pPr>
        <w:ind w:left="360" w:hanging="360"/>
      </w:pPr>
      <w:rPr>
        <w:rFonts w:ascii="Wingdings" w:hAnsi="Wingdings" w:hint="default"/>
        <w:b w:val="0"/>
        <w:i w:val="0"/>
        <w:sz w:val="28"/>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7" w15:restartNumberingAfterBreak="0">
    <w:nsid w:val="5E3A3090"/>
    <w:multiLevelType w:val="hybridMultilevel"/>
    <w:tmpl w:val="5286541A"/>
    <w:lvl w:ilvl="0" w:tplc="FF00279E">
      <w:start w:val="1"/>
      <w:numFmt w:val="decimal"/>
      <w:pStyle w:val="Heading1"/>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18459BB"/>
    <w:multiLevelType w:val="hybridMultilevel"/>
    <w:tmpl w:val="6A246B1A"/>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15:restartNumberingAfterBreak="0">
    <w:nsid w:val="65BD58D4"/>
    <w:multiLevelType w:val="hybridMultilevel"/>
    <w:tmpl w:val="2924BC32"/>
    <w:lvl w:ilvl="0" w:tplc="E086FCDA">
      <w:start w:val="1"/>
      <w:numFmt w:val="bullet"/>
      <w:lvlText w:val=""/>
      <w:lvlJc w:val="left"/>
      <w:pPr>
        <w:ind w:left="720" w:hanging="360"/>
      </w:pPr>
      <w:rPr>
        <w:rFonts w:ascii="Symbol" w:hAnsi="Symbol" w:hint="default"/>
        <w:color w:val="auto"/>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30626B"/>
    <w:multiLevelType w:val="hybridMultilevel"/>
    <w:tmpl w:val="DFB82FDE"/>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1" w15:restartNumberingAfterBreak="0">
    <w:nsid w:val="69F06C79"/>
    <w:multiLevelType w:val="hybridMultilevel"/>
    <w:tmpl w:val="60A89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D6D3EAA"/>
    <w:multiLevelType w:val="hybridMultilevel"/>
    <w:tmpl w:val="A63A7806"/>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6DC035CD"/>
    <w:multiLevelType w:val="hybridMultilevel"/>
    <w:tmpl w:val="56C64056"/>
    <w:lvl w:ilvl="0" w:tplc="29EEE73C">
      <w:start w:val="1"/>
      <w:numFmt w:val="bullet"/>
      <w:lvlText w:val=""/>
      <w:lvlJc w:val="left"/>
      <w:pPr>
        <w:ind w:left="1080" w:hanging="360"/>
      </w:pPr>
      <w:rPr>
        <w:rFonts w:ascii="Symbol" w:hAnsi="Symbol" w:hint="default"/>
      </w:rPr>
    </w:lvl>
    <w:lvl w:ilvl="1" w:tplc="0C090005">
      <w:start w:val="1"/>
      <w:numFmt w:val="bullet"/>
      <w:lvlText w:val=""/>
      <w:lvlJc w:val="left"/>
      <w:pPr>
        <w:ind w:left="1800" w:hanging="360"/>
      </w:pPr>
      <w:rPr>
        <w:rFonts w:ascii="Wingdings" w:hAnsi="Wingdings"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DFA4D4D"/>
    <w:multiLevelType w:val="hybridMultilevel"/>
    <w:tmpl w:val="8D904EBE"/>
    <w:lvl w:ilvl="0" w:tplc="E086FCDA">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C133CC6"/>
    <w:multiLevelType w:val="hybridMultilevel"/>
    <w:tmpl w:val="7C289288"/>
    <w:lvl w:ilvl="0" w:tplc="0C090003">
      <w:start w:val="1"/>
      <w:numFmt w:val="bullet"/>
      <w:lvlText w:val="o"/>
      <w:lvlJc w:val="left"/>
      <w:pPr>
        <w:ind w:left="2520" w:hanging="360"/>
      </w:pPr>
      <w:rPr>
        <w:rFonts w:ascii="Courier New" w:hAnsi="Courier New" w:cs="Courier New"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6" w15:restartNumberingAfterBreak="0">
    <w:nsid w:val="7C727836"/>
    <w:multiLevelType w:val="hybridMultilevel"/>
    <w:tmpl w:val="04A68DDC"/>
    <w:lvl w:ilvl="0" w:tplc="29EEE73C">
      <w:start w:val="1"/>
      <w:numFmt w:val="bullet"/>
      <w:pStyle w:val="guidelinebullet"/>
      <w:lvlText w:val=""/>
      <w:lvlJc w:val="left"/>
      <w:pPr>
        <w:ind w:left="1800" w:hanging="360"/>
      </w:pPr>
      <w:rPr>
        <w:rFonts w:ascii="Symbol" w:hAnsi="Symbol" w:hint="default"/>
      </w:rPr>
    </w:lvl>
    <w:lvl w:ilvl="1" w:tplc="EBB8AED6">
      <w:numFmt w:val="bullet"/>
      <w:lvlText w:val="-"/>
      <w:lvlJc w:val="left"/>
      <w:pPr>
        <w:ind w:left="2520" w:hanging="360"/>
      </w:pPr>
      <w:rPr>
        <w:rFonts w:ascii="Garamond" w:eastAsiaTheme="minorHAnsi" w:hAnsi="Garamond" w:cs="Garamond"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26"/>
  </w:num>
  <w:num w:numId="2">
    <w:abstractNumId w:val="17"/>
  </w:num>
  <w:num w:numId="3">
    <w:abstractNumId w:val="16"/>
  </w:num>
  <w:num w:numId="4">
    <w:abstractNumId w:val="10"/>
  </w:num>
  <w:num w:numId="5">
    <w:abstractNumId w:val="11"/>
  </w:num>
  <w:num w:numId="6">
    <w:abstractNumId w:val="0"/>
  </w:num>
  <w:num w:numId="7">
    <w:abstractNumId w:val="12"/>
  </w:num>
  <w:num w:numId="8">
    <w:abstractNumId w:val="22"/>
  </w:num>
  <w:num w:numId="9">
    <w:abstractNumId w:val="15"/>
  </w:num>
  <w:num w:numId="10">
    <w:abstractNumId w:val="14"/>
  </w:num>
  <w:num w:numId="11">
    <w:abstractNumId w:val="7"/>
  </w:num>
  <w:num w:numId="12">
    <w:abstractNumId w:val="18"/>
  </w:num>
  <w:num w:numId="13">
    <w:abstractNumId w:val="19"/>
  </w:num>
  <w:num w:numId="14">
    <w:abstractNumId w:val="4"/>
  </w:num>
  <w:num w:numId="15">
    <w:abstractNumId w:val="3"/>
  </w:num>
  <w:num w:numId="16">
    <w:abstractNumId w:val="13"/>
  </w:num>
  <w:num w:numId="17">
    <w:abstractNumId w:val="9"/>
  </w:num>
  <w:num w:numId="18">
    <w:abstractNumId w:val="8"/>
  </w:num>
  <w:num w:numId="19">
    <w:abstractNumId w:val="20"/>
  </w:num>
  <w:num w:numId="20">
    <w:abstractNumId w:val="23"/>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5"/>
  </w:num>
  <w:num w:numId="31">
    <w:abstractNumId w:val="5"/>
  </w:num>
  <w:num w:numId="32">
    <w:abstractNumId w:val="6"/>
  </w:num>
  <w:num w:numId="33">
    <w:abstractNumId w:val="24"/>
  </w:num>
  <w:num w:numId="3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s>
  <w:rsids>
    <w:rsidRoot w:val="0087795B"/>
    <w:rsid w:val="00014D9E"/>
    <w:rsid w:val="00015329"/>
    <w:rsid w:val="00017C74"/>
    <w:rsid w:val="00017EEA"/>
    <w:rsid w:val="00020E3B"/>
    <w:rsid w:val="00021F09"/>
    <w:rsid w:val="00022EED"/>
    <w:rsid w:val="00023B77"/>
    <w:rsid w:val="00023F6C"/>
    <w:rsid w:val="00026EDF"/>
    <w:rsid w:val="00030239"/>
    <w:rsid w:val="000319C8"/>
    <w:rsid w:val="00031E4A"/>
    <w:rsid w:val="00032FC6"/>
    <w:rsid w:val="00035DAD"/>
    <w:rsid w:val="00041CA2"/>
    <w:rsid w:val="00042FB2"/>
    <w:rsid w:val="00043003"/>
    <w:rsid w:val="00044D50"/>
    <w:rsid w:val="00046873"/>
    <w:rsid w:val="00047509"/>
    <w:rsid w:val="00051F33"/>
    <w:rsid w:val="00054B18"/>
    <w:rsid w:val="00056F23"/>
    <w:rsid w:val="00057329"/>
    <w:rsid w:val="00057A46"/>
    <w:rsid w:val="00060212"/>
    <w:rsid w:val="00061667"/>
    <w:rsid w:val="00064733"/>
    <w:rsid w:val="00064FD7"/>
    <w:rsid w:val="00072B6D"/>
    <w:rsid w:val="00073F7E"/>
    <w:rsid w:val="0007417F"/>
    <w:rsid w:val="0007477E"/>
    <w:rsid w:val="00074EDC"/>
    <w:rsid w:val="00075BA7"/>
    <w:rsid w:val="00076A50"/>
    <w:rsid w:val="00077D4D"/>
    <w:rsid w:val="00080D42"/>
    <w:rsid w:val="00081B30"/>
    <w:rsid w:val="000826BE"/>
    <w:rsid w:val="000838A4"/>
    <w:rsid w:val="00084F77"/>
    <w:rsid w:val="00085526"/>
    <w:rsid w:val="00085B41"/>
    <w:rsid w:val="00092D40"/>
    <w:rsid w:val="00092E7E"/>
    <w:rsid w:val="000935E7"/>
    <w:rsid w:val="0009370F"/>
    <w:rsid w:val="00096371"/>
    <w:rsid w:val="0009748A"/>
    <w:rsid w:val="000A2717"/>
    <w:rsid w:val="000A59CC"/>
    <w:rsid w:val="000A6BA3"/>
    <w:rsid w:val="000B17B0"/>
    <w:rsid w:val="000B17BE"/>
    <w:rsid w:val="000B7736"/>
    <w:rsid w:val="000B788B"/>
    <w:rsid w:val="000C1303"/>
    <w:rsid w:val="000C3822"/>
    <w:rsid w:val="000C651F"/>
    <w:rsid w:val="000C663B"/>
    <w:rsid w:val="000D00C4"/>
    <w:rsid w:val="000D4F26"/>
    <w:rsid w:val="000D55C8"/>
    <w:rsid w:val="000D6CD9"/>
    <w:rsid w:val="000D6CE4"/>
    <w:rsid w:val="000E0562"/>
    <w:rsid w:val="000E0999"/>
    <w:rsid w:val="000E20E7"/>
    <w:rsid w:val="000E54C2"/>
    <w:rsid w:val="000E6A11"/>
    <w:rsid w:val="000E6B58"/>
    <w:rsid w:val="000E71BF"/>
    <w:rsid w:val="000F01DB"/>
    <w:rsid w:val="000F3820"/>
    <w:rsid w:val="000F3ED2"/>
    <w:rsid w:val="000F4FDA"/>
    <w:rsid w:val="000F5479"/>
    <w:rsid w:val="000F60A8"/>
    <w:rsid w:val="000F733A"/>
    <w:rsid w:val="000F7419"/>
    <w:rsid w:val="001010F6"/>
    <w:rsid w:val="00101738"/>
    <w:rsid w:val="00101FC4"/>
    <w:rsid w:val="00103E34"/>
    <w:rsid w:val="00103F30"/>
    <w:rsid w:val="0010453C"/>
    <w:rsid w:val="0010576B"/>
    <w:rsid w:val="00105E62"/>
    <w:rsid w:val="00110014"/>
    <w:rsid w:val="00110F5D"/>
    <w:rsid w:val="001149C4"/>
    <w:rsid w:val="00114C63"/>
    <w:rsid w:val="0011516F"/>
    <w:rsid w:val="0011566F"/>
    <w:rsid w:val="001169D9"/>
    <w:rsid w:val="0011783D"/>
    <w:rsid w:val="00120D62"/>
    <w:rsid w:val="00127FD9"/>
    <w:rsid w:val="00131F1C"/>
    <w:rsid w:val="00133A20"/>
    <w:rsid w:val="001344BD"/>
    <w:rsid w:val="001347A2"/>
    <w:rsid w:val="00134B4B"/>
    <w:rsid w:val="00140105"/>
    <w:rsid w:val="00141424"/>
    <w:rsid w:val="001421D1"/>
    <w:rsid w:val="001441C9"/>
    <w:rsid w:val="00145235"/>
    <w:rsid w:val="00146823"/>
    <w:rsid w:val="00146C34"/>
    <w:rsid w:val="00146FF3"/>
    <w:rsid w:val="00150975"/>
    <w:rsid w:val="00151CC7"/>
    <w:rsid w:val="0015362F"/>
    <w:rsid w:val="00153DD6"/>
    <w:rsid w:val="00154B7C"/>
    <w:rsid w:val="001561D4"/>
    <w:rsid w:val="00157438"/>
    <w:rsid w:val="001633C0"/>
    <w:rsid w:val="00171544"/>
    <w:rsid w:val="001742A1"/>
    <w:rsid w:val="00174F7A"/>
    <w:rsid w:val="00175F1C"/>
    <w:rsid w:val="00176AA9"/>
    <w:rsid w:val="00177FBB"/>
    <w:rsid w:val="0018115E"/>
    <w:rsid w:val="00181E29"/>
    <w:rsid w:val="0018263C"/>
    <w:rsid w:val="00182D11"/>
    <w:rsid w:val="001846C2"/>
    <w:rsid w:val="00184880"/>
    <w:rsid w:val="00184F84"/>
    <w:rsid w:val="00190BF8"/>
    <w:rsid w:val="001922A6"/>
    <w:rsid w:val="00195350"/>
    <w:rsid w:val="0019586C"/>
    <w:rsid w:val="00197EDD"/>
    <w:rsid w:val="001A09BA"/>
    <w:rsid w:val="001A1CEF"/>
    <w:rsid w:val="001A4827"/>
    <w:rsid w:val="001A5C52"/>
    <w:rsid w:val="001A783C"/>
    <w:rsid w:val="001B0D4D"/>
    <w:rsid w:val="001B19A8"/>
    <w:rsid w:val="001B2A94"/>
    <w:rsid w:val="001B31CF"/>
    <w:rsid w:val="001B3204"/>
    <w:rsid w:val="001B3472"/>
    <w:rsid w:val="001B3B9E"/>
    <w:rsid w:val="001B47D9"/>
    <w:rsid w:val="001B4D9A"/>
    <w:rsid w:val="001B66ED"/>
    <w:rsid w:val="001C1A3D"/>
    <w:rsid w:val="001C29B4"/>
    <w:rsid w:val="001C3093"/>
    <w:rsid w:val="001C3A45"/>
    <w:rsid w:val="001C3BF4"/>
    <w:rsid w:val="001C496B"/>
    <w:rsid w:val="001C4D39"/>
    <w:rsid w:val="001D05B8"/>
    <w:rsid w:val="001D15D4"/>
    <w:rsid w:val="001D277A"/>
    <w:rsid w:val="001D5C5B"/>
    <w:rsid w:val="001D5EC9"/>
    <w:rsid w:val="001D6795"/>
    <w:rsid w:val="001D6CC7"/>
    <w:rsid w:val="001D7436"/>
    <w:rsid w:val="001D77D4"/>
    <w:rsid w:val="001E0163"/>
    <w:rsid w:val="001E08A8"/>
    <w:rsid w:val="001E0ABD"/>
    <w:rsid w:val="001E43EB"/>
    <w:rsid w:val="001E4FD6"/>
    <w:rsid w:val="001E7293"/>
    <w:rsid w:val="001E758A"/>
    <w:rsid w:val="001F1561"/>
    <w:rsid w:val="001F19A3"/>
    <w:rsid w:val="001F7464"/>
    <w:rsid w:val="0020020B"/>
    <w:rsid w:val="00201332"/>
    <w:rsid w:val="0020276D"/>
    <w:rsid w:val="00203373"/>
    <w:rsid w:val="00203720"/>
    <w:rsid w:val="00203813"/>
    <w:rsid w:val="002124AE"/>
    <w:rsid w:val="00214801"/>
    <w:rsid w:val="00216535"/>
    <w:rsid w:val="00216882"/>
    <w:rsid w:val="0021796A"/>
    <w:rsid w:val="00221B44"/>
    <w:rsid w:val="0022687F"/>
    <w:rsid w:val="00227BE5"/>
    <w:rsid w:val="00236551"/>
    <w:rsid w:val="002408F9"/>
    <w:rsid w:val="00240EB5"/>
    <w:rsid w:val="002413A4"/>
    <w:rsid w:val="0024149D"/>
    <w:rsid w:val="00243167"/>
    <w:rsid w:val="002450E1"/>
    <w:rsid w:val="00247977"/>
    <w:rsid w:val="002507C1"/>
    <w:rsid w:val="002508B7"/>
    <w:rsid w:val="00250D03"/>
    <w:rsid w:val="00251187"/>
    <w:rsid w:val="002526AA"/>
    <w:rsid w:val="00252782"/>
    <w:rsid w:val="002528EE"/>
    <w:rsid w:val="00253E55"/>
    <w:rsid w:val="002551A4"/>
    <w:rsid w:val="00257D66"/>
    <w:rsid w:val="00260997"/>
    <w:rsid w:val="00262004"/>
    <w:rsid w:val="00262C0A"/>
    <w:rsid w:val="0026368E"/>
    <w:rsid w:val="00265CA8"/>
    <w:rsid w:val="002705E1"/>
    <w:rsid w:val="0027065D"/>
    <w:rsid w:val="00272311"/>
    <w:rsid w:val="00272818"/>
    <w:rsid w:val="00275253"/>
    <w:rsid w:val="0027592B"/>
    <w:rsid w:val="0027781F"/>
    <w:rsid w:val="00281B10"/>
    <w:rsid w:val="00283B43"/>
    <w:rsid w:val="00283F9F"/>
    <w:rsid w:val="002846BD"/>
    <w:rsid w:val="00286D17"/>
    <w:rsid w:val="00287420"/>
    <w:rsid w:val="002878AD"/>
    <w:rsid w:val="0029148F"/>
    <w:rsid w:val="00292098"/>
    <w:rsid w:val="00293E4C"/>
    <w:rsid w:val="0029409C"/>
    <w:rsid w:val="00295678"/>
    <w:rsid w:val="00296FCC"/>
    <w:rsid w:val="002A032D"/>
    <w:rsid w:val="002A1DE7"/>
    <w:rsid w:val="002A1E59"/>
    <w:rsid w:val="002A27A6"/>
    <w:rsid w:val="002A3150"/>
    <w:rsid w:val="002A6791"/>
    <w:rsid w:val="002B4B62"/>
    <w:rsid w:val="002B4B9C"/>
    <w:rsid w:val="002B4D08"/>
    <w:rsid w:val="002B5948"/>
    <w:rsid w:val="002B607D"/>
    <w:rsid w:val="002B7884"/>
    <w:rsid w:val="002B7C21"/>
    <w:rsid w:val="002C0805"/>
    <w:rsid w:val="002C2AEA"/>
    <w:rsid w:val="002C378E"/>
    <w:rsid w:val="002C4631"/>
    <w:rsid w:val="002C5EAE"/>
    <w:rsid w:val="002D1607"/>
    <w:rsid w:val="002D30C8"/>
    <w:rsid w:val="002D42BF"/>
    <w:rsid w:val="002D4406"/>
    <w:rsid w:val="002D5DDB"/>
    <w:rsid w:val="002E0FB4"/>
    <w:rsid w:val="002E227E"/>
    <w:rsid w:val="002E30CD"/>
    <w:rsid w:val="002E39D7"/>
    <w:rsid w:val="002E4DC3"/>
    <w:rsid w:val="002E52C2"/>
    <w:rsid w:val="002E6531"/>
    <w:rsid w:val="002E6FDB"/>
    <w:rsid w:val="002F1C74"/>
    <w:rsid w:val="002F430F"/>
    <w:rsid w:val="002F4589"/>
    <w:rsid w:val="002F45B8"/>
    <w:rsid w:val="002F6B18"/>
    <w:rsid w:val="003001DD"/>
    <w:rsid w:val="00300D2A"/>
    <w:rsid w:val="00301541"/>
    <w:rsid w:val="00302AF7"/>
    <w:rsid w:val="00302E19"/>
    <w:rsid w:val="00304C50"/>
    <w:rsid w:val="0030667B"/>
    <w:rsid w:val="003126A5"/>
    <w:rsid w:val="00313845"/>
    <w:rsid w:val="00313BC9"/>
    <w:rsid w:val="003151F4"/>
    <w:rsid w:val="003168C2"/>
    <w:rsid w:val="0032153C"/>
    <w:rsid w:val="00322AD5"/>
    <w:rsid w:val="00323837"/>
    <w:rsid w:val="0032413D"/>
    <w:rsid w:val="00324B3D"/>
    <w:rsid w:val="00326602"/>
    <w:rsid w:val="0032716C"/>
    <w:rsid w:val="00327EFD"/>
    <w:rsid w:val="00332EC3"/>
    <w:rsid w:val="00333793"/>
    <w:rsid w:val="00335357"/>
    <w:rsid w:val="003362E9"/>
    <w:rsid w:val="00336CA6"/>
    <w:rsid w:val="00337BD9"/>
    <w:rsid w:val="00337D0E"/>
    <w:rsid w:val="003401B9"/>
    <w:rsid w:val="00341CCE"/>
    <w:rsid w:val="00343C74"/>
    <w:rsid w:val="00346462"/>
    <w:rsid w:val="003525D7"/>
    <w:rsid w:val="00355644"/>
    <w:rsid w:val="00356078"/>
    <w:rsid w:val="00357F45"/>
    <w:rsid w:val="003627DA"/>
    <w:rsid w:val="00363366"/>
    <w:rsid w:val="0036458F"/>
    <w:rsid w:val="00364A1B"/>
    <w:rsid w:val="00366853"/>
    <w:rsid w:val="003672D2"/>
    <w:rsid w:val="0036758B"/>
    <w:rsid w:val="00371967"/>
    <w:rsid w:val="00373239"/>
    <w:rsid w:val="0037351D"/>
    <w:rsid w:val="003742A6"/>
    <w:rsid w:val="00376CCB"/>
    <w:rsid w:val="00380F99"/>
    <w:rsid w:val="00381C14"/>
    <w:rsid w:val="0038206E"/>
    <w:rsid w:val="003826F2"/>
    <w:rsid w:val="003829C0"/>
    <w:rsid w:val="0038390F"/>
    <w:rsid w:val="00384937"/>
    <w:rsid w:val="00384965"/>
    <w:rsid w:val="00387267"/>
    <w:rsid w:val="00387631"/>
    <w:rsid w:val="00387CBF"/>
    <w:rsid w:val="00390081"/>
    <w:rsid w:val="00392CB8"/>
    <w:rsid w:val="00393898"/>
    <w:rsid w:val="00393A6E"/>
    <w:rsid w:val="003942F3"/>
    <w:rsid w:val="003946A4"/>
    <w:rsid w:val="00394ACD"/>
    <w:rsid w:val="00395FDD"/>
    <w:rsid w:val="003961DF"/>
    <w:rsid w:val="00397215"/>
    <w:rsid w:val="00397878"/>
    <w:rsid w:val="003A01EB"/>
    <w:rsid w:val="003A0CAB"/>
    <w:rsid w:val="003A2A4B"/>
    <w:rsid w:val="003A3196"/>
    <w:rsid w:val="003A44E4"/>
    <w:rsid w:val="003A5097"/>
    <w:rsid w:val="003A65BA"/>
    <w:rsid w:val="003A794D"/>
    <w:rsid w:val="003B0E33"/>
    <w:rsid w:val="003B1DA7"/>
    <w:rsid w:val="003B297E"/>
    <w:rsid w:val="003B2EEA"/>
    <w:rsid w:val="003B3D27"/>
    <w:rsid w:val="003B44D3"/>
    <w:rsid w:val="003B4B2B"/>
    <w:rsid w:val="003B4BC1"/>
    <w:rsid w:val="003B5A1A"/>
    <w:rsid w:val="003B6A77"/>
    <w:rsid w:val="003B748E"/>
    <w:rsid w:val="003C09B5"/>
    <w:rsid w:val="003C1957"/>
    <w:rsid w:val="003C4586"/>
    <w:rsid w:val="003C6284"/>
    <w:rsid w:val="003C72B9"/>
    <w:rsid w:val="003C7DD3"/>
    <w:rsid w:val="003D04A2"/>
    <w:rsid w:val="003D2B2C"/>
    <w:rsid w:val="003D5DC1"/>
    <w:rsid w:val="003D7120"/>
    <w:rsid w:val="003D745E"/>
    <w:rsid w:val="003D7AE1"/>
    <w:rsid w:val="003E0031"/>
    <w:rsid w:val="003E17A7"/>
    <w:rsid w:val="003E376D"/>
    <w:rsid w:val="003E3BBC"/>
    <w:rsid w:val="003E495C"/>
    <w:rsid w:val="003E4C00"/>
    <w:rsid w:val="003E5377"/>
    <w:rsid w:val="003E65FC"/>
    <w:rsid w:val="003F08DF"/>
    <w:rsid w:val="003F0E82"/>
    <w:rsid w:val="003F1F84"/>
    <w:rsid w:val="003F2492"/>
    <w:rsid w:val="003F2EA1"/>
    <w:rsid w:val="003F3648"/>
    <w:rsid w:val="003F497D"/>
    <w:rsid w:val="003F4F24"/>
    <w:rsid w:val="003F65E1"/>
    <w:rsid w:val="0040015C"/>
    <w:rsid w:val="00401056"/>
    <w:rsid w:val="00401141"/>
    <w:rsid w:val="00403252"/>
    <w:rsid w:val="004054DB"/>
    <w:rsid w:val="00407733"/>
    <w:rsid w:val="00410FA8"/>
    <w:rsid w:val="00411DED"/>
    <w:rsid w:val="00411EEE"/>
    <w:rsid w:val="0041504C"/>
    <w:rsid w:val="004171D9"/>
    <w:rsid w:val="00420698"/>
    <w:rsid w:val="00421B44"/>
    <w:rsid w:val="00421D42"/>
    <w:rsid w:val="00423152"/>
    <w:rsid w:val="00423D59"/>
    <w:rsid w:val="00424671"/>
    <w:rsid w:val="00424E6E"/>
    <w:rsid w:val="004251F6"/>
    <w:rsid w:val="004264D3"/>
    <w:rsid w:val="00432D0A"/>
    <w:rsid w:val="00432DA2"/>
    <w:rsid w:val="00433192"/>
    <w:rsid w:val="004353DF"/>
    <w:rsid w:val="00440F52"/>
    <w:rsid w:val="00442032"/>
    <w:rsid w:val="004421F4"/>
    <w:rsid w:val="00445917"/>
    <w:rsid w:val="00445CB3"/>
    <w:rsid w:val="00446727"/>
    <w:rsid w:val="0045011B"/>
    <w:rsid w:val="00451DCC"/>
    <w:rsid w:val="00452D9B"/>
    <w:rsid w:val="00453109"/>
    <w:rsid w:val="00453E39"/>
    <w:rsid w:val="00454046"/>
    <w:rsid w:val="004575A3"/>
    <w:rsid w:val="00457F1A"/>
    <w:rsid w:val="004600CC"/>
    <w:rsid w:val="00462278"/>
    <w:rsid w:val="00462611"/>
    <w:rsid w:val="00463845"/>
    <w:rsid w:val="00467B55"/>
    <w:rsid w:val="004715EC"/>
    <w:rsid w:val="00471DEA"/>
    <w:rsid w:val="0047202D"/>
    <w:rsid w:val="004728B6"/>
    <w:rsid w:val="004728CE"/>
    <w:rsid w:val="004740A7"/>
    <w:rsid w:val="004742D7"/>
    <w:rsid w:val="004769E8"/>
    <w:rsid w:val="00481207"/>
    <w:rsid w:val="00483749"/>
    <w:rsid w:val="004850AB"/>
    <w:rsid w:val="00493A81"/>
    <w:rsid w:val="00496CFF"/>
    <w:rsid w:val="004A2C22"/>
    <w:rsid w:val="004A688D"/>
    <w:rsid w:val="004B03FB"/>
    <w:rsid w:val="004B2C32"/>
    <w:rsid w:val="004B2EA9"/>
    <w:rsid w:val="004B3080"/>
    <w:rsid w:val="004B382E"/>
    <w:rsid w:val="004B3843"/>
    <w:rsid w:val="004B40BC"/>
    <w:rsid w:val="004B4FA7"/>
    <w:rsid w:val="004B5A6B"/>
    <w:rsid w:val="004B60DE"/>
    <w:rsid w:val="004B6211"/>
    <w:rsid w:val="004B6EB1"/>
    <w:rsid w:val="004B6FFF"/>
    <w:rsid w:val="004B7179"/>
    <w:rsid w:val="004B7274"/>
    <w:rsid w:val="004B7969"/>
    <w:rsid w:val="004C021B"/>
    <w:rsid w:val="004C1034"/>
    <w:rsid w:val="004C1E91"/>
    <w:rsid w:val="004C359C"/>
    <w:rsid w:val="004C482A"/>
    <w:rsid w:val="004C4984"/>
    <w:rsid w:val="004C4D37"/>
    <w:rsid w:val="004C5158"/>
    <w:rsid w:val="004C5A7C"/>
    <w:rsid w:val="004C66B6"/>
    <w:rsid w:val="004D2AA0"/>
    <w:rsid w:val="004D6FB6"/>
    <w:rsid w:val="004D775C"/>
    <w:rsid w:val="004E2350"/>
    <w:rsid w:val="004E2B67"/>
    <w:rsid w:val="004E3BCE"/>
    <w:rsid w:val="004F04B8"/>
    <w:rsid w:val="004F0EDA"/>
    <w:rsid w:val="004F1037"/>
    <w:rsid w:val="004F1319"/>
    <w:rsid w:val="004F4265"/>
    <w:rsid w:val="004F6AC8"/>
    <w:rsid w:val="004F7959"/>
    <w:rsid w:val="00502144"/>
    <w:rsid w:val="0050236B"/>
    <w:rsid w:val="00503140"/>
    <w:rsid w:val="00503283"/>
    <w:rsid w:val="00504238"/>
    <w:rsid w:val="005064E3"/>
    <w:rsid w:val="005065BE"/>
    <w:rsid w:val="00507222"/>
    <w:rsid w:val="0050753E"/>
    <w:rsid w:val="00507562"/>
    <w:rsid w:val="005119AF"/>
    <w:rsid w:val="00511E52"/>
    <w:rsid w:val="00512F36"/>
    <w:rsid w:val="00514189"/>
    <w:rsid w:val="005144CD"/>
    <w:rsid w:val="00514A90"/>
    <w:rsid w:val="005158A2"/>
    <w:rsid w:val="00517430"/>
    <w:rsid w:val="0052057A"/>
    <w:rsid w:val="00521C29"/>
    <w:rsid w:val="00521CD1"/>
    <w:rsid w:val="00521E6F"/>
    <w:rsid w:val="00522818"/>
    <w:rsid w:val="005326B7"/>
    <w:rsid w:val="005343D7"/>
    <w:rsid w:val="005352E1"/>
    <w:rsid w:val="00535E3E"/>
    <w:rsid w:val="00537FB0"/>
    <w:rsid w:val="00540908"/>
    <w:rsid w:val="0054117B"/>
    <w:rsid w:val="005421B2"/>
    <w:rsid w:val="005422AA"/>
    <w:rsid w:val="0054261B"/>
    <w:rsid w:val="00542EEB"/>
    <w:rsid w:val="00543C0A"/>
    <w:rsid w:val="005453F4"/>
    <w:rsid w:val="0054620F"/>
    <w:rsid w:val="00547885"/>
    <w:rsid w:val="00547F4D"/>
    <w:rsid w:val="005504E3"/>
    <w:rsid w:val="00551E50"/>
    <w:rsid w:val="00556224"/>
    <w:rsid w:val="00557592"/>
    <w:rsid w:val="00563C71"/>
    <w:rsid w:val="005655B0"/>
    <w:rsid w:val="00565A7F"/>
    <w:rsid w:val="00566971"/>
    <w:rsid w:val="00570288"/>
    <w:rsid w:val="0057524E"/>
    <w:rsid w:val="0057705D"/>
    <w:rsid w:val="00581523"/>
    <w:rsid w:val="00581BB0"/>
    <w:rsid w:val="005832EB"/>
    <w:rsid w:val="0058344E"/>
    <w:rsid w:val="005851D5"/>
    <w:rsid w:val="0058684F"/>
    <w:rsid w:val="0058706B"/>
    <w:rsid w:val="00587BAA"/>
    <w:rsid w:val="00591442"/>
    <w:rsid w:val="005922DC"/>
    <w:rsid w:val="00595CA5"/>
    <w:rsid w:val="0059639F"/>
    <w:rsid w:val="0059705B"/>
    <w:rsid w:val="00597064"/>
    <w:rsid w:val="005A0FE2"/>
    <w:rsid w:val="005A12CD"/>
    <w:rsid w:val="005A1DEF"/>
    <w:rsid w:val="005A2C57"/>
    <w:rsid w:val="005A5687"/>
    <w:rsid w:val="005A74FE"/>
    <w:rsid w:val="005B236F"/>
    <w:rsid w:val="005B31FC"/>
    <w:rsid w:val="005B3D76"/>
    <w:rsid w:val="005B4FB0"/>
    <w:rsid w:val="005B6440"/>
    <w:rsid w:val="005B7721"/>
    <w:rsid w:val="005C1D7A"/>
    <w:rsid w:val="005C5430"/>
    <w:rsid w:val="005C58E5"/>
    <w:rsid w:val="005C64FF"/>
    <w:rsid w:val="005C7266"/>
    <w:rsid w:val="005D0151"/>
    <w:rsid w:val="005D0DAA"/>
    <w:rsid w:val="005D1397"/>
    <w:rsid w:val="005D1634"/>
    <w:rsid w:val="005D2ACB"/>
    <w:rsid w:val="005D4A74"/>
    <w:rsid w:val="005D53AB"/>
    <w:rsid w:val="005D580B"/>
    <w:rsid w:val="005D72CD"/>
    <w:rsid w:val="005E1AB6"/>
    <w:rsid w:val="005E25AD"/>
    <w:rsid w:val="005E2ED2"/>
    <w:rsid w:val="005E3856"/>
    <w:rsid w:val="005E3D67"/>
    <w:rsid w:val="005E64B5"/>
    <w:rsid w:val="005F09D9"/>
    <w:rsid w:val="005F22A8"/>
    <w:rsid w:val="005F2351"/>
    <w:rsid w:val="005F5D6A"/>
    <w:rsid w:val="005F6D10"/>
    <w:rsid w:val="006016F3"/>
    <w:rsid w:val="00605D93"/>
    <w:rsid w:val="0060602D"/>
    <w:rsid w:val="006074F9"/>
    <w:rsid w:val="00607A77"/>
    <w:rsid w:val="00610339"/>
    <w:rsid w:val="00610401"/>
    <w:rsid w:val="006132BB"/>
    <w:rsid w:val="00617D6E"/>
    <w:rsid w:val="00623444"/>
    <w:rsid w:val="00624FE1"/>
    <w:rsid w:val="00626734"/>
    <w:rsid w:val="00627EE1"/>
    <w:rsid w:val="006357EC"/>
    <w:rsid w:val="00635D34"/>
    <w:rsid w:val="00636000"/>
    <w:rsid w:val="00636121"/>
    <w:rsid w:val="00636392"/>
    <w:rsid w:val="0063651A"/>
    <w:rsid w:val="00636B17"/>
    <w:rsid w:val="006400BD"/>
    <w:rsid w:val="006401A5"/>
    <w:rsid w:val="0064172E"/>
    <w:rsid w:val="006459AB"/>
    <w:rsid w:val="0064703F"/>
    <w:rsid w:val="006476E9"/>
    <w:rsid w:val="00647A49"/>
    <w:rsid w:val="00647B9D"/>
    <w:rsid w:val="00650A3E"/>
    <w:rsid w:val="00650F46"/>
    <w:rsid w:val="00651016"/>
    <w:rsid w:val="006532E9"/>
    <w:rsid w:val="00653671"/>
    <w:rsid w:val="00656C22"/>
    <w:rsid w:val="00656DEE"/>
    <w:rsid w:val="00657F82"/>
    <w:rsid w:val="0066026B"/>
    <w:rsid w:val="0066076A"/>
    <w:rsid w:val="00660BB3"/>
    <w:rsid w:val="006618F3"/>
    <w:rsid w:val="00661C76"/>
    <w:rsid w:val="006640F0"/>
    <w:rsid w:val="00664A64"/>
    <w:rsid w:val="00665B0C"/>
    <w:rsid w:val="00666832"/>
    <w:rsid w:val="00666E7D"/>
    <w:rsid w:val="00675C00"/>
    <w:rsid w:val="006762B3"/>
    <w:rsid w:val="00681786"/>
    <w:rsid w:val="00681A3F"/>
    <w:rsid w:val="0068370E"/>
    <w:rsid w:val="0068381B"/>
    <w:rsid w:val="006839CB"/>
    <w:rsid w:val="00685ED2"/>
    <w:rsid w:val="00687B2E"/>
    <w:rsid w:val="00690AC9"/>
    <w:rsid w:val="006931DF"/>
    <w:rsid w:val="0069371B"/>
    <w:rsid w:val="0069471F"/>
    <w:rsid w:val="00695E71"/>
    <w:rsid w:val="006A03A8"/>
    <w:rsid w:val="006A179C"/>
    <w:rsid w:val="006A1EB6"/>
    <w:rsid w:val="006A3981"/>
    <w:rsid w:val="006A3A0A"/>
    <w:rsid w:val="006A412D"/>
    <w:rsid w:val="006A4281"/>
    <w:rsid w:val="006A5E1A"/>
    <w:rsid w:val="006A6189"/>
    <w:rsid w:val="006A6669"/>
    <w:rsid w:val="006A67A0"/>
    <w:rsid w:val="006B1CD1"/>
    <w:rsid w:val="006B2FDF"/>
    <w:rsid w:val="006B37E9"/>
    <w:rsid w:val="006B442C"/>
    <w:rsid w:val="006B7075"/>
    <w:rsid w:val="006C0291"/>
    <w:rsid w:val="006C06CF"/>
    <w:rsid w:val="006C6D37"/>
    <w:rsid w:val="006C6E7B"/>
    <w:rsid w:val="006D1E4B"/>
    <w:rsid w:val="006D3C66"/>
    <w:rsid w:val="006E0585"/>
    <w:rsid w:val="006E51AA"/>
    <w:rsid w:val="006E6AD6"/>
    <w:rsid w:val="006E79E1"/>
    <w:rsid w:val="006F02C8"/>
    <w:rsid w:val="006F1C95"/>
    <w:rsid w:val="006F26FF"/>
    <w:rsid w:val="006F4DB3"/>
    <w:rsid w:val="006F5B53"/>
    <w:rsid w:val="006F63C9"/>
    <w:rsid w:val="006F6BF8"/>
    <w:rsid w:val="006F7E26"/>
    <w:rsid w:val="00700163"/>
    <w:rsid w:val="00706902"/>
    <w:rsid w:val="007075C9"/>
    <w:rsid w:val="007078D1"/>
    <w:rsid w:val="007102D1"/>
    <w:rsid w:val="00711AAD"/>
    <w:rsid w:val="00712947"/>
    <w:rsid w:val="00717105"/>
    <w:rsid w:val="00717CBB"/>
    <w:rsid w:val="00720029"/>
    <w:rsid w:val="007207B7"/>
    <w:rsid w:val="00720930"/>
    <w:rsid w:val="00725B09"/>
    <w:rsid w:val="00725FF2"/>
    <w:rsid w:val="0072759A"/>
    <w:rsid w:val="007278B0"/>
    <w:rsid w:val="00727E69"/>
    <w:rsid w:val="00730787"/>
    <w:rsid w:val="00732330"/>
    <w:rsid w:val="007334B5"/>
    <w:rsid w:val="00733501"/>
    <w:rsid w:val="007347FC"/>
    <w:rsid w:val="0073618D"/>
    <w:rsid w:val="00737AC8"/>
    <w:rsid w:val="00743200"/>
    <w:rsid w:val="00744D2E"/>
    <w:rsid w:val="007455BC"/>
    <w:rsid w:val="0074773E"/>
    <w:rsid w:val="00750939"/>
    <w:rsid w:val="0075179E"/>
    <w:rsid w:val="00752BB4"/>
    <w:rsid w:val="00755B43"/>
    <w:rsid w:val="00756192"/>
    <w:rsid w:val="0076063C"/>
    <w:rsid w:val="00765741"/>
    <w:rsid w:val="00767EE5"/>
    <w:rsid w:val="00770359"/>
    <w:rsid w:val="0077294B"/>
    <w:rsid w:val="00774346"/>
    <w:rsid w:val="007746F0"/>
    <w:rsid w:val="00774CA3"/>
    <w:rsid w:val="007753B1"/>
    <w:rsid w:val="00777D25"/>
    <w:rsid w:val="007814A3"/>
    <w:rsid w:val="00785291"/>
    <w:rsid w:val="00785F2A"/>
    <w:rsid w:val="00786063"/>
    <w:rsid w:val="00787CDC"/>
    <w:rsid w:val="00787FBB"/>
    <w:rsid w:val="00790C3A"/>
    <w:rsid w:val="00793898"/>
    <w:rsid w:val="00794887"/>
    <w:rsid w:val="00795787"/>
    <w:rsid w:val="00796980"/>
    <w:rsid w:val="007A1B38"/>
    <w:rsid w:val="007A2051"/>
    <w:rsid w:val="007A4795"/>
    <w:rsid w:val="007A52BC"/>
    <w:rsid w:val="007A5388"/>
    <w:rsid w:val="007A67BF"/>
    <w:rsid w:val="007B014B"/>
    <w:rsid w:val="007B1F55"/>
    <w:rsid w:val="007B3558"/>
    <w:rsid w:val="007B46E6"/>
    <w:rsid w:val="007B5C67"/>
    <w:rsid w:val="007B5DA6"/>
    <w:rsid w:val="007C18F3"/>
    <w:rsid w:val="007C30BB"/>
    <w:rsid w:val="007C3721"/>
    <w:rsid w:val="007C49F4"/>
    <w:rsid w:val="007C5162"/>
    <w:rsid w:val="007C59FD"/>
    <w:rsid w:val="007C7125"/>
    <w:rsid w:val="007D13ED"/>
    <w:rsid w:val="007D288E"/>
    <w:rsid w:val="007D2F12"/>
    <w:rsid w:val="007D323D"/>
    <w:rsid w:val="007D34C5"/>
    <w:rsid w:val="007D3BF9"/>
    <w:rsid w:val="007D3D6B"/>
    <w:rsid w:val="007D4A43"/>
    <w:rsid w:val="007D552F"/>
    <w:rsid w:val="007D71C4"/>
    <w:rsid w:val="007E0D18"/>
    <w:rsid w:val="007E13CF"/>
    <w:rsid w:val="007E5507"/>
    <w:rsid w:val="007E5656"/>
    <w:rsid w:val="007E6D5E"/>
    <w:rsid w:val="007E745C"/>
    <w:rsid w:val="007E789A"/>
    <w:rsid w:val="007F045A"/>
    <w:rsid w:val="007F6E92"/>
    <w:rsid w:val="007F7FBE"/>
    <w:rsid w:val="008005D6"/>
    <w:rsid w:val="00801983"/>
    <w:rsid w:val="008049F2"/>
    <w:rsid w:val="0080598D"/>
    <w:rsid w:val="008073B8"/>
    <w:rsid w:val="0081069E"/>
    <w:rsid w:val="0081290A"/>
    <w:rsid w:val="008145E8"/>
    <w:rsid w:val="0081523E"/>
    <w:rsid w:val="00815F0B"/>
    <w:rsid w:val="0081670E"/>
    <w:rsid w:val="00816E49"/>
    <w:rsid w:val="00820F74"/>
    <w:rsid w:val="008212CF"/>
    <w:rsid w:val="00825CFB"/>
    <w:rsid w:val="00827A41"/>
    <w:rsid w:val="00830572"/>
    <w:rsid w:val="00830C81"/>
    <w:rsid w:val="008316A7"/>
    <w:rsid w:val="00831FA5"/>
    <w:rsid w:val="00832761"/>
    <w:rsid w:val="008328C2"/>
    <w:rsid w:val="00834B4C"/>
    <w:rsid w:val="00836929"/>
    <w:rsid w:val="00837E53"/>
    <w:rsid w:val="00841A28"/>
    <w:rsid w:val="00841F6A"/>
    <w:rsid w:val="00844583"/>
    <w:rsid w:val="008455FE"/>
    <w:rsid w:val="00846117"/>
    <w:rsid w:val="008468E2"/>
    <w:rsid w:val="00847012"/>
    <w:rsid w:val="00847EEA"/>
    <w:rsid w:val="00850119"/>
    <w:rsid w:val="008513D5"/>
    <w:rsid w:val="0085383A"/>
    <w:rsid w:val="0085393E"/>
    <w:rsid w:val="0085567D"/>
    <w:rsid w:val="00855BCE"/>
    <w:rsid w:val="008569A8"/>
    <w:rsid w:val="008570D6"/>
    <w:rsid w:val="00857672"/>
    <w:rsid w:val="00857DB0"/>
    <w:rsid w:val="00860146"/>
    <w:rsid w:val="008608FC"/>
    <w:rsid w:val="00861F51"/>
    <w:rsid w:val="00864F96"/>
    <w:rsid w:val="0086548B"/>
    <w:rsid w:val="00865AB6"/>
    <w:rsid w:val="0086622D"/>
    <w:rsid w:val="00867661"/>
    <w:rsid w:val="008703FB"/>
    <w:rsid w:val="00870676"/>
    <w:rsid w:val="00871529"/>
    <w:rsid w:val="00872C69"/>
    <w:rsid w:val="00873FB4"/>
    <w:rsid w:val="0087465D"/>
    <w:rsid w:val="00874C4E"/>
    <w:rsid w:val="008753CC"/>
    <w:rsid w:val="00876FA9"/>
    <w:rsid w:val="0087795B"/>
    <w:rsid w:val="00880BCE"/>
    <w:rsid w:val="00880E10"/>
    <w:rsid w:val="008835E8"/>
    <w:rsid w:val="0088363E"/>
    <w:rsid w:val="00885502"/>
    <w:rsid w:val="008868E0"/>
    <w:rsid w:val="008905F8"/>
    <w:rsid w:val="00890F20"/>
    <w:rsid w:val="00891267"/>
    <w:rsid w:val="00893648"/>
    <w:rsid w:val="00894466"/>
    <w:rsid w:val="00894CC5"/>
    <w:rsid w:val="00896263"/>
    <w:rsid w:val="00896398"/>
    <w:rsid w:val="008978AA"/>
    <w:rsid w:val="008A194F"/>
    <w:rsid w:val="008A4132"/>
    <w:rsid w:val="008A4A26"/>
    <w:rsid w:val="008A5176"/>
    <w:rsid w:val="008A57EA"/>
    <w:rsid w:val="008A5AF4"/>
    <w:rsid w:val="008A717A"/>
    <w:rsid w:val="008A7BF5"/>
    <w:rsid w:val="008B08FF"/>
    <w:rsid w:val="008B154A"/>
    <w:rsid w:val="008B1628"/>
    <w:rsid w:val="008B5C05"/>
    <w:rsid w:val="008B6AA6"/>
    <w:rsid w:val="008B7393"/>
    <w:rsid w:val="008B7A72"/>
    <w:rsid w:val="008C09F8"/>
    <w:rsid w:val="008C11E2"/>
    <w:rsid w:val="008C2825"/>
    <w:rsid w:val="008C38CF"/>
    <w:rsid w:val="008C65ED"/>
    <w:rsid w:val="008C7D62"/>
    <w:rsid w:val="008D28B4"/>
    <w:rsid w:val="008D373A"/>
    <w:rsid w:val="008D537C"/>
    <w:rsid w:val="008D7CC8"/>
    <w:rsid w:val="008E021D"/>
    <w:rsid w:val="008E02F8"/>
    <w:rsid w:val="008E4FBA"/>
    <w:rsid w:val="008E5F29"/>
    <w:rsid w:val="008E699C"/>
    <w:rsid w:val="008F1D47"/>
    <w:rsid w:val="008F26EE"/>
    <w:rsid w:val="008F314A"/>
    <w:rsid w:val="008F36FB"/>
    <w:rsid w:val="008F612C"/>
    <w:rsid w:val="008F6D57"/>
    <w:rsid w:val="008F7B56"/>
    <w:rsid w:val="00900A3B"/>
    <w:rsid w:val="0090156E"/>
    <w:rsid w:val="00901D14"/>
    <w:rsid w:val="0090340A"/>
    <w:rsid w:val="00903D07"/>
    <w:rsid w:val="0090423A"/>
    <w:rsid w:val="00904495"/>
    <w:rsid w:val="0090772A"/>
    <w:rsid w:val="00911EAA"/>
    <w:rsid w:val="009122DE"/>
    <w:rsid w:val="0091309B"/>
    <w:rsid w:val="0091391D"/>
    <w:rsid w:val="0091477A"/>
    <w:rsid w:val="00915545"/>
    <w:rsid w:val="00916FA2"/>
    <w:rsid w:val="00917970"/>
    <w:rsid w:val="00917A3A"/>
    <w:rsid w:val="00921422"/>
    <w:rsid w:val="0092211C"/>
    <w:rsid w:val="009230AD"/>
    <w:rsid w:val="009231FE"/>
    <w:rsid w:val="00923E61"/>
    <w:rsid w:val="00924446"/>
    <w:rsid w:val="0092675E"/>
    <w:rsid w:val="009277F5"/>
    <w:rsid w:val="00927E91"/>
    <w:rsid w:val="00927FD6"/>
    <w:rsid w:val="00931598"/>
    <w:rsid w:val="00934CFA"/>
    <w:rsid w:val="009352D3"/>
    <w:rsid w:val="009360D3"/>
    <w:rsid w:val="00936DD5"/>
    <w:rsid w:val="0093772F"/>
    <w:rsid w:val="00943459"/>
    <w:rsid w:val="00947719"/>
    <w:rsid w:val="00947F95"/>
    <w:rsid w:val="00950959"/>
    <w:rsid w:val="00950CBE"/>
    <w:rsid w:val="009515C5"/>
    <w:rsid w:val="0095185F"/>
    <w:rsid w:val="00953A9C"/>
    <w:rsid w:val="0095526B"/>
    <w:rsid w:val="0095531A"/>
    <w:rsid w:val="00961EFE"/>
    <w:rsid w:val="0096200E"/>
    <w:rsid w:val="00962F18"/>
    <w:rsid w:val="00964EFB"/>
    <w:rsid w:val="00972FED"/>
    <w:rsid w:val="0097357D"/>
    <w:rsid w:val="0097466E"/>
    <w:rsid w:val="00980CF4"/>
    <w:rsid w:val="00983306"/>
    <w:rsid w:val="00985615"/>
    <w:rsid w:val="00985F2A"/>
    <w:rsid w:val="00986C5B"/>
    <w:rsid w:val="00986E11"/>
    <w:rsid w:val="009904E5"/>
    <w:rsid w:val="00990B6B"/>
    <w:rsid w:val="00991398"/>
    <w:rsid w:val="00996495"/>
    <w:rsid w:val="009964B3"/>
    <w:rsid w:val="00997246"/>
    <w:rsid w:val="009A0A5C"/>
    <w:rsid w:val="009A0D10"/>
    <w:rsid w:val="009A3A2E"/>
    <w:rsid w:val="009A3C38"/>
    <w:rsid w:val="009A3CDE"/>
    <w:rsid w:val="009A5282"/>
    <w:rsid w:val="009A6C22"/>
    <w:rsid w:val="009A7350"/>
    <w:rsid w:val="009B0FCE"/>
    <w:rsid w:val="009B79D7"/>
    <w:rsid w:val="009C02DE"/>
    <w:rsid w:val="009C122D"/>
    <w:rsid w:val="009C2020"/>
    <w:rsid w:val="009C35E5"/>
    <w:rsid w:val="009C4079"/>
    <w:rsid w:val="009C4143"/>
    <w:rsid w:val="009C7E45"/>
    <w:rsid w:val="009D0922"/>
    <w:rsid w:val="009D0CF5"/>
    <w:rsid w:val="009D37C2"/>
    <w:rsid w:val="009D3872"/>
    <w:rsid w:val="009D5E94"/>
    <w:rsid w:val="009E06E7"/>
    <w:rsid w:val="009E47F3"/>
    <w:rsid w:val="009E4825"/>
    <w:rsid w:val="009E565C"/>
    <w:rsid w:val="009E583D"/>
    <w:rsid w:val="009E6963"/>
    <w:rsid w:val="009E7D23"/>
    <w:rsid w:val="009F0AB1"/>
    <w:rsid w:val="009F211C"/>
    <w:rsid w:val="009F39A1"/>
    <w:rsid w:val="009F5780"/>
    <w:rsid w:val="009F64B9"/>
    <w:rsid w:val="009F6811"/>
    <w:rsid w:val="00A000FD"/>
    <w:rsid w:val="00A03BD8"/>
    <w:rsid w:val="00A107FF"/>
    <w:rsid w:val="00A11252"/>
    <w:rsid w:val="00A159C7"/>
    <w:rsid w:val="00A16221"/>
    <w:rsid w:val="00A211C0"/>
    <w:rsid w:val="00A21BED"/>
    <w:rsid w:val="00A232E6"/>
    <w:rsid w:val="00A24014"/>
    <w:rsid w:val="00A251F7"/>
    <w:rsid w:val="00A25617"/>
    <w:rsid w:val="00A27330"/>
    <w:rsid w:val="00A279E2"/>
    <w:rsid w:val="00A307D8"/>
    <w:rsid w:val="00A3358F"/>
    <w:rsid w:val="00A33E67"/>
    <w:rsid w:val="00A3506B"/>
    <w:rsid w:val="00A356EF"/>
    <w:rsid w:val="00A358B6"/>
    <w:rsid w:val="00A37677"/>
    <w:rsid w:val="00A4152B"/>
    <w:rsid w:val="00A43DF7"/>
    <w:rsid w:val="00A446D4"/>
    <w:rsid w:val="00A44E81"/>
    <w:rsid w:val="00A4531B"/>
    <w:rsid w:val="00A50A52"/>
    <w:rsid w:val="00A532F7"/>
    <w:rsid w:val="00A53C8C"/>
    <w:rsid w:val="00A54173"/>
    <w:rsid w:val="00A55702"/>
    <w:rsid w:val="00A561B1"/>
    <w:rsid w:val="00A5665A"/>
    <w:rsid w:val="00A60751"/>
    <w:rsid w:val="00A623DF"/>
    <w:rsid w:val="00A64A73"/>
    <w:rsid w:val="00A658AF"/>
    <w:rsid w:val="00A67AA7"/>
    <w:rsid w:val="00A74CA8"/>
    <w:rsid w:val="00A75593"/>
    <w:rsid w:val="00A77D84"/>
    <w:rsid w:val="00A81055"/>
    <w:rsid w:val="00A812F0"/>
    <w:rsid w:val="00A83E3A"/>
    <w:rsid w:val="00A901D7"/>
    <w:rsid w:val="00A92102"/>
    <w:rsid w:val="00A92170"/>
    <w:rsid w:val="00A92C4E"/>
    <w:rsid w:val="00A92F95"/>
    <w:rsid w:val="00A93330"/>
    <w:rsid w:val="00A95680"/>
    <w:rsid w:val="00A961EF"/>
    <w:rsid w:val="00A97BC9"/>
    <w:rsid w:val="00AA1C5F"/>
    <w:rsid w:val="00AA2DD3"/>
    <w:rsid w:val="00AA50AB"/>
    <w:rsid w:val="00AA50E7"/>
    <w:rsid w:val="00AA5DB0"/>
    <w:rsid w:val="00AA7950"/>
    <w:rsid w:val="00AB1701"/>
    <w:rsid w:val="00AB28D3"/>
    <w:rsid w:val="00AB2F6F"/>
    <w:rsid w:val="00AB37AA"/>
    <w:rsid w:val="00AB5587"/>
    <w:rsid w:val="00AB76C4"/>
    <w:rsid w:val="00AC1101"/>
    <w:rsid w:val="00AC369F"/>
    <w:rsid w:val="00AC454B"/>
    <w:rsid w:val="00AC51DE"/>
    <w:rsid w:val="00AC6A8E"/>
    <w:rsid w:val="00AC7D35"/>
    <w:rsid w:val="00AD06E5"/>
    <w:rsid w:val="00AD2CD0"/>
    <w:rsid w:val="00AE05A8"/>
    <w:rsid w:val="00AE0F6C"/>
    <w:rsid w:val="00AE2175"/>
    <w:rsid w:val="00AE2863"/>
    <w:rsid w:val="00AE6D44"/>
    <w:rsid w:val="00AF2D71"/>
    <w:rsid w:val="00AF2EC6"/>
    <w:rsid w:val="00AF491E"/>
    <w:rsid w:val="00AF57E5"/>
    <w:rsid w:val="00AF69B8"/>
    <w:rsid w:val="00AF7E55"/>
    <w:rsid w:val="00AF7FB1"/>
    <w:rsid w:val="00B007D8"/>
    <w:rsid w:val="00B041CF"/>
    <w:rsid w:val="00B05C0D"/>
    <w:rsid w:val="00B06299"/>
    <w:rsid w:val="00B07009"/>
    <w:rsid w:val="00B07BCE"/>
    <w:rsid w:val="00B11DB3"/>
    <w:rsid w:val="00B12598"/>
    <w:rsid w:val="00B12BA3"/>
    <w:rsid w:val="00B12C0A"/>
    <w:rsid w:val="00B14099"/>
    <w:rsid w:val="00B153E5"/>
    <w:rsid w:val="00B17B7D"/>
    <w:rsid w:val="00B258D2"/>
    <w:rsid w:val="00B2653A"/>
    <w:rsid w:val="00B26FCC"/>
    <w:rsid w:val="00B30BDC"/>
    <w:rsid w:val="00B31DC6"/>
    <w:rsid w:val="00B34153"/>
    <w:rsid w:val="00B34EBB"/>
    <w:rsid w:val="00B35CDB"/>
    <w:rsid w:val="00B37F12"/>
    <w:rsid w:val="00B37F86"/>
    <w:rsid w:val="00B40045"/>
    <w:rsid w:val="00B40563"/>
    <w:rsid w:val="00B434F0"/>
    <w:rsid w:val="00B4358B"/>
    <w:rsid w:val="00B44B2C"/>
    <w:rsid w:val="00B46E51"/>
    <w:rsid w:val="00B51266"/>
    <w:rsid w:val="00B514FE"/>
    <w:rsid w:val="00B51CBF"/>
    <w:rsid w:val="00B53922"/>
    <w:rsid w:val="00B544B6"/>
    <w:rsid w:val="00B57851"/>
    <w:rsid w:val="00B62110"/>
    <w:rsid w:val="00B65859"/>
    <w:rsid w:val="00B67176"/>
    <w:rsid w:val="00B70C4A"/>
    <w:rsid w:val="00B72C0C"/>
    <w:rsid w:val="00B73074"/>
    <w:rsid w:val="00B7317A"/>
    <w:rsid w:val="00B73509"/>
    <w:rsid w:val="00B757C3"/>
    <w:rsid w:val="00B772D1"/>
    <w:rsid w:val="00B77D2E"/>
    <w:rsid w:val="00B804BE"/>
    <w:rsid w:val="00B80802"/>
    <w:rsid w:val="00B81E04"/>
    <w:rsid w:val="00B855EC"/>
    <w:rsid w:val="00B85D01"/>
    <w:rsid w:val="00B86192"/>
    <w:rsid w:val="00B86B06"/>
    <w:rsid w:val="00B93AE7"/>
    <w:rsid w:val="00B94EF3"/>
    <w:rsid w:val="00B95C3B"/>
    <w:rsid w:val="00B97C4B"/>
    <w:rsid w:val="00BA0F5E"/>
    <w:rsid w:val="00BA15AD"/>
    <w:rsid w:val="00BA18E1"/>
    <w:rsid w:val="00BB16D2"/>
    <w:rsid w:val="00BB26CB"/>
    <w:rsid w:val="00BB37C4"/>
    <w:rsid w:val="00BB5592"/>
    <w:rsid w:val="00BB58B6"/>
    <w:rsid w:val="00BC0654"/>
    <w:rsid w:val="00BC073E"/>
    <w:rsid w:val="00BC1AC3"/>
    <w:rsid w:val="00BC2A8B"/>
    <w:rsid w:val="00BC7483"/>
    <w:rsid w:val="00BD0645"/>
    <w:rsid w:val="00BD1835"/>
    <w:rsid w:val="00BD344E"/>
    <w:rsid w:val="00BD3FEF"/>
    <w:rsid w:val="00BD5EF0"/>
    <w:rsid w:val="00BD5F66"/>
    <w:rsid w:val="00BD6385"/>
    <w:rsid w:val="00BD6469"/>
    <w:rsid w:val="00BE03CB"/>
    <w:rsid w:val="00BE3B78"/>
    <w:rsid w:val="00BE412F"/>
    <w:rsid w:val="00BE5027"/>
    <w:rsid w:val="00BE6C55"/>
    <w:rsid w:val="00BF117C"/>
    <w:rsid w:val="00BF1F17"/>
    <w:rsid w:val="00BF3F73"/>
    <w:rsid w:val="00C000C4"/>
    <w:rsid w:val="00C006D9"/>
    <w:rsid w:val="00C02E2E"/>
    <w:rsid w:val="00C071C4"/>
    <w:rsid w:val="00C127FF"/>
    <w:rsid w:val="00C13346"/>
    <w:rsid w:val="00C1776F"/>
    <w:rsid w:val="00C22390"/>
    <w:rsid w:val="00C24729"/>
    <w:rsid w:val="00C2485E"/>
    <w:rsid w:val="00C25B23"/>
    <w:rsid w:val="00C26219"/>
    <w:rsid w:val="00C266F3"/>
    <w:rsid w:val="00C26A79"/>
    <w:rsid w:val="00C27A98"/>
    <w:rsid w:val="00C27B5B"/>
    <w:rsid w:val="00C311A1"/>
    <w:rsid w:val="00C31711"/>
    <w:rsid w:val="00C32D4B"/>
    <w:rsid w:val="00C34150"/>
    <w:rsid w:val="00C344D8"/>
    <w:rsid w:val="00C36544"/>
    <w:rsid w:val="00C37B09"/>
    <w:rsid w:val="00C41739"/>
    <w:rsid w:val="00C438AB"/>
    <w:rsid w:val="00C43D2C"/>
    <w:rsid w:val="00C45858"/>
    <w:rsid w:val="00C5133B"/>
    <w:rsid w:val="00C523AE"/>
    <w:rsid w:val="00C524BB"/>
    <w:rsid w:val="00C53841"/>
    <w:rsid w:val="00C54D51"/>
    <w:rsid w:val="00C56732"/>
    <w:rsid w:val="00C601AE"/>
    <w:rsid w:val="00C611D0"/>
    <w:rsid w:val="00C62E4B"/>
    <w:rsid w:val="00C63696"/>
    <w:rsid w:val="00C63D59"/>
    <w:rsid w:val="00C641C8"/>
    <w:rsid w:val="00C64A8A"/>
    <w:rsid w:val="00C654FF"/>
    <w:rsid w:val="00C65A5D"/>
    <w:rsid w:val="00C67EED"/>
    <w:rsid w:val="00C71027"/>
    <w:rsid w:val="00C73F3B"/>
    <w:rsid w:val="00C7488B"/>
    <w:rsid w:val="00C751E3"/>
    <w:rsid w:val="00C75785"/>
    <w:rsid w:val="00C77A05"/>
    <w:rsid w:val="00C77BDC"/>
    <w:rsid w:val="00C83DB8"/>
    <w:rsid w:val="00C85EF3"/>
    <w:rsid w:val="00C862E9"/>
    <w:rsid w:val="00C91704"/>
    <w:rsid w:val="00C91825"/>
    <w:rsid w:val="00C925FE"/>
    <w:rsid w:val="00C92CCE"/>
    <w:rsid w:val="00C936D0"/>
    <w:rsid w:val="00C94500"/>
    <w:rsid w:val="00C94716"/>
    <w:rsid w:val="00C94CC0"/>
    <w:rsid w:val="00C95098"/>
    <w:rsid w:val="00C95549"/>
    <w:rsid w:val="00C960A6"/>
    <w:rsid w:val="00C97B63"/>
    <w:rsid w:val="00C97C82"/>
    <w:rsid w:val="00CA1753"/>
    <w:rsid w:val="00CA1832"/>
    <w:rsid w:val="00CA1CD1"/>
    <w:rsid w:val="00CA30BC"/>
    <w:rsid w:val="00CA574E"/>
    <w:rsid w:val="00CB1E81"/>
    <w:rsid w:val="00CB2A5E"/>
    <w:rsid w:val="00CB318D"/>
    <w:rsid w:val="00CB3B07"/>
    <w:rsid w:val="00CB3F5B"/>
    <w:rsid w:val="00CB5DC4"/>
    <w:rsid w:val="00CB6538"/>
    <w:rsid w:val="00CB6AA5"/>
    <w:rsid w:val="00CB716D"/>
    <w:rsid w:val="00CC182D"/>
    <w:rsid w:val="00CC18AE"/>
    <w:rsid w:val="00CC2A84"/>
    <w:rsid w:val="00CC3F68"/>
    <w:rsid w:val="00CC4DB5"/>
    <w:rsid w:val="00CC5216"/>
    <w:rsid w:val="00CC54E5"/>
    <w:rsid w:val="00CC6823"/>
    <w:rsid w:val="00CC6BB8"/>
    <w:rsid w:val="00CC7F0F"/>
    <w:rsid w:val="00CD313D"/>
    <w:rsid w:val="00CD5332"/>
    <w:rsid w:val="00CD666F"/>
    <w:rsid w:val="00CE0C46"/>
    <w:rsid w:val="00CE1B4B"/>
    <w:rsid w:val="00CE6BC0"/>
    <w:rsid w:val="00CE6E76"/>
    <w:rsid w:val="00CF1A6F"/>
    <w:rsid w:val="00CF2457"/>
    <w:rsid w:val="00CF42A2"/>
    <w:rsid w:val="00CF4AB9"/>
    <w:rsid w:val="00CF7748"/>
    <w:rsid w:val="00CF7B94"/>
    <w:rsid w:val="00D01566"/>
    <w:rsid w:val="00D04E47"/>
    <w:rsid w:val="00D06AC7"/>
    <w:rsid w:val="00D07B90"/>
    <w:rsid w:val="00D1112C"/>
    <w:rsid w:val="00D11951"/>
    <w:rsid w:val="00D125ED"/>
    <w:rsid w:val="00D15CC5"/>
    <w:rsid w:val="00D20581"/>
    <w:rsid w:val="00D234EE"/>
    <w:rsid w:val="00D236F8"/>
    <w:rsid w:val="00D238B7"/>
    <w:rsid w:val="00D24CAD"/>
    <w:rsid w:val="00D25A3C"/>
    <w:rsid w:val="00D27100"/>
    <w:rsid w:val="00D340FC"/>
    <w:rsid w:val="00D36693"/>
    <w:rsid w:val="00D36E94"/>
    <w:rsid w:val="00D372E7"/>
    <w:rsid w:val="00D37A2D"/>
    <w:rsid w:val="00D40A71"/>
    <w:rsid w:val="00D43E4A"/>
    <w:rsid w:val="00D43EB6"/>
    <w:rsid w:val="00D44254"/>
    <w:rsid w:val="00D44289"/>
    <w:rsid w:val="00D46C98"/>
    <w:rsid w:val="00D470BB"/>
    <w:rsid w:val="00D53CF3"/>
    <w:rsid w:val="00D53E4D"/>
    <w:rsid w:val="00D54EC1"/>
    <w:rsid w:val="00D55521"/>
    <w:rsid w:val="00D55EE7"/>
    <w:rsid w:val="00D60C55"/>
    <w:rsid w:val="00D62327"/>
    <w:rsid w:val="00D63687"/>
    <w:rsid w:val="00D64B30"/>
    <w:rsid w:val="00D718A0"/>
    <w:rsid w:val="00D75033"/>
    <w:rsid w:val="00D76506"/>
    <w:rsid w:val="00D80D72"/>
    <w:rsid w:val="00D83D37"/>
    <w:rsid w:val="00D84CC2"/>
    <w:rsid w:val="00D85817"/>
    <w:rsid w:val="00D8604F"/>
    <w:rsid w:val="00D86E4A"/>
    <w:rsid w:val="00D87A2B"/>
    <w:rsid w:val="00D90720"/>
    <w:rsid w:val="00D911DD"/>
    <w:rsid w:val="00D949F2"/>
    <w:rsid w:val="00D94F43"/>
    <w:rsid w:val="00D96629"/>
    <w:rsid w:val="00D96CA8"/>
    <w:rsid w:val="00DA37DE"/>
    <w:rsid w:val="00DA45A5"/>
    <w:rsid w:val="00DA4B93"/>
    <w:rsid w:val="00DA568C"/>
    <w:rsid w:val="00DA5FC6"/>
    <w:rsid w:val="00DA64D2"/>
    <w:rsid w:val="00DA6A84"/>
    <w:rsid w:val="00DB4B3E"/>
    <w:rsid w:val="00DB4DC0"/>
    <w:rsid w:val="00DB72B8"/>
    <w:rsid w:val="00DB72D0"/>
    <w:rsid w:val="00DB78E9"/>
    <w:rsid w:val="00DC0257"/>
    <w:rsid w:val="00DC106D"/>
    <w:rsid w:val="00DC3EF2"/>
    <w:rsid w:val="00DC4D69"/>
    <w:rsid w:val="00DC5507"/>
    <w:rsid w:val="00DC58E4"/>
    <w:rsid w:val="00DC5D6D"/>
    <w:rsid w:val="00DC7701"/>
    <w:rsid w:val="00DC7BF6"/>
    <w:rsid w:val="00DD05BC"/>
    <w:rsid w:val="00DD1C14"/>
    <w:rsid w:val="00DD292D"/>
    <w:rsid w:val="00DD3E5A"/>
    <w:rsid w:val="00DD476F"/>
    <w:rsid w:val="00DD4F46"/>
    <w:rsid w:val="00DD5C9E"/>
    <w:rsid w:val="00DD71EE"/>
    <w:rsid w:val="00DE01D5"/>
    <w:rsid w:val="00DE0B00"/>
    <w:rsid w:val="00DE1281"/>
    <w:rsid w:val="00DE2D10"/>
    <w:rsid w:val="00DE33DA"/>
    <w:rsid w:val="00DE57AB"/>
    <w:rsid w:val="00DF0223"/>
    <w:rsid w:val="00DF1BA4"/>
    <w:rsid w:val="00DF2D1B"/>
    <w:rsid w:val="00DF3C22"/>
    <w:rsid w:val="00DF48C5"/>
    <w:rsid w:val="00DF70F2"/>
    <w:rsid w:val="00DF7429"/>
    <w:rsid w:val="00E00291"/>
    <w:rsid w:val="00E038F4"/>
    <w:rsid w:val="00E06436"/>
    <w:rsid w:val="00E06A3E"/>
    <w:rsid w:val="00E07ECB"/>
    <w:rsid w:val="00E112A1"/>
    <w:rsid w:val="00E12120"/>
    <w:rsid w:val="00E12707"/>
    <w:rsid w:val="00E12AFD"/>
    <w:rsid w:val="00E22CB5"/>
    <w:rsid w:val="00E2703C"/>
    <w:rsid w:val="00E274CD"/>
    <w:rsid w:val="00E30519"/>
    <w:rsid w:val="00E30B8B"/>
    <w:rsid w:val="00E31F93"/>
    <w:rsid w:val="00E36C5C"/>
    <w:rsid w:val="00E4102B"/>
    <w:rsid w:val="00E41ADD"/>
    <w:rsid w:val="00E43434"/>
    <w:rsid w:val="00E4538E"/>
    <w:rsid w:val="00E45B15"/>
    <w:rsid w:val="00E46A3C"/>
    <w:rsid w:val="00E4737A"/>
    <w:rsid w:val="00E47A39"/>
    <w:rsid w:val="00E50E4B"/>
    <w:rsid w:val="00E52C66"/>
    <w:rsid w:val="00E53A4F"/>
    <w:rsid w:val="00E56BDE"/>
    <w:rsid w:val="00E5729C"/>
    <w:rsid w:val="00E60FBB"/>
    <w:rsid w:val="00E653B0"/>
    <w:rsid w:val="00E655A1"/>
    <w:rsid w:val="00E659CE"/>
    <w:rsid w:val="00E65E7D"/>
    <w:rsid w:val="00E663F8"/>
    <w:rsid w:val="00E67ACC"/>
    <w:rsid w:val="00E709EC"/>
    <w:rsid w:val="00E74AE2"/>
    <w:rsid w:val="00E74B20"/>
    <w:rsid w:val="00E74FCE"/>
    <w:rsid w:val="00E750A1"/>
    <w:rsid w:val="00E75C6A"/>
    <w:rsid w:val="00E75F34"/>
    <w:rsid w:val="00E76581"/>
    <w:rsid w:val="00E76918"/>
    <w:rsid w:val="00E776B8"/>
    <w:rsid w:val="00E80B91"/>
    <w:rsid w:val="00E811CD"/>
    <w:rsid w:val="00E81326"/>
    <w:rsid w:val="00E8349A"/>
    <w:rsid w:val="00E84EF8"/>
    <w:rsid w:val="00E84FC4"/>
    <w:rsid w:val="00E852B8"/>
    <w:rsid w:val="00E86A96"/>
    <w:rsid w:val="00E875C4"/>
    <w:rsid w:val="00E87A99"/>
    <w:rsid w:val="00E87F0F"/>
    <w:rsid w:val="00E918CA"/>
    <w:rsid w:val="00E94694"/>
    <w:rsid w:val="00E94C12"/>
    <w:rsid w:val="00E961A1"/>
    <w:rsid w:val="00E96C35"/>
    <w:rsid w:val="00EA1001"/>
    <w:rsid w:val="00EA1998"/>
    <w:rsid w:val="00EA2A60"/>
    <w:rsid w:val="00EA4EA9"/>
    <w:rsid w:val="00EA535F"/>
    <w:rsid w:val="00EA6A0E"/>
    <w:rsid w:val="00EA7EB4"/>
    <w:rsid w:val="00EB02C4"/>
    <w:rsid w:val="00EB0E1F"/>
    <w:rsid w:val="00EB2CF4"/>
    <w:rsid w:val="00EB6BA2"/>
    <w:rsid w:val="00EB6D24"/>
    <w:rsid w:val="00EC061C"/>
    <w:rsid w:val="00EC0E2E"/>
    <w:rsid w:val="00EC0EB2"/>
    <w:rsid w:val="00EC22C4"/>
    <w:rsid w:val="00EC3199"/>
    <w:rsid w:val="00EC40B8"/>
    <w:rsid w:val="00EC461A"/>
    <w:rsid w:val="00EC5C6F"/>
    <w:rsid w:val="00EC7515"/>
    <w:rsid w:val="00ED1407"/>
    <w:rsid w:val="00ED22CA"/>
    <w:rsid w:val="00ED23AF"/>
    <w:rsid w:val="00ED2791"/>
    <w:rsid w:val="00ED29A5"/>
    <w:rsid w:val="00ED2EF4"/>
    <w:rsid w:val="00ED492E"/>
    <w:rsid w:val="00EE19C0"/>
    <w:rsid w:val="00EE2B41"/>
    <w:rsid w:val="00EE3E94"/>
    <w:rsid w:val="00EF206C"/>
    <w:rsid w:val="00EF50CC"/>
    <w:rsid w:val="00EF5A70"/>
    <w:rsid w:val="00EF5D9F"/>
    <w:rsid w:val="00F022F4"/>
    <w:rsid w:val="00F04D14"/>
    <w:rsid w:val="00F06929"/>
    <w:rsid w:val="00F0777B"/>
    <w:rsid w:val="00F07FCD"/>
    <w:rsid w:val="00F10023"/>
    <w:rsid w:val="00F115AA"/>
    <w:rsid w:val="00F12E0F"/>
    <w:rsid w:val="00F12FE9"/>
    <w:rsid w:val="00F130F2"/>
    <w:rsid w:val="00F1387C"/>
    <w:rsid w:val="00F146B0"/>
    <w:rsid w:val="00F1502B"/>
    <w:rsid w:val="00F15B5E"/>
    <w:rsid w:val="00F15DC5"/>
    <w:rsid w:val="00F16056"/>
    <w:rsid w:val="00F16497"/>
    <w:rsid w:val="00F17968"/>
    <w:rsid w:val="00F179AD"/>
    <w:rsid w:val="00F2094E"/>
    <w:rsid w:val="00F2140A"/>
    <w:rsid w:val="00F2160F"/>
    <w:rsid w:val="00F21824"/>
    <w:rsid w:val="00F2298F"/>
    <w:rsid w:val="00F24B15"/>
    <w:rsid w:val="00F24D71"/>
    <w:rsid w:val="00F25E89"/>
    <w:rsid w:val="00F26577"/>
    <w:rsid w:val="00F26C74"/>
    <w:rsid w:val="00F30B42"/>
    <w:rsid w:val="00F31659"/>
    <w:rsid w:val="00F3277C"/>
    <w:rsid w:val="00F33993"/>
    <w:rsid w:val="00F33E78"/>
    <w:rsid w:val="00F35815"/>
    <w:rsid w:val="00F3639C"/>
    <w:rsid w:val="00F366D2"/>
    <w:rsid w:val="00F40582"/>
    <w:rsid w:val="00F432E9"/>
    <w:rsid w:val="00F45112"/>
    <w:rsid w:val="00F45BE1"/>
    <w:rsid w:val="00F46A6F"/>
    <w:rsid w:val="00F46AEF"/>
    <w:rsid w:val="00F47CAD"/>
    <w:rsid w:val="00F51233"/>
    <w:rsid w:val="00F519FE"/>
    <w:rsid w:val="00F53302"/>
    <w:rsid w:val="00F54186"/>
    <w:rsid w:val="00F54C9A"/>
    <w:rsid w:val="00F558AB"/>
    <w:rsid w:val="00F65B18"/>
    <w:rsid w:val="00F6651A"/>
    <w:rsid w:val="00F6779B"/>
    <w:rsid w:val="00F70199"/>
    <w:rsid w:val="00F72DCD"/>
    <w:rsid w:val="00F733FA"/>
    <w:rsid w:val="00F754B1"/>
    <w:rsid w:val="00F7648E"/>
    <w:rsid w:val="00F802BE"/>
    <w:rsid w:val="00F83BD0"/>
    <w:rsid w:val="00F83E99"/>
    <w:rsid w:val="00F84384"/>
    <w:rsid w:val="00F84941"/>
    <w:rsid w:val="00F85237"/>
    <w:rsid w:val="00F8538A"/>
    <w:rsid w:val="00F86505"/>
    <w:rsid w:val="00F902B2"/>
    <w:rsid w:val="00F908CE"/>
    <w:rsid w:val="00F90CE7"/>
    <w:rsid w:val="00F915F8"/>
    <w:rsid w:val="00F9292F"/>
    <w:rsid w:val="00F93FED"/>
    <w:rsid w:val="00F9750E"/>
    <w:rsid w:val="00FA2F23"/>
    <w:rsid w:val="00FA3758"/>
    <w:rsid w:val="00FA4B4D"/>
    <w:rsid w:val="00FA54D1"/>
    <w:rsid w:val="00FA56F6"/>
    <w:rsid w:val="00FA5DF3"/>
    <w:rsid w:val="00FA74C7"/>
    <w:rsid w:val="00FB0344"/>
    <w:rsid w:val="00FB0734"/>
    <w:rsid w:val="00FB33F7"/>
    <w:rsid w:val="00FB3EE3"/>
    <w:rsid w:val="00FB4590"/>
    <w:rsid w:val="00FB574F"/>
    <w:rsid w:val="00FB6236"/>
    <w:rsid w:val="00FC0563"/>
    <w:rsid w:val="00FC199B"/>
    <w:rsid w:val="00FC2CB3"/>
    <w:rsid w:val="00FD065C"/>
    <w:rsid w:val="00FD07CB"/>
    <w:rsid w:val="00FD1AD0"/>
    <w:rsid w:val="00FD521F"/>
    <w:rsid w:val="00FD78D5"/>
    <w:rsid w:val="00FE132B"/>
    <w:rsid w:val="00FE1573"/>
    <w:rsid w:val="00FE3277"/>
    <w:rsid w:val="00FE37D0"/>
    <w:rsid w:val="00FE4ED7"/>
    <w:rsid w:val="00FE5CBF"/>
    <w:rsid w:val="00FE6217"/>
    <w:rsid w:val="00FF0826"/>
    <w:rsid w:val="00FF08D8"/>
    <w:rsid w:val="00FF1DBD"/>
    <w:rsid w:val="00FF1F9B"/>
    <w:rsid w:val="00FF61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04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B"/>
    <w:pPr>
      <w:keepNext/>
      <w:keepLines/>
      <w:numPr>
        <w:numId w:val="2"/>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1D6CC7"/>
    <w:pPr>
      <w:tabs>
        <w:tab w:val="left" w:pos="426"/>
        <w:tab w:val="right" w:pos="9016"/>
      </w:tabs>
    </w:pPr>
  </w:style>
  <w:style w:type="paragraph" w:styleId="TOC3">
    <w:name w:val="toc 3"/>
    <w:basedOn w:val="Normal"/>
    <w:next w:val="Normal"/>
    <w:autoRedefine/>
    <w:uiPriority w:val="39"/>
    <w:unhideWhenUsed/>
    <w:rsid w:val="00366853"/>
    <w:pPr>
      <w:tabs>
        <w:tab w:val="right" w:pos="9016"/>
      </w:tabs>
      <w:spacing w:before="60"/>
    </w:pPr>
  </w:style>
  <w:style w:type="paragraph" w:styleId="TOC2">
    <w:name w:val="toc 2"/>
    <w:basedOn w:val="Normal"/>
    <w:next w:val="Normal"/>
    <w:autoRedefine/>
    <w:uiPriority w:val="39"/>
    <w:unhideWhenUsed/>
    <w:rsid w:val="00366853"/>
    <w:pPr>
      <w:tabs>
        <w:tab w:val="right" w:pos="9016"/>
      </w:tabs>
    </w:p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A561B1"/>
    <w:pPr>
      <w:numPr>
        <w:numId w:val="1"/>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qFormat/>
    <w:rsid w:val="005B3D76"/>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Systemstep">
    <w:name w:val="System step"/>
    <w:basedOn w:val="guidelinetext"/>
    <w:link w:val="SystemstepChar"/>
    <w:qFormat/>
    <w:rsid w:val="00AF57E5"/>
    <w:pPr>
      <w:numPr>
        <w:numId w:val="3"/>
      </w:numPr>
    </w:pPr>
  </w:style>
  <w:style w:type="table" w:styleId="TableGrid">
    <w:name w:val="Table Grid"/>
    <w:basedOn w:val="TableNormal"/>
    <w:uiPriority w:val="39"/>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A159C7"/>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semiHidden/>
    <w:unhideWhenUsed/>
    <w:rsid w:val="002E6FDB"/>
    <w:rPr>
      <w:sz w:val="16"/>
      <w:szCs w:val="16"/>
    </w:rPr>
  </w:style>
  <w:style w:type="paragraph" w:styleId="CommentText">
    <w:name w:val="annotation text"/>
    <w:basedOn w:val="Normal"/>
    <w:link w:val="CommentTextChar"/>
    <w:uiPriority w:val="99"/>
    <w:unhideWhenUsed/>
    <w:rsid w:val="002E6FDB"/>
    <w:rPr>
      <w:sz w:val="20"/>
      <w:szCs w:val="20"/>
    </w:rPr>
  </w:style>
  <w:style w:type="character" w:customStyle="1" w:styleId="CommentTextChar">
    <w:name w:val="Comment Text Char"/>
    <w:basedOn w:val="DefaultParagraphFont"/>
    <w:link w:val="CommentText"/>
    <w:uiPriority w:val="99"/>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guidelinetext"/>
    <w:link w:val="docevChar"/>
    <w:qFormat/>
    <w:rsid w:val="00AF57E5"/>
    <w:pPr>
      <w:numPr>
        <w:numId w:val="4"/>
      </w:numPr>
    </w:pPr>
  </w:style>
  <w:style w:type="paragraph" w:customStyle="1" w:styleId="WHS">
    <w:name w:val="WHS"/>
    <w:basedOn w:val="guidelinetext"/>
    <w:link w:val="WHSChar"/>
    <w:qFormat/>
    <w:rsid w:val="00AF57E5"/>
    <w:pPr>
      <w:numPr>
        <w:numId w:val="5"/>
      </w:numPr>
      <w:ind w:left="1418" w:hanging="1418"/>
    </w:pPr>
  </w:style>
  <w:style w:type="character" w:customStyle="1" w:styleId="docevChar">
    <w:name w:val="doc ev Char"/>
    <w:basedOn w:val="SystemstepChar"/>
    <w:link w:val="docev"/>
    <w:rsid w:val="00A159C7"/>
  </w:style>
  <w:style w:type="character" w:customStyle="1" w:styleId="WHSChar">
    <w:name w:val="WHS Char"/>
    <w:basedOn w:val="SystemstepChar"/>
    <w:link w:val="WHS"/>
    <w:rsid w:val="00A159C7"/>
  </w:style>
  <w:style w:type="paragraph" w:styleId="FootnoteText">
    <w:name w:val="footnote text"/>
    <w:basedOn w:val="Normal"/>
    <w:link w:val="FootnoteTextChar"/>
    <w:uiPriority w:val="99"/>
    <w:semiHidden/>
    <w:unhideWhenUsed/>
    <w:rsid w:val="00D24CAD"/>
    <w:pPr>
      <w:spacing w:before="0"/>
    </w:pPr>
    <w:rPr>
      <w:sz w:val="20"/>
      <w:szCs w:val="20"/>
    </w:rPr>
  </w:style>
  <w:style w:type="character" w:customStyle="1" w:styleId="FootnoteTextChar">
    <w:name w:val="Footnote Text Char"/>
    <w:basedOn w:val="DefaultParagraphFont"/>
    <w:link w:val="FootnoteText"/>
    <w:uiPriority w:val="99"/>
    <w:semiHidden/>
    <w:rsid w:val="00D24CAD"/>
    <w:rPr>
      <w:sz w:val="20"/>
      <w:szCs w:val="20"/>
    </w:rPr>
  </w:style>
  <w:style w:type="character" w:styleId="FootnoteReference">
    <w:name w:val="footnote reference"/>
    <w:basedOn w:val="DefaultParagraphFont"/>
    <w:uiPriority w:val="99"/>
    <w:semiHidden/>
    <w:unhideWhenUsed/>
    <w:rsid w:val="00D24CAD"/>
    <w:rPr>
      <w:vertAlign w:val="superscript"/>
    </w:rPr>
  </w:style>
  <w:style w:type="character" w:styleId="FollowedHyperlink">
    <w:name w:val="FollowedHyperlink"/>
    <w:basedOn w:val="DefaultParagraphFont"/>
    <w:uiPriority w:val="99"/>
    <w:semiHidden/>
    <w:unhideWhenUsed/>
    <w:rsid w:val="00DF7429"/>
    <w:rPr>
      <w:color w:val="954F72" w:themeColor="followedHyperlink"/>
      <w:u w:val="single"/>
    </w:rPr>
  </w:style>
  <w:style w:type="paragraph" w:customStyle="1" w:styleId="TableText0">
    <w:name w:val="Table Text"/>
    <w:basedOn w:val="Normal"/>
    <w:uiPriority w:val="99"/>
    <w:qFormat/>
    <w:rsid w:val="00DF7429"/>
    <w:pPr>
      <w:autoSpaceDE w:val="0"/>
      <w:autoSpaceDN w:val="0"/>
      <w:adjustRightInd w:val="0"/>
      <w:spacing w:before="60" w:after="60"/>
      <w:contextualSpacing/>
    </w:pPr>
    <w:rPr>
      <w:rFonts w:ascii="Calibri" w:eastAsia="Times New Roman" w:hAnsi="Calibri" w:cs="Arial"/>
      <w:sz w:val="20"/>
      <w:szCs w:val="24"/>
      <w:lang w:eastAsia="en-AU"/>
    </w:rPr>
  </w:style>
  <w:style w:type="paragraph" w:customStyle="1" w:styleId="TableTextCentred">
    <w:name w:val="Table Text Centred"/>
    <w:basedOn w:val="Normal"/>
    <w:rsid w:val="00DF7429"/>
    <w:pPr>
      <w:spacing w:after="120"/>
      <w:jc w:val="center"/>
    </w:pPr>
    <w:rPr>
      <w:rFonts w:ascii="Calibri" w:eastAsia="Times New Roman" w:hAnsi="Calibri" w:cs="Arial"/>
      <w:sz w:val="20"/>
      <w:szCs w:val="20"/>
      <w:lang w:eastAsia="en-AU"/>
    </w:rPr>
  </w:style>
  <w:style w:type="paragraph" w:styleId="Revision">
    <w:name w:val="Revision"/>
    <w:hidden/>
    <w:uiPriority w:val="99"/>
    <w:semiHidden/>
    <w:rsid w:val="008905F8"/>
    <w:pPr>
      <w:spacing w:before="0"/>
    </w:pPr>
  </w:style>
  <w:style w:type="paragraph" w:styleId="TOC4">
    <w:name w:val="toc 4"/>
    <w:basedOn w:val="Normal"/>
    <w:next w:val="Normal"/>
    <w:autoRedefine/>
    <w:uiPriority w:val="39"/>
    <w:semiHidden/>
    <w:unhideWhenUsed/>
    <w:rsid w:val="007B5C67"/>
    <w:pPr>
      <w:spacing w:after="100"/>
      <w:ind w:left="660"/>
    </w:pPr>
  </w:style>
  <w:style w:type="paragraph" w:customStyle="1" w:styleId="Default">
    <w:name w:val="Default"/>
    <w:rsid w:val="001E758A"/>
    <w:pPr>
      <w:autoSpaceDE w:val="0"/>
      <w:autoSpaceDN w:val="0"/>
      <w:adjustRightInd w:val="0"/>
      <w:spacing w:before="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568804250">
      <w:bodyDiv w:val="1"/>
      <w:marLeft w:val="0"/>
      <w:marRight w:val="0"/>
      <w:marTop w:val="0"/>
      <w:marBottom w:val="0"/>
      <w:divBdr>
        <w:top w:val="none" w:sz="0" w:space="0" w:color="auto"/>
        <w:left w:val="none" w:sz="0" w:space="0" w:color="auto"/>
        <w:bottom w:val="none" w:sz="0" w:space="0" w:color="auto"/>
        <w:right w:val="none" w:sz="0" w:space="0" w:color="auto"/>
      </w:divBdr>
    </w:div>
    <w:div w:id="1076705311">
      <w:bodyDiv w:val="1"/>
      <w:marLeft w:val="0"/>
      <w:marRight w:val="0"/>
      <w:marTop w:val="0"/>
      <w:marBottom w:val="0"/>
      <w:divBdr>
        <w:top w:val="none" w:sz="0" w:space="0" w:color="auto"/>
        <w:left w:val="none" w:sz="0" w:space="0" w:color="auto"/>
        <w:bottom w:val="none" w:sz="0" w:space="0" w:color="auto"/>
        <w:right w:val="none" w:sz="0" w:space="0" w:color="auto"/>
      </w:divBdr>
    </w:div>
    <w:div w:id="1270238203">
      <w:bodyDiv w:val="1"/>
      <w:marLeft w:val="0"/>
      <w:marRight w:val="0"/>
      <w:marTop w:val="0"/>
      <w:marBottom w:val="0"/>
      <w:divBdr>
        <w:top w:val="none" w:sz="0" w:space="0" w:color="auto"/>
        <w:left w:val="none" w:sz="0" w:space="0" w:color="auto"/>
        <w:bottom w:val="none" w:sz="0" w:space="0" w:color="auto"/>
        <w:right w:val="none" w:sz="0" w:space="0" w:color="auto"/>
      </w:divBdr>
    </w:div>
    <w:div w:id="18987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snaccessintranet.hosts.application.enet/ProviderPortal/NEST/Guidelines/pages/Default.aspx" TargetMode="External"/><Relationship Id="rId18" Type="http://schemas.openxmlformats.org/officeDocument/2006/relationships/hyperlink" Target="https://ecsnaccessintranet.hosts.application.enet/ProviderPortal/NEST/Guidelines/pages/Default.aspx" TargetMode="External"/><Relationship Id="rId26" Type="http://schemas.openxmlformats.org/officeDocument/2006/relationships/hyperlink" Target="https://ecsnaccessintranet.hosts.application.enet/ProviderPortal/NEST/SupportingDocuments/pages/Default.aspx" TargetMode="External"/><Relationship Id="rId39" Type="http://schemas.openxmlformats.org/officeDocument/2006/relationships/hyperlink" Target="https://ecsnaccessintranet.hosts.application.enet/ProviderPortal/NEST/SupportingDocuments/pages/Default.aspx" TargetMode="External"/><Relationship Id="rId21" Type="http://schemas.openxmlformats.org/officeDocument/2006/relationships/hyperlink" Target="https://ecsnaccessintranet.hosts.application.enet/ProviderPortal/NEST/Guidelines/pages/Default.aspx" TargetMode="External"/><Relationship Id="rId34" Type="http://schemas.openxmlformats.org/officeDocument/2006/relationships/header" Target="header1.xml"/><Relationship Id="rId42" Type="http://schemas.openxmlformats.org/officeDocument/2006/relationships/hyperlink" Target="https://ecsnaccessintranet.hosts.application.enet/ProviderPortal/NEST/SupportingDocuments/pages/Default.aspx" TargetMode="External"/><Relationship Id="rId47" Type="http://schemas.openxmlformats.org/officeDocument/2006/relationships/hyperlink" Target="https://ecsnaccessintranet.hosts.application.enet/ProviderPortal/NEST/SupportingDocuments/pages/Default.aspx" TargetMode="External"/><Relationship Id="rId50" Type="http://schemas.openxmlformats.org/officeDocument/2006/relationships/hyperlink" Target="https://ecsnaccessintranet.hosts.application.enet/ProviderPortal/jobactive/Documents/Current/List%20of%20Non-Government%20Programs%20Approved%20Activities.pdf"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csnaccessintranet.hosts.application.enet/ProviderPortal/NEST/Guidelines/pages/Default.aspx" TargetMode="External"/><Relationship Id="rId29" Type="http://schemas.openxmlformats.org/officeDocument/2006/relationships/hyperlink" Target="https://ecsnaccessintranet.hosts.application.enet/ProviderPortal/NEST/Guidelines/pages/Default.aspx" TargetMode="External"/><Relationship Id="rId11" Type="http://schemas.openxmlformats.org/officeDocument/2006/relationships/image" Target="media/image1.jpeg"/><Relationship Id="rId24" Type="http://schemas.openxmlformats.org/officeDocument/2006/relationships/hyperlink" Target="https://ecsnaccessintranet.hosts.application.enet/ProviderPortal/NEST/SupportingDocuments/pages/Default.aspx" TargetMode="External"/><Relationship Id="rId32" Type="http://schemas.openxmlformats.org/officeDocument/2006/relationships/hyperlink" Target="https://ecsnaccessintranet.hosts.application.enet/ProviderPortal/NEST/Guidelines/pages/Default.aspx" TargetMode="External"/><Relationship Id="rId37" Type="http://schemas.openxmlformats.org/officeDocument/2006/relationships/hyperlink" Target="http://training.gov.au/" TargetMode="External"/><Relationship Id="rId40" Type="http://schemas.openxmlformats.org/officeDocument/2006/relationships/hyperlink" Target="https://ecsnaccessintranet.hosts.application.enet/ProviderPortal/jobactive/ProviderOperations/Pages/Insurance.aspx" TargetMode="External"/><Relationship Id="rId45" Type="http://schemas.openxmlformats.org/officeDocument/2006/relationships/hyperlink" Target="https://ecsnaccessintranet.hosts.application.enet/ProviderPortal/NEST/SupportingDocuments/pages/Default.aspx" TargetMode="External"/><Relationship Id="rId53" Type="http://schemas.openxmlformats.org/officeDocument/2006/relationships/hyperlink" Target="https://ecsnaccessintranet.hosts.application.enet/ProviderPortal/NEST/Guidelines/pages/Default.aspx" TargetMode="Externa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ecsnaccessintranet.hosts.application.enet/ProviderPortal/NEST/Guidelines/pages/Default.aspx" TargetMode="External"/><Relationship Id="rId31" Type="http://schemas.openxmlformats.org/officeDocument/2006/relationships/hyperlink" Target="https://ecsnaccessintranet.hosts.application.enet/ProviderPortal/NEST/SupportingDocuments/pages/Default.aspx" TargetMode="External"/><Relationship Id="rId44" Type="http://schemas.openxmlformats.org/officeDocument/2006/relationships/hyperlink" Target="https://ecsnaccessintranet.hosts.application.enet/ProviderPortal/NEST/SupportingDocuments/pages/Default.aspx" TargetMode="External"/><Relationship Id="rId52" Type="http://schemas.openxmlformats.org/officeDocument/2006/relationships/hyperlink" Target="https://ecsnaccessintranet.hosts.application.enet/ProviderPortal/NEST/Guidelines/pages/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snaccessintranet.hosts.application.enet/ProviderPortal/NEST/Guidelines/pages/Default.aspx" TargetMode="External"/><Relationship Id="rId22" Type="http://schemas.openxmlformats.org/officeDocument/2006/relationships/hyperlink" Target="https://ecsnaccessintranet.hosts.application.enet/ProviderPortal/NEST/Guidelines/pages/Default.aspx" TargetMode="External"/><Relationship Id="rId27" Type="http://schemas.openxmlformats.org/officeDocument/2006/relationships/hyperlink" Target="https://ecsnaccessintranet.hosts.application.enet/ProviderPortal/NEST/SupportingDocuments/pages/Default.aspx" TargetMode="External"/><Relationship Id="rId30" Type="http://schemas.openxmlformats.org/officeDocument/2006/relationships/hyperlink" Target="https://ecsnaccessintranet.hosts.application.enet/ProviderPortal/NEST/SupportingDocuments/pages/Default.aspx" TargetMode="External"/><Relationship Id="rId35" Type="http://schemas.openxmlformats.org/officeDocument/2006/relationships/footer" Target="footer1.xml"/><Relationship Id="rId43" Type="http://schemas.openxmlformats.org/officeDocument/2006/relationships/hyperlink" Target="https://ecsnaccessintranet.hosts.application.enet/ProviderPortal/NEST/Guidelines/pages/Default.aspx" TargetMode="External"/><Relationship Id="rId48" Type="http://schemas.openxmlformats.org/officeDocument/2006/relationships/hyperlink" Target="https://ecsnaccessintranet.hosts.application.enet/ProviderPortal/NEST/Guidelines/pages/Default.aspx"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ecsnaccessintranet.hosts.application.enet/ProviderPortal/NEST/Guidelines/pages/Default.aspx" TargetMode="External"/><Relationship Id="rId3" Type="http://schemas.openxmlformats.org/officeDocument/2006/relationships/customXml" Target="../customXml/item3.xml"/><Relationship Id="rId12" Type="http://schemas.openxmlformats.org/officeDocument/2006/relationships/hyperlink" Target="https://ecsnaccessintranet.hosts.application.enet/ProviderPortal/NEST/SupportingDocuments/pages/Default.aspx" TargetMode="External"/><Relationship Id="rId17" Type="http://schemas.openxmlformats.org/officeDocument/2006/relationships/hyperlink" Target="https://ecsnaccessintranet.hosts.application.enet/ProviderPortal/NEST/Guidelines/pages/Default.aspx" TargetMode="External"/><Relationship Id="rId25" Type="http://schemas.openxmlformats.org/officeDocument/2006/relationships/hyperlink" Target="https://ecsnaccessintranet.hosts.application.enet/ProviderPortal/NEST/Guidelines/pages/Default.aspx" TargetMode="External"/><Relationship Id="rId33" Type="http://schemas.openxmlformats.org/officeDocument/2006/relationships/hyperlink" Target="http://www.ato.gov.au" TargetMode="External"/><Relationship Id="rId38" Type="http://schemas.openxmlformats.org/officeDocument/2006/relationships/hyperlink" Target="https://ecsnaccessintranet.hosts.application.enet/ProviderPortal/NEST/SupportingDocuments/pages/Default.aspx" TargetMode="External"/><Relationship Id="rId46" Type="http://schemas.openxmlformats.org/officeDocument/2006/relationships/hyperlink" Target="https://ecsnaccessintranet.hosts.application.enet/ProviderPortal/NEST/Guidelines/pages/Default.aspx" TargetMode="External"/><Relationship Id="rId20" Type="http://schemas.openxmlformats.org/officeDocument/2006/relationships/hyperlink" Target="https://ecsnaccessintranet.hosts.application.enet/ProviderPortal/jobactive/ProviderOperations/Pages/Insurance.aspx" TargetMode="External"/><Relationship Id="rId41" Type="http://schemas.openxmlformats.org/officeDocument/2006/relationships/hyperlink" Target="https://ecsnaccessintranet.hosts.application.enet/ProviderPortal/NEST/Guidelines/pages/Default.aspx"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csnaccessintranet.hosts.application.enet/ProviderPortal/NEST/Guidelines/pages/Default.aspx" TargetMode="External"/><Relationship Id="rId23" Type="http://schemas.openxmlformats.org/officeDocument/2006/relationships/hyperlink" Target="https://ecsnaccessintranet.hosts.application.enet/ProviderPortal/NEST/SupportingDocuments/pages/Default.aspx" TargetMode="External"/><Relationship Id="rId28" Type="http://schemas.openxmlformats.org/officeDocument/2006/relationships/hyperlink" Target="https://ecsnaccessintranet.hosts.application.enet/ProviderPortal/NEST/Guidelines/pages/Default.aspx" TargetMode="External"/><Relationship Id="rId36" Type="http://schemas.openxmlformats.org/officeDocument/2006/relationships/hyperlink" Target="http://training.gov.au/" TargetMode="External"/><Relationship Id="rId49" Type="http://schemas.openxmlformats.org/officeDocument/2006/relationships/hyperlink" Target="https://docs.employment.gov.au/documents/application-form-non-government-programmes-approved-annual-activity-requirement-purpo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hp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9C825AA53ABE1E46BAACA2C47B9751C8" ma:contentTypeVersion="48" ma:contentTypeDescription="Secure Site content type template for recording metadata for documents." ma:contentTypeScope="" ma:versionID="1e9e68523307e22a08ca038d13e6def5">
  <xsd:schema xmlns:xsd="http://www.w3.org/2001/XMLSchema" xmlns:xs="http://www.w3.org/2001/XMLSchema" xmlns:p="http://schemas.microsoft.com/office/2006/metadata/properties" xmlns:ns1="d4ed92f1-b901-42a9-bcc3-7b24959a6f87" xmlns:ns2="a232d271-55e7-4aa6-9ab7-ccc10e765e65" xmlns:ns4="cb1825da-90f7-421b-9ea2-df4c5c18c700" targetNamespace="http://schemas.microsoft.com/office/2006/metadata/properties" ma:root="true" ma:fieldsID="15d097a77890136add9fce28226a1862" ns1:_="" ns2:_="" ns4:_="">
    <xsd:import namespace="d4ed92f1-b901-42a9-bcc3-7b24959a6f87"/>
    <xsd:import namespace="a232d271-55e7-4aa6-9ab7-ccc10e765e65"/>
    <xsd:import namespace="cb1825da-90f7-421b-9ea2-df4c5c18c700"/>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1825da-90f7-421b-9ea2-df4c5c18c700"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SCSSIncludeInNewsletter xmlns="d4ed92f1-b901-42a9-bcc3-7b24959a6f87">false</ESCSSIncludeInNewsletter>
    <ESCSSKeywords xmlns="d4ed92f1-b901-42a9-bcc3-7b24959a6f87">New Employment Services Trial, NEST, Employment Fund</ESCSSKeywords>
    <ESCSSReviewDate xmlns="d4ed92f1-b901-42a9-bcc3-7b24959a6f87" xsi:nil="true"/>
    <ESCSSContentAuthor xmlns="d4ed92f1-b901-42a9-bcc3-7b24959a6f87">1536</ESCSSContentAuthor>
    <ESCSSResourceType xmlns="d4ed92f1-b901-42a9-bcc3-7b24959a6f87">7</ESCSSResourceType>
    <ESCSSSubject xmlns="d4ed92f1-b901-42a9-bcc3-7b24959a6f87">20200812-154307100192</ESCSSSubject>
    <ESCSSEffectiveStartDate xmlns="d4ed92f1-b901-42a9-bcc3-7b24959a6f87">2020-11-04T13:00:00+00:00</ESCSSEffectiveStartDate>
    <ESCSSContentApprover xmlns="d4ed92f1-b901-42a9-bcc3-7b24959a6f87">1536</ESCSSContentApprover>
    <ESCSSTopic xmlns="d4ed92f1-b901-42a9-bcc3-7b24959a6f87">454</ESCSSTopic>
    <ESCSSContentStatus xmlns="d4ed92f1-b901-42a9-bcc3-7b24959a6f87">Current</ESCSSContentStatus>
    <ESCSSIncludeInLatestUpdates xmlns="d4ed92f1-b901-42a9-bcc3-7b24959a6f87">false</ESCSSIncludeInLatestUpdates>
    <ESCSSSummaryOfUpdate xmlns="d4ed92f1-b901-42a9-bcc3-7b24959a6f87">From 1 January 2021 the Online Employment Services Trial (OEST) will be referred to as Online Employment Services (OES).</ESCSSSummaryOfUpdate>
    <ESCSSDescription xmlns="d4ed92f1-b901-42a9-bcc3-7b24959a6f87">This Guideline outlines how to use the Employment Fund General Account (Employment Fund). The Employment Fund is a flexible pool of funds available to NEST Providers (Providers) to offer support tailored to the needs of Participants, employers and the local labour market. Each Provider receives credits they can use and then claim Reimbursement for the purchase of goods and services that genuinely support and assist Participants to gain the tools, and build the skills and experience they need to get and keep a job.</ESCSSDescription>
    <ESCSSContentAuthorBranch xmlns="d4ed92f1-b901-42a9-bcc3-7b24959a6f87">114</ESCSSContentAuthorBranch>
    <ESCSSLocation xmlns="a232d271-55e7-4aa6-9ab7-ccc10e765e65">NEST/Guidelines</ESCSSLocation>
    <ESCSSSiteGroup xmlns="d4ed92f1-b901-42a9-bcc3-7b24959a6f87">
      <Value>2</Value>
    </ESCSSSiteGroup>
    <ESCSSPublishingInstructions xmlns="d4ed92f1-b901-42a9-bcc3-7b24959a6f87">As part of Tranche 4 2020 Guideline updates, DAT to publish on the Provider Portal pages</ESCSSPublishingInstructions>
    <ESCSSContentAuthorTeam xmlns="d4ed92f1-b901-42a9-bcc3-7b24959a6f87">152</ESCSSContentAuthorTeam>
    <ESCSSPublishingContentAuthorEmail xmlns="d4ed92f1-b901-42a9-bcc3-7b24959a6f87">rachael.simpson@dese.gov.au</ESCSSPublishingContentAuthorEmail>
    <ESCSSPublishingAuthorisingBranchHead xmlns="d4ed92f1-b901-42a9-bcc3-7b24959a6f87">3454</ESCSSPublishingAuthorisingBranchHead>
    <ESCSSDocumentId xmlns="d4ed92f1-b901-42a9-bcc3-7b24959a6f87">Tracked - D20/1075416 Clean - D20/1075410</ESCSSDocumen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37AC1-68DC-4F7B-8143-3BA655AFB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d92f1-b901-42a9-bcc3-7b24959a6f87"/>
    <ds:schemaRef ds:uri="a232d271-55e7-4aa6-9ab7-ccc10e765e65"/>
    <ds:schemaRef ds:uri="cb1825da-90f7-421b-9ea2-df4c5c18c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13F990-AE2D-4715-A2BD-2CED5990568A}">
  <ds:schemaRefs>
    <ds:schemaRef ds:uri="a232d271-55e7-4aa6-9ab7-ccc10e765e65"/>
    <ds:schemaRef ds:uri="http://purl.org/dc/terms/"/>
    <ds:schemaRef ds:uri="http://schemas.microsoft.com/office/infopath/2007/PartnerControls"/>
    <ds:schemaRef ds:uri="http://purl.org/dc/elements/1.1/"/>
    <ds:schemaRef ds:uri="http://www.w3.org/XML/1998/namespace"/>
    <ds:schemaRef ds:uri="d4ed92f1-b901-42a9-bcc3-7b24959a6f87"/>
    <ds:schemaRef ds:uri="http://schemas.openxmlformats.org/package/2006/metadata/core-properties"/>
    <ds:schemaRef ds:uri="http://schemas.microsoft.com/office/2006/documentManagement/types"/>
    <ds:schemaRef ds:uri="cb1825da-90f7-421b-9ea2-df4c5c18c700"/>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F78C6C69-25B3-4BFC-971C-756746136A9B}">
  <ds:schemaRefs>
    <ds:schemaRef ds:uri="http://schemas.microsoft.com/sharepoint/v3/contenttype/forms"/>
  </ds:schemaRefs>
</ds:datastoreItem>
</file>

<file path=customXml/itemProps4.xml><?xml version="1.0" encoding="utf-8"?>
<ds:datastoreItem xmlns:ds="http://schemas.openxmlformats.org/officeDocument/2006/customXml" ds:itemID="{B930409D-4C5A-41E8-A357-BDDDFEF9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9892</Words>
  <Characters>56391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Upcoming Using the Employment Fund General Account Guideline V2.1</vt:lpstr>
    </vt:vector>
  </TitlesOfParts>
  <Company/>
  <LinksUpToDate>false</LinksUpToDate>
  <CharactersWithSpaces>66151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Upcoming Using the Employment Fund General Account Guideline V2.1</dc:title>
  <dc:subject/>
  <dc:creator/>
  <cp:keywords/>
  <dc:description/>
  <cp:lastModifiedBy/>
  <cp:revision>1</cp:revision>
  <dcterms:created xsi:type="dcterms:W3CDTF">2020-11-09T01:26:00Z</dcterms:created>
  <dcterms:modified xsi:type="dcterms:W3CDTF">2020-11-09T01:32:00Z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0x0101001FFFC1AF147C4F5C9369E689092D514B009C825AA53ABE1E46BAACA2C47B9751C8</vt:lpwstr>
  </property>
  <property fmtid="{D5CDD505-2E9C-101B-9397-08002B2CF9AE}" pid="3" name="Order">
    <vt:r8>1400</vt:r8>
  </property>
  <property fmtid="{D5CDD505-2E9C-101B-9397-08002B2CF9AE}" pid="4" name="xd_ProgID">
    <vt:lpwstr/>
  </property>
  <property fmtid="{D5CDD505-2E9C-101B-9397-08002B2CF9AE}" pid="5" name="TemplateUrl">
    <vt:lpwstr/>
  </property>
</Properties>
</file>