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1C443" w14:textId="09EC0EF9" w:rsidR="00CE7546" w:rsidRDefault="00A86BDC" w:rsidP="00CE7546">
      <w:r w:rsidRPr="00A86BDC">
        <w:rPr>
          <w:rFonts w:ascii="Helvetica" w:hAnsi="Helvetica" w:cs="Segoe UI"/>
          <w:noProof/>
          <w:color w:val="267FB4"/>
          <w:sz w:val="21"/>
          <w:szCs w:val="21"/>
        </w:rPr>
        <w:drawing>
          <wp:inline distT="0" distB="0" distL="0" distR="0" wp14:anchorId="3FE7B954" wp14:editId="45CF22A6">
            <wp:extent cx="2333625" cy="714375"/>
            <wp:effectExtent l="0" t="0" r="9525" b="9525"/>
            <wp:docPr id="2" name="Picture 2" descr="H:\JOB SEEKER COMPLIANCE TEAM 1 JULY 2017\Data\Data\Public Data\TCF\Dept Education, Skills and Employment_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OB SEEKER COMPLIANCE TEAM 1 JULY 2017\Data\Data\Public Data\TCF\Dept Education, Skills and Employment_Inlin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714375"/>
                    </a:xfrm>
                    <a:prstGeom prst="rect">
                      <a:avLst/>
                    </a:prstGeom>
                    <a:noFill/>
                    <a:ln>
                      <a:noFill/>
                    </a:ln>
                  </pic:spPr>
                </pic:pic>
              </a:graphicData>
            </a:graphic>
          </wp:inline>
        </w:drawing>
      </w:r>
    </w:p>
    <w:p w14:paraId="20517642" w14:textId="77777777" w:rsidR="00A86BDC" w:rsidRPr="00CE7546" w:rsidRDefault="00A86BDC" w:rsidP="00CE7546"/>
    <w:p w14:paraId="58D327EA" w14:textId="301F6FA5" w:rsidR="00756257" w:rsidRPr="001B40EB" w:rsidRDefault="008069B8" w:rsidP="001B40EB">
      <w:pPr>
        <w:pStyle w:val="Title"/>
      </w:pPr>
      <w:bookmarkStart w:id="0" w:name="_Toc536178342"/>
      <w:r w:rsidRPr="001B40EB">
        <w:t>Targeted Compliance Fra</w:t>
      </w:r>
      <w:r w:rsidR="00756257" w:rsidRPr="001B40EB">
        <w:t xml:space="preserve">mework Public </w:t>
      </w:r>
      <w:r w:rsidR="00324440" w:rsidRPr="001B40EB">
        <w:t>Data Report</w:t>
      </w:r>
      <w:r w:rsidR="009A1334">
        <w:t>—</w:t>
      </w:r>
      <w:r w:rsidR="00324440" w:rsidRPr="001B40EB">
        <w:t xml:space="preserve">1 </w:t>
      </w:r>
      <w:r w:rsidR="005C1D69">
        <w:t>July</w:t>
      </w:r>
      <w:r w:rsidR="000A1D24">
        <w:t xml:space="preserve"> 2020 to</w:t>
      </w:r>
      <w:r w:rsidR="00324440" w:rsidRPr="001B40EB">
        <w:t xml:space="preserve"> 3</w:t>
      </w:r>
      <w:bookmarkEnd w:id="0"/>
      <w:r w:rsidR="00C6004F">
        <w:t>1</w:t>
      </w:r>
      <w:r w:rsidR="000A1D24">
        <w:t xml:space="preserve"> </w:t>
      </w:r>
      <w:r w:rsidR="00C6004F">
        <w:t>December</w:t>
      </w:r>
      <w:r w:rsidR="000A1D24">
        <w:t xml:space="preserve"> 2020</w:t>
      </w:r>
    </w:p>
    <w:sdt>
      <w:sdtPr>
        <w:rPr>
          <w:rFonts w:asciiTheme="minorHAnsi" w:eastAsiaTheme="minorEastAsia" w:hAnsiTheme="minorHAnsi" w:cstheme="minorBidi"/>
          <w:bCs w:val="0"/>
          <w:sz w:val="22"/>
          <w:szCs w:val="22"/>
          <w:lang w:bidi="ar-SA"/>
        </w:rPr>
        <w:id w:val="-1605027601"/>
        <w:docPartObj>
          <w:docPartGallery w:val="Table of Contents"/>
          <w:docPartUnique/>
        </w:docPartObj>
      </w:sdtPr>
      <w:sdtEndPr>
        <w:rPr>
          <w:b/>
          <w:noProof/>
        </w:rPr>
      </w:sdtEndPr>
      <w:sdtContent>
        <w:p w14:paraId="5E0C875F" w14:textId="455E5D38" w:rsidR="002F52C6" w:rsidRDefault="002F52C6">
          <w:pPr>
            <w:pStyle w:val="TOCHeading"/>
          </w:pPr>
          <w:r>
            <w:t>Contents</w:t>
          </w:r>
        </w:p>
        <w:p w14:paraId="21B06686" w14:textId="53BF4692" w:rsidR="00E97D2A" w:rsidRDefault="002F52C6">
          <w:pPr>
            <w:pStyle w:val="TOC1"/>
            <w:rPr>
              <w:b w:val="0"/>
              <w:noProof/>
            </w:rPr>
          </w:pPr>
          <w:r>
            <w:fldChar w:fldCharType="begin"/>
          </w:r>
          <w:r>
            <w:instrText xml:space="preserve"> TOC \o "1-2" \h \z \u </w:instrText>
          </w:r>
          <w:r>
            <w:fldChar w:fldCharType="separate"/>
          </w:r>
          <w:hyperlink w:anchor="_Toc72324860" w:history="1">
            <w:r w:rsidR="00E97D2A" w:rsidRPr="009F70EC">
              <w:rPr>
                <w:rStyle w:val="Hyperlink"/>
                <w:noProof/>
              </w:rPr>
              <w:t>Targeted Compliance Framework: Operational Overview</w:t>
            </w:r>
            <w:r w:rsidR="00E97D2A">
              <w:rPr>
                <w:noProof/>
                <w:webHidden/>
              </w:rPr>
              <w:tab/>
            </w:r>
            <w:r w:rsidR="00E97D2A">
              <w:rPr>
                <w:noProof/>
                <w:webHidden/>
              </w:rPr>
              <w:fldChar w:fldCharType="begin"/>
            </w:r>
            <w:r w:rsidR="00E97D2A">
              <w:rPr>
                <w:noProof/>
                <w:webHidden/>
              </w:rPr>
              <w:instrText xml:space="preserve"> PAGEREF _Toc72324860 \h </w:instrText>
            </w:r>
            <w:r w:rsidR="00E97D2A">
              <w:rPr>
                <w:noProof/>
                <w:webHidden/>
              </w:rPr>
            </w:r>
            <w:r w:rsidR="00E97D2A">
              <w:rPr>
                <w:noProof/>
                <w:webHidden/>
              </w:rPr>
              <w:fldChar w:fldCharType="separate"/>
            </w:r>
            <w:r w:rsidR="00E97D2A">
              <w:rPr>
                <w:noProof/>
                <w:webHidden/>
              </w:rPr>
              <w:t>2</w:t>
            </w:r>
            <w:r w:rsidR="00E97D2A">
              <w:rPr>
                <w:noProof/>
                <w:webHidden/>
              </w:rPr>
              <w:fldChar w:fldCharType="end"/>
            </w:r>
          </w:hyperlink>
        </w:p>
        <w:p w14:paraId="0759F33B" w14:textId="1A0DA8F0" w:rsidR="00E97D2A" w:rsidRDefault="000D51D0">
          <w:pPr>
            <w:pStyle w:val="TOC1"/>
            <w:rPr>
              <w:b w:val="0"/>
              <w:noProof/>
            </w:rPr>
          </w:pPr>
          <w:hyperlink w:anchor="_Toc72324861" w:history="1">
            <w:r w:rsidR="00E97D2A" w:rsidRPr="009F70EC">
              <w:rPr>
                <w:rStyle w:val="Hyperlink"/>
                <w:noProof/>
              </w:rPr>
              <w:t>Data tables</w:t>
            </w:r>
            <w:r w:rsidR="00E97D2A">
              <w:rPr>
                <w:noProof/>
                <w:webHidden/>
              </w:rPr>
              <w:tab/>
            </w:r>
            <w:r w:rsidR="00E97D2A">
              <w:rPr>
                <w:noProof/>
                <w:webHidden/>
              </w:rPr>
              <w:fldChar w:fldCharType="begin"/>
            </w:r>
            <w:r w:rsidR="00E97D2A">
              <w:rPr>
                <w:noProof/>
                <w:webHidden/>
              </w:rPr>
              <w:instrText xml:space="preserve"> PAGEREF _Toc72324861 \h </w:instrText>
            </w:r>
            <w:r w:rsidR="00E97D2A">
              <w:rPr>
                <w:noProof/>
                <w:webHidden/>
              </w:rPr>
            </w:r>
            <w:r w:rsidR="00E97D2A">
              <w:rPr>
                <w:noProof/>
                <w:webHidden/>
              </w:rPr>
              <w:fldChar w:fldCharType="separate"/>
            </w:r>
            <w:r w:rsidR="00E97D2A">
              <w:rPr>
                <w:noProof/>
                <w:webHidden/>
              </w:rPr>
              <w:t>4</w:t>
            </w:r>
            <w:r w:rsidR="00E97D2A">
              <w:rPr>
                <w:noProof/>
                <w:webHidden/>
              </w:rPr>
              <w:fldChar w:fldCharType="end"/>
            </w:r>
          </w:hyperlink>
        </w:p>
        <w:p w14:paraId="20D4DC07" w14:textId="3AFA649F" w:rsidR="00E97D2A" w:rsidRDefault="000D51D0">
          <w:pPr>
            <w:pStyle w:val="TOC2"/>
            <w:rPr>
              <w:noProof/>
            </w:rPr>
          </w:pPr>
          <w:hyperlink w:anchor="_Toc72324862" w:history="1">
            <w:r w:rsidR="00E97D2A" w:rsidRPr="009F70EC">
              <w:rPr>
                <w:rStyle w:val="Hyperlink"/>
                <w:noProof/>
              </w:rPr>
              <w:t>Table 1: Number of TCF job seekers/participants in All Programs (jobactive including Digital, Disability Employment Services and ParentsNext)*—by Zone, as at 31 December 2020</w:t>
            </w:r>
            <w:r w:rsidR="00E97D2A">
              <w:rPr>
                <w:noProof/>
                <w:webHidden/>
              </w:rPr>
              <w:tab/>
            </w:r>
            <w:r w:rsidR="00E97D2A">
              <w:rPr>
                <w:noProof/>
                <w:webHidden/>
              </w:rPr>
              <w:fldChar w:fldCharType="begin"/>
            </w:r>
            <w:r w:rsidR="00E97D2A">
              <w:rPr>
                <w:noProof/>
                <w:webHidden/>
              </w:rPr>
              <w:instrText xml:space="preserve"> PAGEREF _Toc72324862 \h </w:instrText>
            </w:r>
            <w:r w:rsidR="00E97D2A">
              <w:rPr>
                <w:noProof/>
                <w:webHidden/>
              </w:rPr>
            </w:r>
            <w:r w:rsidR="00E97D2A">
              <w:rPr>
                <w:noProof/>
                <w:webHidden/>
              </w:rPr>
              <w:fldChar w:fldCharType="separate"/>
            </w:r>
            <w:r w:rsidR="00E97D2A">
              <w:rPr>
                <w:noProof/>
                <w:webHidden/>
              </w:rPr>
              <w:t>4</w:t>
            </w:r>
            <w:r w:rsidR="00E97D2A">
              <w:rPr>
                <w:noProof/>
                <w:webHidden/>
              </w:rPr>
              <w:fldChar w:fldCharType="end"/>
            </w:r>
          </w:hyperlink>
        </w:p>
        <w:p w14:paraId="2109B7DC" w14:textId="692B293D" w:rsidR="00E97D2A" w:rsidRDefault="000D51D0">
          <w:pPr>
            <w:pStyle w:val="TOC2"/>
            <w:rPr>
              <w:noProof/>
            </w:rPr>
          </w:pPr>
          <w:hyperlink w:anchor="_Toc72324863" w:history="1">
            <w:r w:rsidR="00E97D2A" w:rsidRPr="009F70EC">
              <w:rPr>
                <w:rStyle w:val="Hyperlink"/>
                <w:noProof/>
              </w:rPr>
              <w:t>Table 2: Zone Transitions—Job seekers/participants in All Programs (jobactive including Digital, Disability Employment Services and ParentsNext) — 1 July 2020 to 31 December 2020</w:t>
            </w:r>
            <w:r w:rsidR="00E97D2A">
              <w:rPr>
                <w:noProof/>
                <w:webHidden/>
              </w:rPr>
              <w:tab/>
            </w:r>
            <w:r w:rsidR="00E97D2A">
              <w:rPr>
                <w:noProof/>
                <w:webHidden/>
              </w:rPr>
              <w:fldChar w:fldCharType="begin"/>
            </w:r>
            <w:r w:rsidR="00E97D2A">
              <w:rPr>
                <w:noProof/>
                <w:webHidden/>
              </w:rPr>
              <w:instrText xml:space="preserve"> PAGEREF _Toc72324863 \h </w:instrText>
            </w:r>
            <w:r w:rsidR="00E97D2A">
              <w:rPr>
                <w:noProof/>
                <w:webHidden/>
              </w:rPr>
            </w:r>
            <w:r w:rsidR="00E97D2A">
              <w:rPr>
                <w:noProof/>
                <w:webHidden/>
              </w:rPr>
              <w:fldChar w:fldCharType="separate"/>
            </w:r>
            <w:r w:rsidR="00E97D2A">
              <w:rPr>
                <w:noProof/>
                <w:webHidden/>
              </w:rPr>
              <w:t>5</w:t>
            </w:r>
            <w:r w:rsidR="00E97D2A">
              <w:rPr>
                <w:noProof/>
                <w:webHidden/>
              </w:rPr>
              <w:fldChar w:fldCharType="end"/>
            </w:r>
          </w:hyperlink>
        </w:p>
        <w:p w14:paraId="0CDF390F" w14:textId="60B3C395" w:rsidR="00E97D2A" w:rsidRDefault="000D51D0">
          <w:pPr>
            <w:pStyle w:val="TOC2"/>
            <w:rPr>
              <w:noProof/>
            </w:rPr>
          </w:pPr>
          <w:hyperlink w:anchor="_Toc72324864" w:history="1">
            <w:r w:rsidR="00E97D2A" w:rsidRPr="009F70EC">
              <w:rPr>
                <w:rStyle w:val="Hyperlink"/>
                <w:noProof/>
              </w:rPr>
              <w:t>Table 3: Capability Interview (completed by Providers and the Digital Services Contact Centre) and Capability Assessment (completed by Services Australia) outcomes across All Programs (jobactive including Digital, Disability Employment Services and ParentsNext)— 1 July 2020 to 31 December 2020</w:t>
            </w:r>
            <w:r w:rsidR="00E97D2A">
              <w:rPr>
                <w:noProof/>
                <w:webHidden/>
              </w:rPr>
              <w:tab/>
            </w:r>
            <w:r w:rsidR="00E97D2A">
              <w:rPr>
                <w:noProof/>
                <w:webHidden/>
              </w:rPr>
              <w:fldChar w:fldCharType="begin"/>
            </w:r>
            <w:r w:rsidR="00E97D2A">
              <w:rPr>
                <w:noProof/>
                <w:webHidden/>
              </w:rPr>
              <w:instrText xml:space="preserve"> PAGEREF _Toc72324864 \h </w:instrText>
            </w:r>
            <w:r w:rsidR="00E97D2A">
              <w:rPr>
                <w:noProof/>
                <w:webHidden/>
              </w:rPr>
            </w:r>
            <w:r w:rsidR="00E97D2A">
              <w:rPr>
                <w:noProof/>
                <w:webHidden/>
              </w:rPr>
              <w:fldChar w:fldCharType="separate"/>
            </w:r>
            <w:r w:rsidR="00E97D2A">
              <w:rPr>
                <w:noProof/>
                <w:webHidden/>
              </w:rPr>
              <w:t>5</w:t>
            </w:r>
            <w:r w:rsidR="00E97D2A">
              <w:rPr>
                <w:noProof/>
                <w:webHidden/>
              </w:rPr>
              <w:fldChar w:fldCharType="end"/>
            </w:r>
          </w:hyperlink>
        </w:p>
        <w:p w14:paraId="6A9CA886" w14:textId="0FC9BCEA" w:rsidR="00E97D2A" w:rsidRDefault="000D51D0">
          <w:pPr>
            <w:pStyle w:val="TOC2"/>
            <w:rPr>
              <w:noProof/>
            </w:rPr>
          </w:pPr>
          <w:hyperlink w:anchor="_Toc72324865" w:history="1">
            <w:r w:rsidR="00E97D2A" w:rsidRPr="009F70EC">
              <w:rPr>
                <w:rStyle w:val="Hyperlink"/>
                <w:noProof/>
              </w:rPr>
              <w:t>Table 4: Income Support Payment Suspensions and Confirmed Demerits, across All Programs (jobactive including Digital, Disability Employment Services and ParentsNext)—1 July 2020 to 31 December 2020</w:t>
            </w:r>
            <w:r w:rsidR="00E97D2A">
              <w:rPr>
                <w:noProof/>
                <w:webHidden/>
              </w:rPr>
              <w:tab/>
            </w:r>
            <w:r w:rsidR="00E97D2A">
              <w:rPr>
                <w:noProof/>
                <w:webHidden/>
              </w:rPr>
              <w:fldChar w:fldCharType="begin"/>
            </w:r>
            <w:r w:rsidR="00E97D2A">
              <w:rPr>
                <w:noProof/>
                <w:webHidden/>
              </w:rPr>
              <w:instrText xml:space="preserve"> PAGEREF _Toc72324865 \h </w:instrText>
            </w:r>
            <w:r w:rsidR="00E97D2A">
              <w:rPr>
                <w:noProof/>
                <w:webHidden/>
              </w:rPr>
            </w:r>
            <w:r w:rsidR="00E97D2A">
              <w:rPr>
                <w:noProof/>
                <w:webHidden/>
              </w:rPr>
              <w:fldChar w:fldCharType="separate"/>
            </w:r>
            <w:r w:rsidR="00E97D2A">
              <w:rPr>
                <w:noProof/>
                <w:webHidden/>
              </w:rPr>
              <w:t>6</w:t>
            </w:r>
            <w:r w:rsidR="00E97D2A">
              <w:rPr>
                <w:noProof/>
                <w:webHidden/>
              </w:rPr>
              <w:fldChar w:fldCharType="end"/>
            </w:r>
          </w:hyperlink>
        </w:p>
        <w:p w14:paraId="16F9FFBD" w14:textId="2E6B4EF1" w:rsidR="00E97D2A" w:rsidRDefault="000D51D0">
          <w:pPr>
            <w:pStyle w:val="TOC2"/>
            <w:rPr>
              <w:noProof/>
            </w:rPr>
          </w:pPr>
          <w:hyperlink w:anchor="_Toc72324866" w:history="1">
            <w:r w:rsidR="00E97D2A" w:rsidRPr="009F70EC">
              <w:rPr>
                <w:rStyle w:val="Hyperlink"/>
                <w:noProof/>
              </w:rPr>
              <w:t>Table 5: Summary of Financial Penalties in the Penalty Zone applied by Services Australia across All Programs (jobactive including Digital, Disability Employment Services and ParentsNext)— 1 July 2020 to 31 December 2020</w:t>
            </w:r>
            <w:r w:rsidR="00E97D2A">
              <w:rPr>
                <w:noProof/>
                <w:webHidden/>
              </w:rPr>
              <w:tab/>
            </w:r>
            <w:r w:rsidR="00E97D2A">
              <w:rPr>
                <w:noProof/>
                <w:webHidden/>
              </w:rPr>
              <w:fldChar w:fldCharType="begin"/>
            </w:r>
            <w:r w:rsidR="00E97D2A">
              <w:rPr>
                <w:noProof/>
                <w:webHidden/>
              </w:rPr>
              <w:instrText xml:space="preserve"> PAGEREF _Toc72324866 \h </w:instrText>
            </w:r>
            <w:r w:rsidR="00E97D2A">
              <w:rPr>
                <w:noProof/>
                <w:webHidden/>
              </w:rPr>
            </w:r>
            <w:r w:rsidR="00E97D2A">
              <w:rPr>
                <w:noProof/>
                <w:webHidden/>
              </w:rPr>
              <w:fldChar w:fldCharType="separate"/>
            </w:r>
            <w:r w:rsidR="00E97D2A">
              <w:rPr>
                <w:noProof/>
                <w:webHidden/>
              </w:rPr>
              <w:t>6</w:t>
            </w:r>
            <w:r w:rsidR="00E97D2A">
              <w:rPr>
                <w:noProof/>
                <w:webHidden/>
              </w:rPr>
              <w:fldChar w:fldCharType="end"/>
            </w:r>
          </w:hyperlink>
        </w:p>
        <w:p w14:paraId="0FD4AE16" w14:textId="40104631" w:rsidR="00E97D2A" w:rsidRDefault="000D51D0">
          <w:pPr>
            <w:pStyle w:val="TOC2"/>
            <w:rPr>
              <w:noProof/>
            </w:rPr>
          </w:pPr>
          <w:hyperlink w:anchor="_Toc72324867" w:history="1">
            <w:r w:rsidR="00E97D2A" w:rsidRPr="009F70EC">
              <w:rPr>
                <w:rStyle w:val="Hyperlink"/>
                <w:noProof/>
              </w:rPr>
              <w:t>Table 6: Summary of Financial Penalties due to Work Refusal or Unemployment Failures applied by Services Australia across jobactive including Digital and Disability Employment Services Programs—1 July 2020 to 31 December 2020</w:t>
            </w:r>
            <w:r w:rsidR="00E97D2A">
              <w:rPr>
                <w:noProof/>
                <w:webHidden/>
              </w:rPr>
              <w:tab/>
            </w:r>
            <w:r w:rsidR="00E97D2A">
              <w:rPr>
                <w:noProof/>
                <w:webHidden/>
              </w:rPr>
              <w:fldChar w:fldCharType="begin"/>
            </w:r>
            <w:r w:rsidR="00E97D2A">
              <w:rPr>
                <w:noProof/>
                <w:webHidden/>
              </w:rPr>
              <w:instrText xml:space="preserve"> PAGEREF _Toc72324867 \h </w:instrText>
            </w:r>
            <w:r w:rsidR="00E97D2A">
              <w:rPr>
                <w:noProof/>
                <w:webHidden/>
              </w:rPr>
            </w:r>
            <w:r w:rsidR="00E97D2A">
              <w:rPr>
                <w:noProof/>
                <w:webHidden/>
              </w:rPr>
              <w:fldChar w:fldCharType="separate"/>
            </w:r>
            <w:r w:rsidR="00E97D2A">
              <w:rPr>
                <w:noProof/>
                <w:webHidden/>
              </w:rPr>
              <w:t>7</w:t>
            </w:r>
            <w:r w:rsidR="00E97D2A">
              <w:rPr>
                <w:noProof/>
                <w:webHidden/>
              </w:rPr>
              <w:fldChar w:fldCharType="end"/>
            </w:r>
          </w:hyperlink>
        </w:p>
        <w:p w14:paraId="6D272CD9" w14:textId="26C7AFDA" w:rsidR="00E97D2A" w:rsidRDefault="000D51D0">
          <w:pPr>
            <w:pStyle w:val="TOC1"/>
            <w:rPr>
              <w:b w:val="0"/>
              <w:noProof/>
            </w:rPr>
          </w:pPr>
          <w:hyperlink w:anchor="_Toc72324868" w:history="1">
            <w:r w:rsidR="00E97D2A" w:rsidRPr="009F70EC">
              <w:rPr>
                <w:rStyle w:val="Hyperlink"/>
                <w:noProof/>
              </w:rPr>
              <w:t>Glossary</w:t>
            </w:r>
            <w:r w:rsidR="00E97D2A">
              <w:rPr>
                <w:noProof/>
                <w:webHidden/>
              </w:rPr>
              <w:tab/>
            </w:r>
            <w:r w:rsidR="00E97D2A">
              <w:rPr>
                <w:noProof/>
                <w:webHidden/>
              </w:rPr>
              <w:fldChar w:fldCharType="begin"/>
            </w:r>
            <w:r w:rsidR="00E97D2A">
              <w:rPr>
                <w:noProof/>
                <w:webHidden/>
              </w:rPr>
              <w:instrText xml:space="preserve"> PAGEREF _Toc72324868 \h </w:instrText>
            </w:r>
            <w:r w:rsidR="00E97D2A">
              <w:rPr>
                <w:noProof/>
                <w:webHidden/>
              </w:rPr>
            </w:r>
            <w:r w:rsidR="00E97D2A">
              <w:rPr>
                <w:noProof/>
                <w:webHidden/>
              </w:rPr>
              <w:fldChar w:fldCharType="separate"/>
            </w:r>
            <w:r w:rsidR="00E97D2A">
              <w:rPr>
                <w:noProof/>
                <w:webHidden/>
              </w:rPr>
              <w:t>7</w:t>
            </w:r>
            <w:r w:rsidR="00E97D2A">
              <w:rPr>
                <w:noProof/>
                <w:webHidden/>
              </w:rPr>
              <w:fldChar w:fldCharType="end"/>
            </w:r>
          </w:hyperlink>
        </w:p>
        <w:p w14:paraId="21B22F37" w14:textId="12F07D24" w:rsidR="002F52C6" w:rsidRDefault="002F52C6">
          <w:r>
            <w:fldChar w:fldCharType="end"/>
          </w:r>
        </w:p>
      </w:sdtContent>
    </w:sdt>
    <w:p w14:paraId="1A125BF0" w14:textId="23746303" w:rsidR="005F677C" w:rsidRDefault="005F677C">
      <w:pPr>
        <w:sectPr w:rsidR="005F677C" w:rsidSect="000F2E2E">
          <w:headerReference w:type="default" r:id="rId12"/>
          <w:footerReference w:type="default" r:id="rId13"/>
          <w:pgSz w:w="16838" w:h="11906" w:orient="landscape"/>
          <w:pgMar w:top="1247" w:right="1440" w:bottom="1418" w:left="1440" w:header="709" w:footer="709" w:gutter="0"/>
          <w:cols w:space="708"/>
          <w:docGrid w:linePitch="360"/>
        </w:sectPr>
      </w:pPr>
    </w:p>
    <w:p w14:paraId="389EFA0C" w14:textId="282B2F0C" w:rsidR="003F23A9" w:rsidRDefault="00E43744" w:rsidP="005F677C">
      <w:pPr>
        <w:pStyle w:val="Heading1"/>
        <w:spacing w:before="0" w:after="0"/>
      </w:pPr>
      <w:bookmarkStart w:id="1" w:name="_Toc72324860"/>
      <w:bookmarkStart w:id="2" w:name="_Toc536178343"/>
      <w:r w:rsidRPr="002F52C6">
        <w:lastRenderedPageBreak/>
        <w:t>Targeted Compliance Framework: Operational Overview</w:t>
      </w:r>
      <w:bookmarkEnd w:id="1"/>
    </w:p>
    <w:p w14:paraId="58E8B0F5" w14:textId="53FA7E21" w:rsidR="007F3E58" w:rsidRPr="007F3E58" w:rsidRDefault="007F3E58" w:rsidP="007F3E58">
      <w:r>
        <w:rPr>
          <w:noProof/>
        </w:rPr>
        <w:drawing>
          <wp:inline distT="0" distB="0" distL="0" distR="0" wp14:anchorId="49A2FA58" wp14:editId="5EE4516A">
            <wp:extent cx="7507356" cy="3660944"/>
            <wp:effectExtent l="0" t="0" r="0" b="0"/>
            <wp:docPr id="3" name="Picture 3" descr="cid:image001.jpg@01D65542.17173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id:image001.jpg@01D65542.17173E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547040" cy="3680296"/>
                    </a:xfrm>
                    <a:prstGeom prst="rect">
                      <a:avLst/>
                    </a:prstGeom>
                    <a:noFill/>
                    <a:ln>
                      <a:noFill/>
                    </a:ln>
                  </pic:spPr>
                </pic:pic>
              </a:graphicData>
            </a:graphic>
          </wp:inline>
        </w:drawing>
      </w:r>
    </w:p>
    <w:p w14:paraId="0DA1A89D" w14:textId="7996E7DE" w:rsidR="00E43744" w:rsidRPr="00E70DF0" w:rsidRDefault="00E43744" w:rsidP="00B5600D">
      <w:pPr>
        <w:pStyle w:val="Basic"/>
        <w:rPr>
          <w:sz w:val="20"/>
        </w:rPr>
      </w:pPr>
      <w:r w:rsidRPr="00E70DF0">
        <w:rPr>
          <w:sz w:val="20"/>
        </w:rPr>
        <w:t>The Targeted Compliance Framework</w:t>
      </w:r>
      <w:r w:rsidR="00D924E4">
        <w:rPr>
          <w:sz w:val="20"/>
        </w:rPr>
        <w:t xml:space="preserve"> </w:t>
      </w:r>
      <w:r w:rsidR="00431FC4">
        <w:rPr>
          <w:sz w:val="20"/>
        </w:rPr>
        <w:t xml:space="preserve">(TCF) </w:t>
      </w:r>
      <w:r w:rsidRPr="00E70DF0">
        <w:rPr>
          <w:sz w:val="20"/>
        </w:rPr>
        <w:t xml:space="preserve">was introduced on 1 July 2018, replacing an often complicated and confusing job seeker compliance framework. </w:t>
      </w:r>
      <w:r w:rsidR="00186CAA" w:rsidRPr="00E70DF0">
        <w:rPr>
          <w:sz w:val="20"/>
        </w:rPr>
        <w:t xml:space="preserve">The </w:t>
      </w:r>
      <w:r w:rsidR="00431FC4">
        <w:rPr>
          <w:sz w:val="20"/>
        </w:rPr>
        <w:t>TCF</w:t>
      </w:r>
      <w:r w:rsidR="00186CAA" w:rsidRPr="00E70DF0">
        <w:rPr>
          <w:sz w:val="20"/>
        </w:rPr>
        <w:t xml:space="preserve"> is fair, working as intended, deterring deliberate non-compliance while providing protection for vulnerable job seekers</w:t>
      </w:r>
      <w:r w:rsidR="00186CAA">
        <w:rPr>
          <w:sz w:val="20"/>
        </w:rPr>
        <w:t>/participants</w:t>
      </w:r>
      <w:r w:rsidR="00186CAA" w:rsidRPr="00E70DF0">
        <w:rPr>
          <w:sz w:val="20"/>
        </w:rPr>
        <w:t>.</w:t>
      </w:r>
    </w:p>
    <w:p w14:paraId="0DCE4463" w14:textId="2F067B4E" w:rsidR="00E43744" w:rsidRPr="00B5600D" w:rsidRDefault="00E43744" w:rsidP="00B5600D">
      <w:pPr>
        <w:pStyle w:val="Basic"/>
        <w:rPr>
          <w:sz w:val="20"/>
        </w:rPr>
      </w:pPr>
      <w:r w:rsidRPr="00E70DF0">
        <w:rPr>
          <w:sz w:val="20"/>
        </w:rPr>
        <w:t xml:space="preserve">It supports those who are genuinely trying to meet their obligations and only results in </w:t>
      </w:r>
      <w:r w:rsidR="00186CAA">
        <w:rPr>
          <w:sz w:val="20"/>
        </w:rPr>
        <w:t xml:space="preserve">financial </w:t>
      </w:r>
      <w:r w:rsidRPr="00E70DF0">
        <w:rPr>
          <w:sz w:val="20"/>
        </w:rPr>
        <w:t>penalties for the small number of job seekers</w:t>
      </w:r>
      <w:r w:rsidR="001A1716">
        <w:rPr>
          <w:sz w:val="20"/>
        </w:rPr>
        <w:t>/participants</w:t>
      </w:r>
      <w:r w:rsidRPr="00E70DF0">
        <w:rPr>
          <w:sz w:val="20"/>
        </w:rPr>
        <w:t xml:space="preserve"> who persistently and deliberately do not meet their Mutual Obligation Requirements. It includes two capability reviews, the Capability Interview and the Capability Assessment, that act as </w:t>
      </w:r>
      <w:r w:rsidR="00543F02">
        <w:rPr>
          <w:sz w:val="20"/>
        </w:rPr>
        <w:t>safeguard</w:t>
      </w:r>
      <w:r w:rsidRPr="00E70DF0">
        <w:rPr>
          <w:sz w:val="20"/>
        </w:rPr>
        <w:t xml:space="preserve"> for vulnerable job </w:t>
      </w:r>
      <w:r w:rsidRPr="00B5600D">
        <w:rPr>
          <w:sz w:val="20"/>
        </w:rPr>
        <w:t>seekers</w:t>
      </w:r>
      <w:r w:rsidR="001A1716" w:rsidRPr="00B5600D">
        <w:rPr>
          <w:sz w:val="20"/>
        </w:rPr>
        <w:t>/participants</w:t>
      </w:r>
      <w:r w:rsidRPr="00B5600D">
        <w:rPr>
          <w:sz w:val="20"/>
        </w:rPr>
        <w:t xml:space="preserve">. These reviews </w:t>
      </w:r>
      <w:r w:rsidR="00186CAA" w:rsidRPr="00B5600D">
        <w:rPr>
          <w:sz w:val="20"/>
        </w:rPr>
        <w:t xml:space="preserve">provide an opportunity for a </w:t>
      </w:r>
      <w:r w:rsidRPr="00B5600D">
        <w:rPr>
          <w:sz w:val="20"/>
        </w:rPr>
        <w:t>discussion with the job seeker</w:t>
      </w:r>
      <w:r w:rsidR="001A1716" w:rsidRPr="00B5600D">
        <w:rPr>
          <w:sz w:val="20"/>
        </w:rPr>
        <w:t>/participant</w:t>
      </w:r>
      <w:r w:rsidRPr="00B5600D">
        <w:rPr>
          <w:sz w:val="20"/>
        </w:rPr>
        <w:t xml:space="preserve"> to ensure their Job Plan</w:t>
      </w:r>
      <w:r w:rsidR="00F41CCF">
        <w:rPr>
          <w:sz w:val="20"/>
        </w:rPr>
        <w:t>/Participation Plan</w:t>
      </w:r>
      <w:r w:rsidRPr="00B5600D">
        <w:rPr>
          <w:sz w:val="20"/>
        </w:rPr>
        <w:t xml:space="preserve"> is appropriate to </w:t>
      </w:r>
      <w:r w:rsidR="005B0F1B" w:rsidRPr="00B5600D">
        <w:rPr>
          <w:sz w:val="20"/>
        </w:rPr>
        <w:t xml:space="preserve">a </w:t>
      </w:r>
      <w:r w:rsidRPr="00B5600D">
        <w:rPr>
          <w:sz w:val="20"/>
        </w:rPr>
        <w:t>job seeker</w:t>
      </w:r>
      <w:r w:rsidR="005B0F1B" w:rsidRPr="00B5600D">
        <w:rPr>
          <w:sz w:val="20"/>
        </w:rPr>
        <w:t>’</w:t>
      </w:r>
      <w:r w:rsidRPr="00B5600D">
        <w:rPr>
          <w:sz w:val="20"/>
        </w:rPr>
        <w:t>s</w:t>
      </w:r>
      <w:r w:rsidR="001A1716" w:rsidRPr="00B5600D">
        <w:rPr>
          <w:sz w:val="20"/>
        </w:rPr>
        <w:t>/participant’s</w:t>
      </w:r>
      <w:r w:rsidRPr="00B5600D">
        <w:rPr>
          <w:sz w:val="20"/>
        </w:rPr>
        <w:t xml:space="preserve"> individual circumstances. Only those who are deliberately not meeting their requirements are at risk of potential financial penalties. If the job seeker’s</w:t>
      </w:r>
      <w:r w:rsidR="001A1716" w:rsidRPr="00B5600D">
        <w:rPr>
          <w:sz w:val="20"/>
        </w:rPr>
        <w:t>/participant</w:t>
      </w:r>
      <w:r w:rsidR="005B0F1B" w:rsidRPr="00B5600D">
        <w:rPr>
          <w:sz w:val="20"/>
        </w:rPr>
        <w:t>’</w:t>
      </w:r>
      <w:r w:rsidR="001A1716" w:rsidRPr="00B5600D">
        <w:rPr>
          <w:sz w:val="20"/>
        </w:rPr>
        <w:t>s</w:t>
      </w:r>
      <w:r w:rsidRPr="00B5600D">
        <w:rPr>
          <w:sz w:val="20"/>
        </w:rPr>
        <w:t xml:space="preserve"> Job Plan</w:t>
      </w:r>
      <w:r w:rsidR="00F41CCF">
        <w:rPr>
          <w:sz w:val="20"/>
        </w:rPr>
        <w:t>/Participation Plan</w:t>
      </w:r>
      <w:r w:rsidRPr="00B5600D">
        <w:rPr>
          <w:sz w:val="20"/>
        </w:rPr>
        <w:t xml:space="preserve"> is not consistent with their circumstances or capability, the job seeker</w:t>
      </w:r>
      <w:bookmarkStart w:id="3" w:name="_Hlk72325252"/>
      <w:r w:rsidR="00E97D2A">
        <w:rPr>
          <w:sz w:val="20"/>
        </w:rPr>
        <w:t>/participant</w:t>
      </w:r>
      <w:bookmarkEnd w:id="3"/>
      <w:r w:rsidRPr="00B5600D">
        <w:rPr>
          <w:sz w:val="20"/>
        </w:rPr>
        <w:t xml:space="preserve"> returns to the Green Zone with zero demerits.</w:t>
      </w:r>
    </w:p>
    <w:p w14:paraId="72517802" w14:textId="5623B10A" w:rsidR="00F41CCF" w:rsidRPr="00B5600D" w:rsidRDefault="00693019" w:rsidP="00B5600D">
      <w:pPr>
        <w:pStyle w:val="Basic"/>
        <w:rPr>
          <w:sz w:val="20"/>
        </w:rPr>
      </w:pPr>
      <w:r w:rsidRPr="00B5600D">
        <w:rPr>
          <w:sz w:val="20"/>
        </w:rPr>
        <w:t xml:space="preserve">Due to COVID-19, </w:t>
      </w:r>
      <w:r w:rsidR="00773E82">
        <w:rPr>
          <w:sz w:val="20"/>
        </w:rPr>
        <w:t>M</w:t>
      </w:r>
      <w:r w:rsidR="00F75564" w:rsidRPr="00B5600D">
        <w:rPr>
          <w:sz w:val="20"/>
        </w:rPr>
        <w:t xml:space="preserve">utual </w:t>
      </w:r>
      <w:r w:rsidR="00773E82">
        <w:rPr>
          <w:sz w:val="20"/>
        </w:rPr>
        <w:t>O</w:t>
      </w:r>
      <w:r w:rsidR="00F75564" w:rsidRPr="00B5600D">
        <w:rPr>
          <w:sz w:val="20"/>
        </w:rPr>
        <w:t>bligation</w:t>
      </w:r>
      <w:r w:rsidR="00A13E58" w:rsidRPr="00B5600D">
        <w:rPr>
          <w:sz w:val="20"/>
        </w:rPr>
        <w:t xml:space="preserve"> </w:t>
      </w:r>
      <w:r w:rsidR="00773E82">
        <w:rPr>
          <w:sz w:val="20"/>
        </w:rPr>
        <w:t>R</w:t>
      </w:r>
      <w:r w:rsidR="00A13E58" w:rsidRPr="00B5600D">
        <w:rPr>
          <w:sz w:val="20"/>
        </w:rPr>
        <w:t>equirement</w:t>
      </w:r>
      <w:r w:rsidR="00F75564" w:rsidRPr="00B5600D">
        <w:rPr>
          <w:sz w:val="20"/>
        </w:rPr>
        <w:t xml:space="preserve">s were lifted nationally </w:t>
      </w:r>
      <w:r w:rsidR="00827B30" w:rsidRPr="00B5600D">
        <w:rPr>
          <w:sz w:val="20"/>
        </w:rPr>
        <w:t>from</w:t>
      </w:r>
      <w:r w:rsidR="00F75564" w:rsidRPr="00B5600D">
        <w:rPr>
          <w:sz w:val="20"/>
        </w:rPr>
        <w:t xml:space="preserve"> 24 March 2020. From 4 August 2020, </w:t>
      </w:r>
      <w:r w:rsidR="00773E82">
        <w:rPr>
          <w:sz w:val="20"/>
        </w:rPr>
        <w:t>M</w:t>
      </w:r>
      <w:r w:rsidR="00F75564" w:rsidRPr="00B5600D">
        <w:rPr>
          <w:sz w:val="20"/>
        </w:rPr>
        <w:t xml:space="preserve">utual </w:t>
      </w:r>
      <w:r w:rsidR="00773E82">
        <w:rPr>
          <w:sz w:val="20"/>
        </w:rPr>
        <w:t>O</w:t>
      </w:r>
      <w:r w:rsidR="00F75564" w:rsidRPr="00B5600D">
        <w:rPr>
          <w:sz w:val="20"/>
        </w:rPr>
        <w:t xml:space="preserve">bligation </w:t>
      </w:r>
      <w:r w:rsidR="00773E82">
        <w:rPr>
          <w:sz w:val="20"/>
        </w:rPr>
        <w:t>R</w:t>
      </w:r>
      <w:r w:rsidR="00F75564" w:rsidRPr="00B5600D">
        <w:rPr>
          <w:sz w:val="20"/>
        </w:rPr>
        <w:t xml:space="preserve">equirements were </w:t>
      </w:r>
      <w:r w:rsidRPr="00B5600D">
        <w:rPr>
          <w:sz w:val="20"/>
        </w:rPr>
        <w:t xml:space="preserve">gradually </w:t>
      </w:r>
      <w:r w:rsidR="00F75564" w:rsidRPr="00B5600D">
        <w:rPr>
          <w:sz w:val="20"/>
        </w:rPr>
        <w:t xml:space="preserve">introduced in all states outside of Victoria. These </w:t>
      </w:r>
      <w:r w:rsidR="00773E82">
        <w:rPr>
          <w:sz w:val="20"/>
        </w:rPr>
        <w:t>M</w:t>
      </w:r>
      <w:r w:rsidR="00F75564" w:rsidRPr="00B5600D">
        <w:rPr>
          <w:sz w:val="20"/>
        </w:rPr>
        <w:t xml:space="preserve">utual </w:t>
      </w:r>
      <w:r w:rsidR="00773E82">
        <w:rPr>
          <w:sz w:val="20"/>
        </w:rPr>
        <w:t>O</w:t>
      </w:r>
      <w:r w:rsidR="00F75564" w:rsidRPr="00B5600D">
        <w:rPr>
          <w:sz w:val="20"/>
        </w:rPr>
        <w:t xml:space="preserve">bligation </w:t>
      </w:r>
      <w:r w:rsidR="00773E82">
        <w:rPr>
          <w:sz w:val="20"/>
        </w:rPr>
        <w:t>R</w:t>
      </w:r>
      <w:r w:rsidR="00F75564" w:rsidRPr="00B5600D">
        <w:rPr>
          <w:sz w:val="20"/>
        </w:rPr>
        <w:t xml:space="preserve">equirements included attending </w:t>
      </w:r>
      <w:r w:rsidR="00827B30" w:rsidRPr="00B5600D">
        <w:rPr>
          <w:sz w:val="20"/>
        </w:rPr>
        <w:t>provider</w:t>
      </w:r>
      <w:r w:rsidR="00F75564" w:rsidRPr="00B5600D">
        <w:rPr>
          <w:sz w:val="20"/>
        </w:rPr>
        <w:t xml:space="preserve"> appointments, agreeing to a </w:t>
      </w:r>
      <w:r w:rsidR="00773E82">
        <w:rPr>
          <w:sz w:val="20"/>
        </w:rPr>
        <w:t>J</w:t>
      </w:r>
      <w:r w:rsidR="00F75564" w:rsidRPr="00B5600D">
        <w:rPr>
          <w:sz w:val="20"/>
        </w:rPr>
        <w:t xml:space="preserve">ob </w:t>
      </w:r>
      <w:r w:rsidR="00773E82">
        <w:rPr>
          <w:sz w:val="20"/>
        </w:rPr>
        <w:t>P</w:t>
      </w:r>
      <w:r w:rsidR="00F75564" w:rsidRPr="00B5600D">
        <w:rPr>
          <w:sz w:val="20"/>
        </w:rPr>
        <w:t>lan</w:t>
      </w:r>
      <w:r w:rsidR="00F41CCF">
        <w:rPr>
          <w:sz w:val="20"/>
        </w:rPr>
        <w:t>/Participation Plan</w:t>
      </w:r>
      <w:r w:rsidR="00F75564" w:rsidRPr="00B5600D">
        <w:rPr>
          <w:sz w:val="20"/>
        </w:rPr>
        <w:t xml:space="preserve">, undertaking up to four job </w:t>
      </w:r>
      <w:r w:rsidR="00827B30" w:rsidRPr="00B5600D">
        <w:rPr>
          <w:sz w:val="20"/>
        </w:rPr>
        <w:t xml:space="preserve">searches a month and </w:t>
      </w:r>
      <w:r w:rsidR="00F75564" w:rsidRPr="00B5600D">
        <w:rPr>
          <w:sz w:val="20"/>
        </w:rPr>
        <w:t xml:space="preserve">attending activities where </w:t>
      </w:r>
      <w:r w:rsidR="0013095B" w:rsidRPr="00B5600D">
        <w:rPr>
          <w:sz w:val="20"/>
        </w:rPr>
        <w:t xml:space="preserve">it </w:t>
      </w:r>
      <w:r w:rsidRPr="00B5600D">
        <w:rPr>
          <w:sz w:val="20"/>
        </w:rPr>
        <w:t>was</w:t>
      </w:r>
      <w:r w:rsidR="00F75564" w:rsidRPr="00B5600D">
        <w:rPr>
          <w:sz w:val="20"/>
        </w:rPr>
        <w:t xml:space="preserve"> safe to do so in line wi</w:t>
      </w:r>
      <w:r w:rsidR="00827B30" w:rsidRPr="00B5600D">
        <w:rPr>
          <w:sz w:val="20"/>
        </w:rPr>
        <w:t xml:space="preserve">th health advice. Penalties were applied for refusing suitable work. From 28 September 2020, penalties </w:t>
      </w:r>
      <w:r w:rsidRPr="00B5600D">
        <w:rPr>
          <w:sz w:val="20"/>
        </w:rPr>
        <w:t>were</w:t>
      </w:r>
      <w:r w:rsidR="00827B30" w:rsidRPr="00B5600D">
        <w:rPr>
          <w:sz w:val="20"/>
        </w:rPr>
        <w:t xml:space="preserve"> applied nationwide for job seekers</w:t>
      </w:r>
      <w:r w:rsidR="00E97D2A">
        <w:rPr>
          <w:sz w:val="20"/>
        </w:rPr>
        <w:t>/participants</w:t>
      </w:r>
      <w:r w:rsidR="00827B30" w:rsidRPr="00B5600D">
        <w:rPr>
          <w:sz w:val="20"/>
        </w:rPr>
        <w:t xml:space="preserve"> who did not undertake </w:t>
      </w:r>
      <w:r w:rsidR="00FC3557" w:rsidRPr="00B5600D">
        <w:rPr>
          <w:sz w:val="20"/>
        </w:rPr>
        <w:t xml:space="preserve">any of their </w:t>
      </w:r>
      <w:r w:rsidR="00773E82">
        <w:rPr>
          <w:sz w:val="20"/>
        </w:rPr>
        <w:t>M</w:t>
      </w:r>
      <w:r w:rsidR="00827B30" w:rsidRPr="00B5600D">
        <w:rPr>
          <w:sz w:val="20"/>
        </w:rPr>
        <w:t xml:space="preserve">utual </w:t>
      </w:r>
      <w:r w:rsidR="00773E82">
        <w:rPr>
          <w:sz w:val="20"/>
        </w:rPr>
        <w:t>O</w:t>
      </w:r>
      <w:r w:rsidR="00827B30" w:rsidRPr="00B5600D">
        <w:rPr>
          <w:sz w:val="20"/>
        </w:rPr>
        <w:t xml:space="preserve">bligation </w:t>
      </w:r>
      <w:r w:rsidR="00773E82">
        <w:rPr>
          <w:sz w:val="20"/>
        </w:rPr>
        <w:t>R</w:t>
      </w:r>
      <w:r w:rsidRPr="00B5600D">
        <w:rPr>
          <w:sz w:val="20"/>
        </w:rPr>
        <w:t>equirements</w:t>
      </w:r>
      <w:r w:rsidR="00827B30" w:rsidRPr="00B5600D">
        <w:rPr>
          <w:sz w:val="20"/>
        </w:rPr>
        <w:t>.</w:t>
      </w:r>
      <w:r w:rsidR="00A13E58" w:rsidRPr="00B5600D">
        <w:rPr>
          <w:sz w:val="20"/>
        </w:rPr>
        <w:t xml:space="preserve"> From this time, all j</w:t>
      </w:r>
      <w:r w:rsidRPr="00B5600D">
        <w:rPr>
          <w:sz w:val="20"/>
        </w:rPr>
        <w:t>ob seekers</w:t>
      </w:r>
      <w:r w:rsidR="00E97D2A">
        <w:rPr>
          <w:sz w:val="20"/>
        </w:rPr>
        <w:t>/participants</w:t>
      </w:r>
      <w:r w:rsidRPr="00B5600D">
        <w:rPr>
          <w:sz w:val="20"/>
        </w:rPr>
        <w:t xml:space="preserve"> were</w:t>
      </w:r>
      <w:r w:rsidR="00FC3557" w:rsidRPr="00B5600D">
        <w:rPr>
          <w:sz w:val="20"/>
        </w:rPr>
        <w:t xml:space="preserve"> also</w:t>
      </w:r>
      <w:r w:rsidRPr="00B5600D">
        <w:rPr>
          <w:sz w:val="20"/>
        </w:rPr>
        <w:t xml:space="preserve"> returned to the Green Zone and </w:t>
      </w:r>
      <w:r w:rsidR="00C41B50" w:rsidRPr="00B5600D">
        <w:rPr>
          <w:sz w:val="20"/>
        </w:rPr>
        <w:t>j</w:t>
      </w:r>
      <w:r w:rsidRPr="00B5600D">
        <w:rPr>
          <w:sz w:val="20"/>
        </w:rPr>
        <w:t xml:space="preserve">ob search </w:t>
      </w:r>
      <w:r w:rsidRPr="00B5600D">
        <w:rPr>
          <w:sz w:val="20"/>
        </w:rPr>
        <w:lastRenderedPageBreak/>
        <w:t xml:space="preserve">was increased to eight per month. Since 28 September </w:t>
      </w:r>
      <w:r w:rsidR="00A13E58" w:rsidRPr="00B5600D">
        <w:rPr>
          <w:sz w:val="20"/>
        </w:rPr>
        <w:t>2020</w:t>
      </w:r>
      <w:r w:rsidR="0090100A" w:rsidRPr="00B5600D">
        <w:rPr>
          <w:sz w:val="20"/>
        </w:rPr>
        <w:t>,</w:t>
      </w:r>
      <w:r w:rsidR="00A13E58" w:rsidRPr="00B5600D">
        <w:rPr>
          <w:sz w:val="20"/>
        </w:rPr>
        <w:t xml:space="preserve"> </w:t>
      </w:r>
      <w:r w:rsidRPr="00B5600D">
        <w:rPr>
          <w:sz w:val="20"/>
        </w:rPr>
        <w:t xml:space="preserve">short contingency measures have been required due to COVID-19 </w:t>
      </w:r>
      <w:r w:rsidR="00FC3557" w:rsidRPr="00B5600D">
        <w:rPr>
          <w:sz w:val="20"/>
        </w:rPr>
        <w:t>instances</w:t>
      </w:r>
      <w:r w:rsidRPr="00B5600D">
        <w:rPr>
          <w:sz w:val="20"/>
        </w:rPr>
        <w:t xml:space="preserve"> occurring. Where this has occurred job seeker</w:t>
      </w:r>
      <w:r w:rsidR="00E97D2A">
        <w:rPr>
          <w:sz w:val="20"/>
        </w:rPr>
        <w:t>/participant</w:t>
      </w:r>
      <w:r w:rsidRPr="00B5600D">
        <w:rPr>
          <w:sz w:val="20"/>
        </w:rPr>
        <w:t xml:space="preserve"> </w:t>
      </w:r>
      <w:r w:rsidR="00F41CCF">
        <w:rPr>
          <w:sz w:val="20"/>
        </w:rPr>
        <w:t>M</w:t>
      </w:r>
      <w:r w:rsidRPr="00B5600D">
        <w:rPr>
          <w:sz w:val="20"/>
        </w:rPr>
        <w:t xml:space="preserve">utual </w:t>
      </w:r>
      <w:r w:rsidR="00F41CCF">
        <w:rPr>
          <w:sz w:val="20"/>
        </w:rPr>
        <w:t>O</w:t>
      </w:r>
      <w:r w:rsidRPr="00B5600D">
        <w:rPr>
          <w:sz w:val="20"/>
        </w:rPr>
        <w:t xml:space="preserve">bligation </w:t>
      </w:r>
      <w:r w:rsidR="00F41CCF">
        <w:rPr>
          <w:sz w:val="20"/>
        </w:rPr>
        <w:t>R</w:t>
      </w:r>
      <w:r w:rsidRPr="00B5600D">
        <w:rPr>
          <w:sz w:val="20"/>
        </w:rPr>
        <w:t>equirements are lifted</w:t>
      </w:r>
      <w:r w:rsidR="00FC3557" w:rsidRPr="00B5600D">
        <w:rPr>
          <w:sz w:val="20"/>
        </w:rPr>
        <w:t>.</w:t>
      </w:r>
    </w:p>
    <w:p w14:paraId="2503C3EB" w14:textId="759B70A2" w:rsidR="00752C69" w:rsidRPr="00B5600D" w:rsidRDefault="00752C69" w:rsidP="00B5600D">
      <w:pPr>
        <w:pStyle w:val="Basic"/>
        <w:jc w:val="left"/>
        <w:rPr>
          <w:sz w:val="20"/>
        </w:rPr>
      </w:pPr>
      <w:r w:rsidRPr="00B5600D">
        <w:rPr>
          <w:sz w:val="20"/>
        </w:rPr>
        <w:t>From 28 September 2020, job seekers</w:t>
      </w:r>
      <w:r w:rsidR="00E97D2A">
        <w:rPr>
          <w:sz w:val="20"/>
        </w:rPr>
        <w:t>/participants</w:t>
      </w:r>
      <w:r w:rsidRPr="00B5600D">
        <w:rPr>
          <w:sz w:val="20"/>
        </w:rPr>
        <w:t xml:space="preserve"> who have a valid reason (agreed by their provider) no longer need to meet a re-engagement requirement to lift the hold on their payment. Once the provider has discussed the reasons for not meeting a requirement and accepts the job seeker</w:t>
      </w:r>
      <w:r w:rsidR="00E97D2A">
        <w:rPr>
          <w:sz w:val="20"/>
        </w:rPr>
        <w:t>/participant</w:t>
      </w:r>
      <w:r w:rsidRPr="00B5600D">
        <w:rPr>
          <w:sz w:val="20"/>
        </w:rPr>
        <w:t xml:space="preserve"> had a valid reason, they record the reason in the system which will lift the hold on the job seeker’s</w:t>
      </w:r>
      <w:r w:rsidR="00E97D2A">
        <w:rPr>
          <w:sz w:val="20"/>
        </w:rPr>
        <w:t>/participant’s</w:t>
      </w:r>
      <w:r w:rsidRPr="00B5600D">
        <w:rPr>
          <w:sz w:val="20"/>
        </w:rPr>
        <w:t xml:space="preserve"> payment.</w:t>
      </w:r>
    </w:p>
    <w:p w14:paraId="70E3F757" w14:textId="426E9887" w:rsidR="00A13E58" w:rsidRPr="00B5600D" w:rsidRDefault="00A13E58" w:rsidP="00B5600D">
      <w:pPr>
        <w:pStyle w:val="Basic"/>
        <w:jc w:val="left"/>
        <w:rPr>
          <w:sz w:val="20"/>
        </w:rPr>
      </w:pPr>
      <w:r w:rsidRPr="00B5600D">
        <w:rPr>
          <w:sz w:val="20"/>
        </w:rPr>
        <w:t xml:space="preserve">The Government’s announced refinements to payment suspensions under the </w:t>
      </w:r>
      <w:r w:rsidR="00431FC4">
        <w:rPr>
          <w:sz w:val="20"/>
        </w:rPr>
        <w:t>TCF</w:t>
      </w:r>
      <w:r w:rsidRPr="00B5600D">
        <w:rPr>
          <w:sz w:val="20"/>
        </w:rPr>
        <w:t xml:space="preserve"> were introduced on 7 December 2020. From th</w:t>
      </w:r>
      <w:r w:rsidR="00A75F51" w:rsidRPr="00B5600D">
        <w:rPr>
          <w:sz w:val="20"/>
        </w:rPr>
        <w:t>at</w:t>
      </w:r>
      <w:r w:rsidRPr="00B5600D">
        <w:rPr>
          <w:sz w:val="20"/>
        </w:rPr>
        <w:t xml:space="preserve"> date, payment suspensions are no longer immediate when a job seeker</w:t>
      </w:r>
      <w:r w:rsidR="00E97D2A">
        <w:rPr>
          <w:sz w:val="20"/>
        </w:rPr>
        <w:t>/participant</w:t>
      </w:r>
      <w:r w:rsidRPr="00B5600D">
        <w:rPr>
          <w:sz w:val="20"/>
        </w:rPr>
        <w:t xml:space="preserve"> fails to meet a requirement. Job seekers</w:t>
      </w:r>
      <w:r w:rsidR="00E97D2A">
        <w:rPr>
          <w:sz w:val="20"/>
        </w:rPr>
        <w:t>/participants</w:t>
      </w:r>
      <w:r w:rsidRPr="00B5600D">
        <w:rPr>
          <w:sz w:val="20"/>
        </w:rPr>
        <w:t xml:space="preserve"> now have two business days “Resolution Time” to contact their provider to discuss and, if required, address the failure to avoid having their payment put on hold. This complements the change to re-engagement requirements. </w:t>
      </w:r>
      <w:r w:rsidR="005F4ECE">
        <w:rPr>
          <w:sz w:val="20"/>
        </w:rPr>
        <w:t>Results from job</w:t>
      </w:r>
      <w:r w:rsidR="00E97D2A">
        <w:rPr>
          <w:sz w:val="20"/>
        </w:rPr>
        <w:t xml:space="preserve"> </w:t>
      </w:r>
      <w:r w:rsidR="005F4ECE">
        <w:rPr>
          <w:sz w:val="20"/>
        </w:rPr>
        <w:t>seeker’s</w:t>
      </w:r>
      <w:r w:rsidR="00E97D2A">
        <w:rPr>
          <w:sz w:val="20"/>
        </w:rPr>
        <w:t>/participant’s</w:t>
      </w:r>
      <w:r w:rsidR="005F4ECE">
        <w:rPr>
          <w:sz w:val="20"/>
        </w:rPr>
        <w:t xml:space="preserve"> accessing “Resolution Time” to </w:t>
      </w:r>
      <w:r w:rsidRPr="00B5600D">
        <w:rPr>
          <w:sz w:val="20"/>
        </w:rPr>
        <w:t>avoid</w:t>
      </w:r>
      <w:r w:rsidR="005F4ECE">
        <w:rPr>
          <w:sz w:val="20"/>
        </w:rPr>
        <w:t xml:space="preserve"> a payment</w:t>
      </w:r>
      <w:r w:rsidRPr="00B5600D">
        <w:rPr>
          <w:sz w:val="20"/>
        </w:rPr>
        <w:t xml:space="preserve"> suspension</w:t>
      </w:r>
      <w:r w:rsidR="005F4ECE">
        <w:rPr>
          <w:sz w:val="20"/>
        </w:rPr>
        <w:t xml:space="preserve"> will be included in the next </w:t>
      </w:r>
      <w:r w:rsidR="00DD0245">
        <w:rPr>
          <w:sz w:val="20"/>
        </w:rPr>
        <w:t xml:space="preserve">published </w:t>
      </w:r>
      <w:r w:rsidR="005F4ECE">
        <w:rPr>
          <w:sz w:val="20"/>
        </w:rPr>
        <w:t>public data report</w:t>
      </w:r>
      <w:r w:rsidRPr="00B5600D">
        <w:rPr>
          <w:sz w:val="20"/>
        </w:rPr>
        <w:t xml:space="preserve">. </w:t>
      </w:r>
    </w:p>
    <w:p w14:paraId="3666D908" w14:textId="1435C2ED" w:rsidR="00C72F22" w:rsidRPr="00B5600D" w:rsidRDefault="00C72F22" w:rsidP="00B5600D">
      <w:pPr>
        <w:pStyle w:val="Basic"/>
        <w:rPr>
          <w:sz w:val="20"/>
        </w:rPr>
      </w:pPr>
      <w:r w:rsidRPr="00B5600D">
        <w:rPr>
          <w:sz w:val="20"/>
        </w:rPr>
        <w:t xml:space="preserve">As a result of </w:t>
      </w:r>
      <w:r w:rsidR="00693019" w:rsidRPr="00B5600D">
        <w:rPr>
          <w:sz w:val="20"/>
        </w:rPr>
        <w:t>COVID-19 in 2020,</w:t>
      </w:r>
      <w:r w:rsidRPr="00B5600D">
        <w:rPr>
          <w:sz w:val="20"/>
        </w:rPr>
        <w:t xml:space="preserve"> job seeker</w:t>
      </w:r>
      <w:r w:rsidR="00693019" w:rsidRPr="00B5600D">
        <w:rPr>
          <w:sz w:val="20"/>
        </w:rPr>
        <w:t>s</w:t>
      </w:r>
      <w:r w:rsidR="00E97D2A">
        <w:rPr>
          <w:sz w:val="20"/>
        </w:rPr>
        <w:t>/participants</w:t>
      </w:r>
      <w:r w:rsidRPr="00B5600D">
        <w:rPr>
          <w:sz w:val="20"/>
        </w:rPr>
        <w:t xml:space="preserve"> in the </w:t>
      </w:r>
      <w:r w:rsidR="00431FC4">
        <w:rPr>
          <w:sz w:val="20"/>
        </w:rPr>
        <w:t>TCF</w:t>
      </w:r>
      <w:r w:rsidR="008700AA" w:rsidRPr="00B5600D">
        <w:rPr>
          <w:sz w:val="20"/>
        </w:rPr>
        <w:t xml:space="preserve"> </w:t>
      </w:r>
      <w:r w:rsidRPr="00B5600D">
        <w:rPr>
          <w:sz w:val="20"/>
        </w:rPr>
        <w:t>were markedly different</w:t>
      </w:r>
      <w:r w:rsidR="008700AA" w:rsidRPr="00B5600D">
        <w:rPr>
          <w:sz w:val="20"/>
        </w:rPr>
        <w:t xml:space="preserve"> from previous years</w:t>
      </w:r>
      <w:r w:rsidRPr="00B5600D">
        <w:rPr>
          <w:sz w:val="20"/>
        </w:rPr>
        <w:t xml:space="preserve"> in terms of their caseload and </w:t>
      </w:r>
      <w:r w:rsidR="008700AA" w:rsidRPr="00B5600D">
        <w:rPr>
          <w:sz w:val="20"/>
        </w:rPr>
        <w:t xml:space="preserve">the </w:t>
      </w:r>
      <w:r w:rsidRPr="00B5600D">
        <w:rPr>
          <w:sz w:val="20"/>
        </w:rPr>
        <w:t xml:space="preserve">proportion of them that were in the </w:t>
      </w:r>
      <w:r w:rsidR="00F41CCF">
        <w:rPr>
          <w:sz w:val="20"/>
        </w:rPr>
        <w:t>G</w:t>
      </w:r>
      <w:r w:rsidRPr="00B5600D">
        <w:rPr>
          <w:sz w:val="20"/>
        </w:rPr>
        <w:t xml:space="preserve">reen </w:t>
      </w:r>
      <w:r w:rsidR="00F41CCF">
        <w:rPr>
          <w:sz w:val="20"/>
        </w:rPr>
        <w:t>Z</w:t>
      </w:r>
      <w:r w:rsidRPr="00B5600D">
        <w:rPr>
          <w:sz w:val="20"/>
        </w:rPr>
        <w:t xml:space="preserve">one, </w:t>
      </w:r>
      <w:r w:rsidR="00F41CCF">
        <w:rPr>
          <w:sz w:val="20"/>
        </w:rPr>
        <w:t>W</w:t>
      </w:r>
      <w:r w:rsidRPr="00B5600D">
        <w:rPr>
          <w:sz w:val="20"/>
        </w:rPr>
        <w:t xml:space="preserve">arning </w:t>
      </w:r>
      <w:r w:rsidR="00F41CCF">
        <w:rPr>
          <w:sz w:val="20"/>
        </w:rPr>
        <w:t>Z</w:t>
      </w:r>
      <w:r w:rsidRPr="00B5600D">
        <w:rPr>
          <w:sz w:val="20"/>
        </w:rPr>
        <w:t xml:space="preserve">one and </w:t>
      </w:r>
      <w:r w:rsidR="00F41CCF">
        <w:rPr>
          <w:sz w:val="20"/>
        </w:rPr>
        <w:t>P</w:t>
      </w:r>
      <w:r w:rsidRPr="00B5600D">
        <w:rPr>
          <w:sz w:val="20"/>
        </w:rPr>
        <w:t xml:space="preserve">enalty </w:t>
      </w:r>
      <w:r w:rsidR="00F41CCF">
        <w:rPr>
          <w:sz w:val="20"/>
        </w:rPr>
        <w:t>Z</w:t>
      </w:r>
      <w:r w:rsidRPr="00B5600D">
        <w:rPr>
          <w:sz w:val="20"/>
        </w:rPr>
        <w:t>one. From 1 July 2020 to 31 December 2020 (this reporting period), 44 per cent of job seekers/participants who undertook a Capability Interview continued in the Warning Zone as they were found capable of meeting the requirements in their Job/Participation Plan (Table 3). 81 per cent of all job seekers/participants who undertook a Capability Assessment were found capable of meeting their requirements and entered the Penalty Zone (Table</w:t>
      </w:r>
      <w:r w:rsidR="00554F2F">
        <w:rPr>
          <w:sz w:val="20"/>
        </w:rPr>
        <w:t xml:space="preserve"> </w:t>
      </w:r>
      <w:r w:rsidRPr="00B5600D">
        <w:rPr>
          <w:sz w:val="20"/>
        </w:rPr>
        <w:t xml:space="preserve">3).  </w:t>
      </w:r>
    </w:p>
    <w:p w14:paraId="40AB8ABA" w14:textId="6BBE56A2" w:rsidR="00BA7345" w:rsidRPr="00BA7345" w:rsidRDefault="00BA7345" w:rsidP="00B5600D">
      <w:pPr>
        <w:pStyle w:val="Basic"/>
        <w:rPr>
          <w:i/>
          <w:sz w:val="20"/>
          <w:szCs w:val="20"/>
        </w:rPr>
      </w:pPr>
      <w:r w:rsidRPr="00BA7345">
        <w:rPr>
          <w:b/>
          <w:bCs/>
          <w:i/>
          <w:sz w:val="20"/>
          <w:szCs w:val="20"/>
        </w:rPr>
        <w:t>Note</w:t>
      </w:r>
      <w:r w:rsidRPr="00BA7345">
        <w:rPr>
          <w:i/>
          <w:sz w:val="20"/>
          <w:szCs w:val="20"/>
        </w:rPr>
        <w:t xml:space="preserve">: This chart reflects the TCF in jobactive and </w:t>
      </w:r>
      <w:proofErr w:type="gramStart"/>
      <w:r w:rsidRPr="00BA7345">
        <w:rPr>
          <w:i/>
          <w:sz w:val="20"/>
          <w:szCs w:val="20"/>
        </w:rPr>
        <w:t>DES, but</w:t>
      </w:r>
      <w:proofErr w:type="gramEnd"/>
      <w:r w:rsidRPr="00BA7345">
        <w:rPr>
          <w:i/>
          <w:sz w:val="20"/>
          <w:szCs w:val="20"/>
        </w:rPr>
        <w:t xml:space="preserve"> differs slightly for ParentsNext.</w:t>
      </w:r>
    </w:p>
    <w:p w14:paraId="22A0CE31" w14:textId="000E80B6" w:rsidR="00C72F22" w:rsidRPr="00BA7345" w:rsidRDefault="00BA7345" w:rsidP="00B5600D">
      <w:pPr>
        <w:pStyle w:val="Basic"/>
        <w:rPr>
          <w:i/>
          <w:sz w:val="20"/>
          <w:szCs w:val="20"/>
        </w:rPr>
      </w:pPr>
      <w:r>
        <w:rPr>
          <w:i/>
          <w:sz w:val="20"/>
          <w:szCs w:val="20"/>
        </w:rPr>
        <w:t>^</w:t>
      </w:r>
      <w:r w:rsidR="00E71913" w:rsidRPr="00BA7345">
        <w:rPr>
          <w:i/>
          <w:sz w:val="20"/>
          <w:szCs w:val="20"/>
        </w:rPr>
        <w:t>All figures in this reporting period were impacted by job seeker contingency arrangements enacted in response to COVID-19 impacts.</w:t>
      </w:r>
    </w:p>
    <w:p w14:paraId="0786D961" w14:textId="3D416367" w:rsidR="00C72F22" w:rsidRPr="003D2322" w:rsidRDefault="00C72F22" w:rsidP="00C72F22">
      <w:pPr>
        <w:pStyle w:val="Basic"/>
        <w:spacing w:before="0" w:after="0"/>
        <w:rPr>
          <w:color w:val="FF0000"/>
          <w:sz w:val="20"/>
        </w:rPr>
      </w:pPr>
    </w:p>
    <w:p w14:paraId="3B4C0810" w14:textId="15E72C4F" w:rsidR="003D2322" w:rsidRPr="003D2322" w:rsidRDefault="003D2322" w:rsidP="000E1E09">
      <w:pPr>
        <w:pStyle w:val="Basic"/>
        <w:spacing w:before="0" w:after="0"/>
        <w:rPr>
          <w:color w:val="FF0000"/>
          <w:sz w:val="20"/>
        </w:rPr>
      </w:pPr>
      <w:r w:rsidRPr="003D2322">
        <w:rPr>
          <w:color w:val="FF0000"/>
          <w:sz w:val="20"/>
        </w:rPr>
        <w:t xml:space="preserve"> </w:t>
      </w:r>
    </w:p>
    <w:p w14:paraId="422C6F98" w14:textId="59C2C55B" w:rsidR="005F677C" w:rsidRPr="00E71913" w:rsidRDefault="00C204F5" w:rsidP="00E71913">
      <w:pPr>
        <w:rPr>
          <w:b/>
          <w:i/>
          <w:sz w:val="18"/>
        </w:rPr>
      </w:pPr>
      <w:r>
        <w:rPr>
          <w:b/>
          <w:i/>
          <w:sz w:val="18"/>
        </w:rPr>
        <w:br w:type="page"/>
      </w:r>
      <w:r w:rsidR="00A35D0A" w:rsidRPr="00B72231">
        <w:rPr>
          <w:i/>
          <w:sz w:val="20"/>
        </w:rPr>
        <w:lastRenderedPageBreak/>
        <w:t xml:space="preserve"> </w:t>
      </w:r>
    </w:p>
    <w:p w14:paraId="3D3CB2BB" w14:textId="18540265" w:rsidR="00F86FC9" w:rsidRPr="00B72231" w:rsidRDefault="00F86FC9" w:rsidP="00523062">
      <w:pPr>
        <w:pStyle w:val="Basic"/>
        <w:spacing w:before="60" w:after="0"/>
        <w:rPr>
          <w:i/>
          <w:sz w:val="18"/>
        </w:rPr>
        <w:sectPr w:rsidR="00F86FC9" w:rsidRPr="00B72231" w:rsidSect="00503943">
          <w:type w:val="continuous"/>
          <w:pgSz w:w="16838" w:h="11906" w:orient="landscape"/>
          <w:pgMar w:top="454" w:right="624" w:bottom="454" w:left="680" w:header="709" w:footer="709" w:gutter="0"/>
          <w:cols w:space="708"/>
          <w:docGrid w:linePitch="360"/>
        </w:sectPr>
      </w:pPr>
    </w:p>
    <w:p w14:paraId="231F844F" w14:textId="794E98F2" w:rsidR="001B40EB" w:rsidRDefault="001B40EB" w:rsidP="001B40EB">
      <w:pPr>
        <w:pStyle w:val="Heading1"/>
      </w:pPr>
      <w:bookmarkStart w:id="4" w:name="_Toc72324861"/>
      <w:r>
        <w:t>Data tables</w:t>
      </w:r>
      <w:r w:rsidR="003E3458" w:rsidRPr="005F677C">
        <w:rPr>
          <w:rStyle w:val="FootnoteReference"/>
          <w:sz w:val="22"/>
        </w:rPr>
        <w:footnoteReference w:id="1"/>
      </w:r>
      <w:bookmarkEnd w:id="4"/>
    </w:p>
    <w:p w14:paraId="0797B53B" w14:textId="592A498B" w:rsidR="008069B8" w:rsidRDefault="008069B8" w:rsidP="00756257">
      <w:pPr>
        <w:pStyle w:val="Heading2"/>
      </w:pPr>
      <w:bookmarkStart w:id="5" w:name="_Toc72324862"/>
      <w:r w:rsidRPr="008069B8">
        <w:t xml:space="preserve">Table </w:t>
      </w:r>
      <w:r w:rsidR="00AA3E52">
        <w:rPr>
          <w:noProof/>
        </w:rPr>
        <w:fldChar w:fldCharType="begin"/>
      </w:r>
      <w:r w:rsidR="00AA3E52">
        <w:rPr>
          <w:noProof/>
        </w:rPr>
        <w:instrText xml:space="preserve"> SEQ Table \* ARABIC </w:instrText>
      </w:r>
      <w:r w:rsidR="00AA3E52">
        <w:rPr>
          <w:noProof/>
        </w:rPr>
        <w:fldChar w:fldCharType="separate"/>
      </w:r>
      <w:r w:rsidR="00B11D58">
        <w:rPr>
          <w:noProof/>
        </w:rPr>
        <w:t>1</w:t>
      </w:r>
      <w:r w:rsidR="00AA3E52">
        <w:rPr>
          <w:noProof/>
        </w:rPr>
        <w:fldChar w:fldCharType="end"/>
      </w:r>
      <w:r>
        <w:t xml:space="preserve">: </w:t>
      </w:r>
      <w:r w:rsidRPr="00BD665E">
        <w:t xml:space="preserve">Number of </w:t>
      </w:r>
      <w:r w:rsidR="00431FC4">
        <w:t>TCF</w:t>
      </w:r>
      <w:r w:rsidRPr="00BD665E">
        <w:t xml:space="preserve"> job seekers</w:t>
      </w:r>
      <w:r w:rsidR="0046481A">
        <w:t>/participants</w:t>
      </w:r>
      <w:r w:rsidR="00AB58B5">
        <w:t xml:space="preserve"> in All Programs (</w:t>
      </w:r>
      <w:r w:rsidR="00AB58B5" w:rsidRPr="005F677C">
        <w:t>jobactive</w:t>
      </w:r>
      <w:r w:rsidR="00C204F5">
        <w:t xml:space="preserve"> including Digital</w:t>
      </w:r>
      <w:r w:rsidR="00AB58B5">
        <w:t>, Disability Employment Services and ParentsNext)*</w:t>
      </w:r>
      <w:r w:rsidR="009A1334">
        <w:t>—</w:t>
      </w:r>
      <w:r>
        <w:t xml:space="preserve">by Zone, </w:t>
      </w:r>
      <w:r w:rsidRPr="008069B8">
        <w:t>as at</w:t>
      </w:r>
      <w:r w:rsidR="00C34F7D">
        <w:t xml:space="preserve"> </w:t>
      </w:r>
      <w:r>
        <w:t>3</w:t>
      </w:r>
      <w:bookmarkEnd w:id="2"/>
      <w:r w:rsidR="00C6004F">
        <w:t>1</w:t>
      </w:r>
      <w:r w:rsidR="000A1D24">
        <w:t xml:space="preserve"> </w:t>
      </w:r>
      <w:r w:rsidR="00C6004F">
        <w:t>D</w:t>
      </w:r>
      <w:r w:rsidR="000A1D24">
        <w:t>e</w:t>
      </w:r>
      <w:r w:rsidR="00C6004F">
        <w:t>cember</w:t>
      </w:r>
      <w:r w:rsidR="000A1D24">
        <w:t xml:space="preserve"> 2020</w:t>
      </w:r>
      <w:bookmarkEnd w:id="5"/>
    </w:p>
    <w:tbl>
      <w:tblPr>
        <w:tblStyle w:val="TableGrid"/>
        <w:tblW w:w="14170" w:type="dxa"/>
        <w:tblLook w:val="04A0" w:firstRow="1" w:lastRow="0" w:firstColumn="1" w:lastColumn="0" w:noHBand="0" w:noVBand="1"/>
        <w:tblDescription w:val="See table data for information"/>
      </w:tblPr>
      <w:tblGrid>
        <w:gridCol w:w="1249"/>
        <w:gridCol w:w="1207"/>
        <w:gridCol w:w="1207"/>
        <w:gridCol w:w="1207"/>
        <w:gridCol w:w="1044"/>
        <w:gridCol w:w="1044"/>
        <w:gridCol w:w="1044"/>
        <w:gridCol w:w="1045"/>
        <w:gridCol w:w="1045"/>
        <w:gridCol w:w="1207"/>
        <w:gridCol w:w="883"/>
        <w:gridCol w:w="883"/>
        <w:gridCol w:w="1105"/>
      </w:tblGrid>
      <w:tr w:rsidR="00341C06" w14:paraId="4A54D3AC" w14:textId="77777777" w:rsidTr="00FF3FFF">
        <w:trPr>
          <w:tblHeader/>
        </w:trPr>
        <w:tc>
          <w:tcPr>
            <w:tcW w:w="1249" w:type="dxa"/>
            <w:shd w:val="clear" w:color="auto" w:fill="D9D9D9" w:themeFill="background1" w:themeFillShade="D9"/>
            <w:vAlign w:val="center"/>
          </w:tcPr>
          <w:p w14:paraId="621058DF" w14:textId="77777777" w:rsidR="00341C06" w:rsidRPr="008069B8" w:rsidRDefault="00341C06" w:rsidP="00341C06">
            <w:pPr>
              <w:pStyle w:val="Tableheader"/>
              <w:jc w:val="left"/>
            </w:pPr>
            <w:r>
              <w:t>Category</w:t>
            </w:r>
          </w:p>
        </w:tc>
        <w:tc>
          <w:tcPr>
            <w:tcW w:w="1207" w:type="dxa"/>
            <w:shd w:val="clear" w:color="auto" w:fill="D9D9D9" w:themeFill="background1" w:themeFillShade="D9"/>
            <w:vAlign w:val="center"/>
          </w:tcPr>
          <w:p w14:paraId="1217BAE7" w14:textId="3335700F" w:rsidR="00341C06" w:rsidRDefault="00341C06" w:rsidP="00341C06">
            <w:pPr>
              <w:pStyle w:val="Tableheader"/>
            </w:pPr>
            <w:r>
              <w:t>TCF j</w:t>
            </w:r>
            <w:r w:rsidRPr="008069B8">
              <w:t>ob seekers</w:t>
            </w:r>
            <w:r>
              <w:t>/</w:t>
            </w:r>
            <w:r w:rsidR="001B40EB">
              <w:t xml:space="preserve"> </w:t>
            </w:r>
            <w:r>
              <w:t>participants</w:t>
            </w:r>
          </w:p>
          <w:p w14:paraId="3369F23B" w14:textId="77777777" w:rsidR="00341C06" w:rsidRPr="008069B8" w:rsidRDefault="00341C06" w:rsidP="00341C06">
            <w:pPr>
              <w:pStyle w:val="Tableheader"/>
            </w:pPr>
            <w:r>
              <w:t>(All Zones)</w:t>
            </w:r>
          </w:p>
        </w:tc>
        <w:tc>
          <w:tcPr>
            <w:tcW w:w="1207" w:type="dxa"/>
            <w:shd w:val="clear" w:color="auto" w:fill="D9D9D9" w:themeFill="background1" w:themeFillShade="D9"/>
            <w:vAlign w:val="center"/>
          </w:tcPr>
          <w:p w14:paraId="4CAA8E87" w14:textId="03FA81E2" w:rsidR="00341C06" w:rsidRPr="008069B8" w:rsidRDefault="00341C06" w:rsidP="001B40EB">
            <w:pPr>
              <w:pStyle w:val="Tableheader"/>
            </w:pPr>
            <w:r>
              <w:t>TCF j</w:t>
            </w:r>
            <w:r w:rsidRPr="008069B8">
              <w:t>ob seekers</w:t>
            </w:r>
            <w:r>
              <w:t>/</w:t>
            </w:r>
            <w:r w:rsidR="001B40EB">
              <w:t xml:space="preserve"> </w:t>
            </w:r>
            <w:r>
              <w:t>participants</w:t>
            </w:r>
            <w:r w:rsidRPr="008069B8">
              <w:t xml:space="preserve"> in Green Zone</w:t>
            </w:r>
            <w:r>
              <w:t xml:space="preserve"> </w:t>
            </w:r>
          </w:p>
        </w:tc>
        <w:tc>
          <w:tcPr>
            <w:tcW w:w="1207" w:type="dxa"/>
            <w:shd w:val="clear" w:color="auto" w:fill="D9D9D9" w:themeFill="background1" w:themeFillShade="D9"/>
            <w:vAlign w:val="center"/>
          </w:tcPr>
          <w:p w14:paraId="6BCB4137" w14:textId="4793B84F" w:rsidR="00341C06" w:rsidRPr="008069B8" w:rsidRDefault="00341C06" w:rsidP="001B40EB">
            <w:pPr>
              <w:pStyle w:val="Tableheader"/>
            </w:pPr>
            <w:r>
              <w:t>TCF j</w:t>
            </w:r>
            <w:r w:rsidRPr="008069B8">
              <w:t>ob seekers</w:t>
            </w:r>
            <w:r>
              <w:t>/</w:t>
            </w:r>
            <w:r w:rsidR="001B40EB">
              <w:t xml:space="preserve"> </w:t>
            </w:r>
            <w:r>
              <w:t>participants</w:t>
            </w:r>
            <w:r w:rsidRPr="008069B8">
              <w:t xml:space="preserve"> in Warning Zone</w:t>
            </w:r>
          </w:p>
        </w:tc>
        <w:tc>
          <w:tcPr>
            <w:tcW w:w="1044" w:type="dxa"/>
            <w:shd w:val="clear" w:color="auto" w:fill="FFFFFF" w:themeFill="background1"/>
            <w:vAlign w:val="center"/>
          </w:tcPr>
          <w:p w14:paraId="49E2E833" w14:textId="0EDEFE66" w:rsidR="00341C06" w:rsidRDefault="00341C06" w:rsidP="00341C06">
            <w:pPr>
              <w:pStyle w:val="Tableheader"/>
            </w:pPr>
            <w:r>
              <w:t>Warning Zone</w:t>
            </w:r>
            <w:r w:rsidR="009A1334">
              <w:t>—</w:t>
            </w:r>
            <w:r w:rsidRPr="008069B8">
              <w:t>Demerit Count</w:t>
            </w:r>
          </w:p>
          <w:p w14:paraId="20F2CCAA" w14:textId="6FFA7024" w:rsidR="00341C06" w:rsidRPr="008069B8" w:rsidRDefault="00341C06" w:rsidP="001B40EB">
            <w:pPr>
              <w:pStyle w:val="Tableheader"/>
              <w:spacing w:before="120"/>
            </w:pPr>
            <w:r w:rsidRPr="008069B8">
              <w:t>(1)</w:t>
            </w:r>
          </w:p>
        </w:tc>
        <w:tc>
          <w:tcPr>
            <w:tcW w:w="1044" w:type="dxa"/>
            <w:shd w:val="clear" w:color="auto" w:fill="FFFFFF" w:themeFill="background1"/>
            <w:vAlign w:val="center"/>
          </w:tcPr>
          <w:p w14:paraId="7622717E" w14:textId="6D4F0191" w:rsidR="00341C06" w:rsidRDefault="00341C06" w:rsidP="00341C06">
            <w:pPr>
              <w:pStyle w:val="Tableheader"/>
            </w:pPr>
            <w:r>
              <w:t>Warning Zone</w:t>
            </w:r>
            <w:r w:rsidR="009A1334">
              <w:t>—</w:t>
            </w:r>
            <w:r w:rsidRPr="008069B8">
              <w:t>Demerit Count</w:t>
            </w:r>
            <w:r w:rsidR="001B40EB">
              <w:t xml:space="preserve"> </w:t>
            </w:r>
          </w:p>
          <w:p w14:paraId="2BDEBE70" w14:textId="77777777" w:rsidR="00341C06" w:rsidRPr="008069B8" w:rsidRDefault="00341C06" w:rsidP="001B40EB">
            <w:pPr>
              <w:pStyle w:val="Tableheader"/>
              <w:spacing w:before="120"/>
            </w:pPr>
            <w:r w:rsidRPr="008069B8">
              <w:t>(2)</w:t>
            </w:r>
          </w:p>
        </w:tc>
        <w:tc>
          <w:tcPr>
            <w:tcW w:w="1044" w:type="dxa"/>
            <w:shd w:val="clear" w:color="auto" w:fill="FFFFFF" w:themeFill="background1"/>
            <w:vAlign w:val="center"/>
          </w:tcPr>
          <w:p w14:paraId="7E59D465" w14:textId="00E2AA75" w:rsidR="00341C06" w:rsidRDefault="00341C06" w:rsidP="00341C06">
            <w:pPr>
              <w:pStyle w:val="Tableheader"/>
            </w:pPr>
            <w:r>
              <w:t>Warning Zone</w:t>
            </w:r>
            <w:r w:rsidR="009A1334">
              <w:t>—</w:t>
            </w:r>
            <w:r w:rsidRPr="008069B8">
              <w:t>Demerit Count</w:t>
            </w:r>
          </w:p>
          <w:p w14:paraId="55423C8F" w14:textId="77777777" w:rsidR="00341C06" w:rsidRPr="008069B8" w:rsidRDefault="00341C06" w:rsidP="001B40EB">
            <w:pPr>
              <w:pStyle w:val="Tableheader"/>
              <w:spacing w:before="120"/>
            </w:pPr>
            <w:r w:rsidRPr="008069B8">
              <w:t>(</w:t>
            </w:r>
            <w:proofErr w:type="gramStart"/>
            <w:r w:rsidRPr="008069B8">
              <w:t>3)</w:t>
            </w:r>
            <w:r>
              <w:t>^</w:t>
            </w:r>
            <w:proofErr w:type="gramEnd"/>
          </w:p>
        </w:tc>
        <w:tc>
          <w:tcPr>
            <w:tcW w:w="1045" w:type="dxa"/>
            <w:shd w:val="clear" w:color="auto" w:fill="FFFFFF" w:themeFill="background1"/>
            <w:vAlign w:val="center"/>
          </w:tcPr>
          <w:p w14:paraId="292B15E9" w14:textId="5069835E" w:rsidR="00341C06" w:rsidRDefault="00341C06" w:rsidP="00341C06">
            <w:pPr>
              <w:pStyle w:val="Tableheader"/>
            </w:pPr>
            <w:r>
              <w:t>Warning Zone</w:t>
            </w:r>
            <w:r w:rsidR="009A1334">
              <w:t>—</w:t>
            </w:r>
            <w:r w:rsidRPr="008069B8">
              <w:t>Demerit Count</w:t>
            </w:r>
          </w:p>
          <w:p w14:paraId="5A6B2B52" w14:textId="77777777" w:rsidR="00341C06" w:rsidRPr="008069B8" w:rsidRDefault="00341C06" w:rsidP="001B40EB">
            <w:pPr>
              <w:pStyle w:val="Tableheader"/>
              <w:spacing w:before="120"/>
            </w:pPr>
            <w:r w:rsidRPr="008069B8">
              <w:t>(4)</w:t>
            </w:r>
          </w:p>
        </w:tc>
        <w:tc>
          <w:tcPr>
            <w:tcW w:w="1045" w:type="dxa"/>
            <w:shd w:val="clear" w:color="auto" w:fill="FFFFFF" w:themeFill="background1"/>
            <w:vAlign w:val="center"/>
          </w:tcPr>
          <w:p w14:paraId="5F81F5FD" w14:textId="3825A391" w:rsidR="00341C06" w:rsidRDefault="00341C06" w:rsidP="00341C06">
            <w:pPr>
              <w:pStyle w:val="Tableheader"/>
            </w:pPr>
            <w:r>
              <w:t>Warning Zone</w:t>
            </w:r>
            <w:r w:rsidR="009A1334">
              <w:t>—</w:t>
            </w:r>
            <w:r w:rsidRPr="008069B8">
              <w:t>Demerit Count</w:t>
            </w:r>
          </w:p>
          <w:p w14:paraId="40570156" w14:textId="77777777" w:rsidR="00341C06" w:rsidRPr="008069B8" w:rsidRDefault="00341C06" w:rsidP="001B40EB">
            <w:pPr>
              <w:pStyle w:val="Tableheader"/>
              <w:spacing w:before="120"/>
            </w:pPr>
            <w:r w:rsidRPr="008069B8">
              <w:t>(</w:t>
            </w:r>
            <w:proofErr w:type="gramStart"/>
            <w:r w:rsidRPr="008069B8">
              <w:t>5)</w:t>
            </w:r>
            <w:r>
              <w:t>^</w:t>
            </w:r>
            <w:proofErr w:type="gramEnd"/>
            <w:r>
              <w:t>^</w:t>
            </w:r>
          </w:p>
        </w:tc>
        <w:tc>
          <w:tcPr>
            <w:tcW w:w="1207" w:type="dxa"/>
            <w:shd w:val="clear" w:color="auto" w:fill="D9D9D9" w:themeFill="background1" w:themeFillShade="D9"/>
            <w:vAlign w:val="center"/>
          </w:tcPr>
          <w:p w14:paraId="4245832B" w14:textId="537F0D5B" w:rsidR="00341C06" w:rsidRPr="008069B8" w:rsidRDefault="00341C06" w:rsidP="001B40EB">
            <w:pPr>
              <w:pStyle w:val="Tableheader"/>
            </w:pPr>
            <w:r w:rsidRPr="008069B8">
              <w:t>TCF job seekers</w:t>
            </w:r>
            <w:r>
              <w:t>/</w:t>
            </w:r>
            <w:r w:rsidR="001B40EB">
              <w:t xml:space="preserve"> </w:t>
            </w:r>
            <w:r>
              <w:t>participants</w:t>
            </w:r>
            <w:r w:rsidRPr="008069B8">
              <w:t xml:space="preserve"> in Penalty Zone</w:t>
            </w:r>
          </w:p>
        </w:tc>
        <w:tc>
          <w:tcPr>
            <w:tcW w:w="883" w:type="dxa"/>
            <w:shd w:val="clear" w:color="auto" w:fill="FFFFFF" w:themeFill="background1"/>
            <w:vAlign w:val="center"/>
          </w:tcPr>
          <w:p w14:paraId="62857D75" w14:textId="15D9C9A0" w:rsidR="00341C06" w:rsidRDefault="00341C06" w:rsidP="00341C06">
            <w:pPr>
              <w:pStyle w:val="Tableheader"/>
            </w:pPr>
            <w:r>
              <w:t>Penalty Zone</w:t>
            </w:r>
            <w:r w:rsidR="009A1334">
              <w:t>—</w:t>
            </w:r>
            <w:r w:rsidRPr="008069B8">
              <w:t>Penalty Count</w:t>
            </w:r>
          </w:p>
          <w:p w14:paraId="362ACB0B" w14:textId="28D42CDA" w:rsidR="00341C06" w:rsidRPr="008069B8" w:rsidRDefault="00341C06" w:rsidP="001B40EB">
            <w:pPr>
              <w:pStyle w:val="Tableheader"/>
              <w:spacing w:before="120"/>
            </w:pPr>
            <w:r w:rsidRPr="008069B8">
              <w:t>(0)</w:t>
            </w:r>
          </w:p>
        </w:tc>
        <w:tc>
          <w:tcPr>
            <w:tcW w:w="883" w:type="dxa"/>
            <w:shd w:val="clear" w:color="auto" w:fill="FFFFFF" w:themeFill="background1"/>
            <w:vAlign w:val="center"/>
          </w:tcPr>
          <w:p w14:paraId="2B1C8568" w14:textId="5490ACB3" w:rsidR="00341C06" w:rsidRDefault="00341C06" w:rsidP="00341C06">
            <w:pPr>
              <w:pStyle w:val="Tableheader"/>
            </w:pPr>
            <w:r>
              <w:t>Penalty Zone</w:t>
            </w:r>
            <w:r w:rsidR="009A1334">
              <w:t>—</w:t>
            </w:r>
            <w:r w:rsidRPr="008069B8">
              <w:t>Penalty Count</w:t>
            </w:r>
          </w:p>
          <w:p w14:paraId="4D915C11" w14:textId="77777777" w:rsidR="00341C06" w:rsidRPr="008069B8" w:rsidRDefault="00341C06" w:rsidP="001B40EB">
            <w:pPr>
              <w:pStyle w:val="Tableheader"/>
              <w:spacing w:before="120"/>
            </w:pPr>
            <w:r w:rsidRPr="008069B8">
              <w:t>(1)</w:t>
            </w:r>
          </w:p>
        </w:tc>
        <w:tc>
          <w:tcPr>
            <w:tcW w:w="1105" w:type="dxa"/>
            <w:shd w:val="clear" w:color="auto" w:fill="FFFFFF" w:themeFill="background1"/>
            <w:vAlign w:val="center"/>
          </w:tcPr>
          <w:p w14:paraId="139D719C" w14:textId="649B9F5A" w:rsidR="00341C06" w:rsidRDefault="00341C06" w:rsidP="00341C06">
            <w:pPr>
              <w:pStyle w:val="Tableheader"/>
            </w:pPr>
            <w:r>
              <w:t>Penalty Zone</w:t>
            </w:r>
            <w:r w:rsidR="009A1334">
              <w:t>—</w:t>
            </w:r>
            <w:r w:rsidRPr="008069B8">
              <w:t>Penalty Count</w:t>
            </w:r>
          </w:p>
          <w:p w14:paraId="477ABA95" w14:textId="77777777" w:rsidR="00341C06" w:rsidRPr="008069B8" w:rsidRDefault="00341C06" w:rsidP="001B40EB">
            <w:pPr>
              <w:pStyle w:val="Tableheader"/>
              <w:spacing w:before="120"/>
            </w:pPr>
            <w:r w:rsidRPr="008069B8">
              <w:t>(2)</w:t>
            </w:r>
          </w:p>
        </w:tc>
      </w:tr>
      <w:tr w:rsidR="001564D4" w14:paraId="618531BD" w14:textId="77777777" w:rsidTr="00F73EEB">
        <w:tc>
          <w:tcPr>
            <w:tcW w:w="1249" w:type="dxa"/>
            <w:vAlign w:val="center"/>
          </w:tcPr>
          <w:p w14:paraId="33495CC1" w14:textId="77777777" w:rsidR="001564D4" w:rsidRPr="008069B8" w:rsidRDefault="001564D4" w:rsidP="001564D4">
            <w:pPr>
              <w:pStyle w:val="Tableheader"/>
              <w:jc w:val="left"/>
            </w:pPr>
            <w:r w:rsidRPr="008069B8">
              <w:t>Total</w:t>
            </w:r>
          </w:p>
        </w:tc>
        <w:tc>
          <w:tcPr>
            <w:tcW w:w="1207" w:type="dxa"/>
            <w:shd w:val="clear" w:color="auto" w:fill="auto"/>
            <w:vAlign w:val="center"/>
          </w:tcPr>
          <w:p w14:paraId="207827D7" w14:textId="215C6A1A" w:rsidR="001564D4" w:rsidRDefault="001564D4" w:rsidP="001564D4">
            <w:pPr>
              <w:pStyle w:val="tabletext"/>
              <w:jc w:val="center"/>
              <w:rPr>
                <w:rFonts w:eastAsia="Times New Roman"/>
              </w:rPr>
            </w:pPr>
            <w:r>
              <w:rPr>
                <w:rFonts w:ascii="Calibri" w:hAnsi="Calibri" w:cs="Calibri"/>
                <w:color w:val="000000"/>
                <w:szCs w:val="20"/>
              </w:rPr>
              <w:t>1,110,172</w:t>
            </w:r>
          </w:p>
        </w:tc>
        <w:tc>
          <w:tcPr>
            <w:tcW w:w="1207" w:type="dxa"/>
            <w:shd w:val="clear" w:color="auto" w:fill="auto"/>
            <w:vAlign w:val="center"/>
          </w:tcPr>
          <w:p w14:paraId="3C9D20C6" w14:textId="6D94E7FC" w:rsidR="001564D4" w:rsidRDefault="001564D4" w:rsidP="001564D4">
            <w:pPr>
              <w:pStyle w:val="tabletext"/>
              <w:jc w:val="center"/>
            </w:pPr>
            <w:r>
              <w:rPr>
                <w:rFonts w:ascii="Calibri" w:hAnsi="Calibri" w:cs="Calibri"/>
                <w:color w:val="000000"/>
                <w:szCs w:val="20"/>
              </w:rPr>
              <w:t>840,145</w:t>
            </w:r>
          </w:p>
        </w:tc>
        <w:tc>
          <w:tcPr>
            <w:tcW w:w="1207" w:type="dxa"/>
            <w:shd w:val="clear" w:color="auto" w:fill="auto"/>
            <w:vAlign w:val="center"/>
          </w:tcPr>
          <w:p w14:paraId="72FF1236" w14:textId="52F5FC0E" w:rsidR="001564D4" w:rsidRDefault="001564D4" w:rsidP="001564D4">
            <w:pPr>
              <w:pStyle w:val="tabletext"/>
              <w:jc w:val="center"/>
            </w:pPr>
            <w:r>
              <w:rPr>
                <w:rFonts w:ascii="Calibri" w:hAnsi="Calibri" w:cs="Calibri"/>
                <w:color w:val="000000"/>
                <w:szCs w:val="20"/>
              </w:rPr>
              <w:t>269,915</w:t>
            </w:r>
          </w:p>
        </w:tc>
        <w:tc>
          <w:tcPr>
            <w:tcW w:w="1044" w:type="dxa"/>
            <w:shd w:val="clear" w:color="auto" w:fill="auto"/>
            <w:vAlign w:val="center"/>
          </w:tcPr>
          <w:p w14:paraId="3E6A89FE" w14:textId="68D0463E" w:rsidR="001564D4" w:rsidRDefault="001564D4" w:rsidP="001564D4">
            <w:pPr>
              <w:pStyle w:val="tabletext"/>
              <w:jc w:val="center"/>
            </w:pPr>
            <w:r>
              <w:rPr>
                <w:rFonts w:ascii="Calibri" w:hAnsi="Calibri" w:cs="Calibri"/>
                <w:color w:val="000000"/>
                <w:szCs w:val="20"/>
              </w:rPr>
              <w:t>195,513</w:t>
            </w:r>
          </w:p>
        </w:tc>
        <w:tc>
          <w:tcPr>
            <w:tcW w:w="1044" w:type="dxa"/>
            <w:shd w:val="clear" w:color="auto" w:fill="auto"/>
            <w:vAlign w:val="center"/>
          </w:tcPr>
          <w:p w14:paraId="183CB02A" w14:textId="08A97DCF" w:rsidR="001564D4" w:rsidRDefault="001564D4" w:rsidP="001564D4">
            <w:pPr>
              <w:pStyle w:val="tabletext"/>
              <w:jc w:val="center"/>
            </w:pPr>
            <w:r>
              <w:rPr>
                <w:rFonts w:ascii="Calibri" w:hAnsi="Calibri" w:cs="Calibri"/>
                <w:color w:val="000000"/>
                <w:szCs w:val="20"/>
              </w:rPr>
              <w:t>70,086</w:t>
            </w:r>
          </w:p>
        </w:tc>
        <w:tc>
          <w:tcPr>
            <w:tcW w:w="1044" w:type="dxa"/>
            <w:shd w:val="clear" w:color="auto" w:fill="auto"/>
            <w:vAlign w:val="center"/>
          </w:tcPr>
          <w:p w14:paraId="6B3EFB65" w14:textId="291956FF" w:rsidR="001564D4" w:rsidRDefault="001564D4" w:rsidP="001564D4">
            <w:pPr>
              <w:pStyle w:val="tabletext"/>
              <w:jc w:val="center"/>
            </w:pPr>
            <w:r>
              <w:rPr>
                <w:rFonts w:ascii="Calibri" w:hAnsi="Calibri" w:cs="Calibri"/>
                <w:color w:val="000000"/>
                <w:szCs w:val="20"/>
              </w:rPr>
              <w:t>3,779</w:t>
            </w:r>
          </w:p>
        </w:tc>
        <w:tc>
          <w:tcPr>
            <w:tcW w:w="1045" w:type="dxa"/>
            <w:shd w:val="clear" w:color="auto" w:fill="auto"/>
            <w:vAlign w:val="center"/>
          </w:tcPr>
          <w:p w14:paraId="6A3F3E1C" w14:textId="2FFF0314" w:rsidR="001564D4" w:rsidRDefault="001564D4" w:rsidP="001564D4">
            <w:pPr>
              <w:pStyle w:val="tabletext"/>
              <w:jc w:val="center"/>
            </w:pPr>
            <w:r>
              <w:rPr>
                <w:rFonts w:ascii="Calibri" w:hAnsi="Calibri" w:cs="Calibri"/>
                <w:color w:val="000000"/>
                <w:szCs w:val="20"/>
              </w:rPr>
              <w:t>523</w:t>
            </w:r>
          </w:p>
        </w:tc>
        <w:tc>
          <w:tcPr>
            <w:tcW w:w="1045" w:type="dxa"/>
            <w:shd w:val="clear" w:color="auto" w:fill="auto"/>
            <w:vAlign w:val="center"/>
          </w:tcPr>
          <w:p w14:paraId="173EB215" w14:textId="782353E3" w:rsidR="001564D4" w:rsidRDefault="001564D4" w:rsidP="001564D4">
            <w:pPr>
              <w:pStyle w:val="tabletext"/>
              <w:jc w:val="center"/>
            </w:pPr>
            <w:r>
              <w:rPr>
                <w:rFonts w:ascii="Calibri" w:hAnsi="Calibri" w:cs="Calibri"/>
                <w:color w:val="000000"/>
                <w:szCs w:val="20"/>
              </w:rPr>
              <w:t>14</w:t>
            </w:r>
          </w:p>
        </w:tc>
        <w:tc>
          <w:tcPr>
            <w:tcW w:w="1207" w:type="dxa"/>
            <w:shd w:val="clear" w:color="auto" w:fill="auto"/>
            <w:vAlign w:val="center"/>
          </w:tcPr>
          <w:p w14:paraId="5B429769" w14:textId="72CEABF2" w:rsidR="001564D4" w:rsidRDefault="008319C3" w:rsidP="001564D4">
            <w:pPr>
              <w:pStyle w:val="tabletext"/>
              <w:jc w:val="center"/>
            </w:pPr>
            <w:r>
              <w:rPr>
                <w:rFonts w:ascii="Calibri" w:hAnsi="Calibri" w:cs="Calibri"/>
                <w:color w:val="000000"/>
                <w:szCs w:val="20"/>
              </w:rPr>
              <w:t>112</w:t>
            </w:r>
          </w:p>
        </w:tc>
        <w:tc>
          <w:tcPr>
            <w:tcW w:w="883" w:type="dxa"/>
            <w:shd w:val="clear" w:color="auto" w:fill="auto"/>
            <w:vAlign w:val="center"/>
          </w:tcPr>
          <w:p w14:paraId="24B7716F" w14:textId="277AF7F9" w:rsidR="001564D4" w:rsidRDefault="008319C3" w:rsidP="001564D4">
            <w:pPr>
              <w:pStyle w:val="tabletext"/>
              <w:jc w:val="center"/>
            </w:pPr>
            <w:r>
              <w:rPr>
                <w:rFonts w:ascii="Calibri" w:hAnsi="Calibri" w:cs="Calibri"/>
                <w:color w:val="000000"/>
                <w:szCs w:val="20"/>
              </w:rPr>
              <w:t>88</w:t>
            </w:r>
          </w:p>
        </w:tc>
        <w:tc>
          <w:tcPr>
            <w:tcW w:w="883" w:type="dxa"/>
            <w:shd w:val="clear" w:color="auto" w:fill="auto"/>
            <w:vAlign w:val="center"/>
          </w:tcPr>
          <w:p w14:paraId="2C878472" w14:textId="29C1E6BD" w:rsidR="001564D4" w:rsidRDefault="001564D4" w:rsidP="001564D4">
            <w:pPr>
              <w:pStyle w:val="tabletext"/>
              <w:jc w:val="center"/>
            </w:pPr>
            <w:r>
              <w:rPr>
                <w:rFonts w:ascii="Calibri" w:hAnsi="Calibri" w:cs="Calibri"/>
                <w:color w:val="000000"/>
                <w:szCs w:val="20"/>
              </w:rPr>
              <w:t>15</w:t>
            </w:r>
          </w:p>
        </w:tc>
        <w:tc>
          <w:tcPr>
            <w:tcW w:w="1105" w:type="dxa"/>
            <w:shd w:val="clear" w:color="auto" w:fill="auto"/>
            <w:vAlign w:val="center"/>
          </w:tcPr>
          <w:p w14:paraId="65F0CA13" w14:textId="1D4A0D76" w:rsidR="001564D4" w:rsidRDefault="001564D4" w:rsidP="001564D4">
            <w:pPr>
              <w:pStyle w:val="tabletext"/>
              <w:jc w:val="center"/>
            </w:pPr>
            <w:r>
              <w:rPr>
                <w:rFonts w:ascii="Calibri" w:hAnsi="Calibri" w:cs="Calibri"/>
                <w:color w:val="000000"/>
                <w:szCs w:val="20"/>
              </w:rPr>
              <w:t>9</w:t>
            </w:r>
          </w:p>
        </w:tc>
      </w:tr>
      <w:tr w:rsidR="001564D4" w14:paraId="5D6B0256" w14:textId="77777777" w:rsidTr="00F73EEB">
        <w:tc>
          <w:tcPr>
            <w:tcW w:w="1249" w:type="dxa"/>
            <w:vAlign w:val="center"/>
          </w:tcPr>
          <w:p w14:paraId="4DD1FCA5" w14:textId="77777777" w:rsidR="001564D4" w:rsidRPr="008069B8" w:rsidRDefault="001564D4" w:rsidP="001564D4">
            <w:pPr>
              <w:pStyle w:val="Tableheader"/>
              <w:jc w:val="left"/>
            </w:pPr>
            <w:r w:rsidRPr="008069B8">
              <w:t>Percentage</w:t>
            </w:r>
          </w:p>
        </w:tc>
        <w:tc>
          <w:tcPr>
            <w:tcW w:w="1207" w:type="dxa"/>
            <w:shd w:val="clear" w:color="auto" w:fill="auto"/>
            <w:vAlign w:val="center"/>
          </w:tcPr>
          <w:p w14:paraId="0BD62FBE" w14:textId="24D39EDB" w:rsidR="001564D4" w:rsidRDefault="001564D4" w:rsidP="001564D4">
            <w:pPr>
              <w:pStyle w:val="tabletext"/>
              <w:jc w:val="center"/>
            </w:pPr>
            <w:r>
              <w:rPr>
                <w:rFonts w:ascii="Calibri" w:hAnsi="Calibri" w:cs="Calibri"/>
                <w:color w:val="000000"/>
                <w:szCs w:val="20"/>
              </w:rPr>
              <w:t>100%</w:t>
            </w:r>
          </w:p>
        </w:tc>
        <w:tc>
          <w:tcPr>
            <w:tcW w:w="1207" w:type="dxa"/>
            <w:shd w:val="clear" w:color="auto" w:fill="auto"/>
            <w:vAlign w:val="center"/>
          </w:tcPr>
          <w:p w14:paraId="32F251C8" w14:textId="6F738F48" w:rsidR="001564D4" w:rsidRDefault="001564D4" w:rsidP="001564D4">
            <w:pPr>
              <w:pStyle w:val="tabletext"/>
              <w:jc w:val="center"/>
            </w:pPr>
            <w:r>
              <w:rPr>
                <w:rFonts w:ascii="Calibri" w:hAnsi="Calibri" w:cs="Calibri"/>
                <w:color w:val="000000"/>
                <w:szCs w:val="20"/>
              </w:rPr>
              <w:t>76%</w:t>
            </w:r>
          </w:p>
        </w:tc>
        <w:tc>
          <w:tcPr>
            <w:tcW w:w="1207" w:type="dxa"/>
            <w:shd w:val="clear" w:color="auto" w:fill="auto"/>
            <w:vAlign w:val="center"/>
          </w:tcPr>
          <w:p w14:paraId="1538439F" w14:textId="7B68A26D" w:rsidR="001564D4" w:rsidRDefault="001564D4" w:rsidP="001564D4">
            <w:pPr>
              <w:pStyle w:val="tabletext"/>
              <w:jc w:val="center"/>
            </w:pPr>
            <w:r>
              <w:rPr>
                <w:rFonts w:ascii="Calibri" w:hAnsi="Calibri" w:cs="Calibri"/>
                <w:color w:val="000000"/>
                <w:szCs w:val="20"/>
              </w:rPr>
              <w:t>24%</w:t>
            </w:r>
          </w:p>
        </w:tc>
        <w:tc>
          <w:tcPr>
            <w:tcW w:w="1044" w:type="dxa"/>
            <w:shd w:val="clear" w:color="auto" w:fill="auto"/>
            <w:vAlign w:val="center"/>
          </w:tcPr>
          <w:p w14:paraId="2A86D5B3" w14:textId="53F5E8D7" w:rsidR="001564D4" w:rsidRDefault="001564D4" w:rsidP="001564D4">
            <w:pPr>
              <w:pStyle w:val="tabletext"/>
              <w:jc w:val="center"/>
            </w:pPr>
            <w:r>
              <w:rPr>
                <w:rFonts w:ascii="Calibri" w:hAnsi="Calibri" w:cs="Calibri"/>
                <w:color w:val="000000"/>
                <w:szCs w:val="20"/>
              </w:rPr>
              <w:t>18%</w:t>
            </w:r>
          </w:p>
        </w:tc>
        <w:tc>
          <w:tcPr>
            <w:tcW w:w="1044" w:type="dxa"/>
            <w:shd w:val="clear" w:color="auto" w:fill="auto"/>
            <w:vAlign w:val="center"/>
          </w:tcPr>
          <w:p w14:paraId="11C0EA94" w14:textId="3C29624F" w:rsidR="001564D4" w:rsidRDefault="001564D4" w:rsidP="001564D4">
            <w:pPr>
              <w:pStyle w:val="tabletext"/>
              <w:jc w:val="center"/>
            </w:pPr>
            <w:r>
              <w:rPr>
                <w:rFonts w:ascii="Calibri" w:hAnsi="Calibri" w:cs="Calibri"/>
                <w:color w:val="000000"/>
                <w:szCs w:val="20"/>
              </w:rPr>
              <w:t>6%</w:t>
            </w:r>
          </w:p>
        </w:tc>
        <w:tc>
          <w:tcPr>
            <w:tcW w:w="1044" w:type="dxa"/>
            <w:shd w:val="clear" w:color="auto" w:fill="auto"/>
            <w:vAlign w:val="center"/>
          </w:tcPr>
          <w:p w14:paraId="30F3EC3C" w14:textId="735F8CBE" w:rsidR="001564D4" w:rsidRDefault="001564D4" w:rsidP="001564D4">
            <w:pPr>
              <w:pStyle w:val="tabletext"/>
              <w:jc w:val="center"/>
            </w:pPr>
            <w:r>
              <w:rPr>
                <w:rFonts w:ascii="Calibri" w:hAnsi="Calibri" w:cs="Calibri"/>
                <w:color w:val="000000"/>
                <w:szCs w:val="20"/>
              </w:rPr>
              <w:t>&lt;1%</w:t>
            </w:r>
          </w:p>
        </w:tc>
        <w:tc>
          <w:tcPr>
            <w:tcW w:w="1045" w:type="dxa"/>
            <w:shd w:val="clear" w:color="auto" w:fill="auto"/>
            <w:vAlign w:val="center"/>
          </w:tcPr>
          <w:p w14:paraId="18BA83AE" w14:textId="5EA741C3" w:rsidR="001564D4" w:rsidRDefault="001564D4" w:rsidP="001564D4">
            <w:pPr>
              <w:pStyle w:val="tabletext"/>
              <w:jc w:val="center"/>
            </w:pPr>
            <w:r>
              <w:rPr>
                <w:rFonts w:ascii="Calibri" w:hAnsi="Calibri" w:cs="Calibri"/>
                <w:color w:val="000000"/>
                <w:szCs w:val="20"/>
              </w:rPr>
              <w:t>&lt;1%</w:t>
            </w:r>
          </w:p>
        </w:tc>
        <w:tc>
          <w:tcPr>
            <w:tcW w:w="1045" w:type="dxa"/>
            <w:shd w:val="clear" w:color="auto" w:fill="auto"/>
            <w:vAlign w:val="center"/>
          </w:tcPr>
          <w:p w14:paraId="465A616F" w14:textId="2CDEA0C9" w:rsidR="001564D4" w:rsidRDefault="001564D4" w:rsidP="001564D4">
            <w:pPr>
              <w:pStyle w:val="tabletext"/>
              <w:jc w:val="center"/>
            </w:pPr>
            <w:r>
              <w:rPr>
                <w:rFonts w:ascii="Calibri" w:hAnsi="Calibri" w:cs="Calibri"/>
                <w:color w:val="000000"/>
                <w:szCs w:val="20"/>
              </w:rPr>
              <w:t>&lt;1%</w:t>
            </w:r>
          </w:p>
        </w:tc>
        <w:tc>
          <w:tcPr>
            <w:tcW w:w="1207" w:type="dxa"/>
            <w:shd w:val="clear" w:color="auto" w:fill="auto"/>
            <w:vAlign w:val="center"/>
          </w:tcPr>
          <w:p w14:paraId="1458B425" w14:textId="5911E066" w:rsidR="001564D4" w:rsidRDefault="001564D4" w:rsidP="001564D4">
            <w:pPr>
              <w:pStyle w:val="tabletext"/>
              <w:jc w:val="center"/>
            </w:pPr>
            <w:r>
              <w:rPr>
                <w:rFonts w:ascii="Calibri" w:hAnsi="Calibri" w:cs="Calibri"/>
                <w:color w:val="000000"/>
                <w:szCs w:val="20"/>
              </w:rPr>
              <w:t>&lt;1%</w:t>
            </w:r>
          </w:p>
        </w:tc>
        <w:tc>
          <w:tcPr>
            <w:tcW w:w="883" w:type="dxa"/>
            <w:shd w:val="clear" w:color="auto" w:fill="auto"/>
            <w:vAlign w:val="center"/>
          </w:tcPr>
          <w:p w14:paraId="2A03BA99" w14:textId="558D98F2" w:rsidR="001564D4" w:rsidRDefault="001564D4" w:rsidP="001564D4">
            <w:pPr>
              <w:pStyle w:val="tabletext"/>
              <w:jc w:val="center"/>
            </w:pPr>
            <w:r>
              <w:rPr>
                <w:rFonts w:ascii="Calibri" w:hAnsi="Calibri" w:cs="Calibri"/>
                <w:color w:val="000000"/>
                <w:szCs w:val="20"/>
              </w:rPr>
              <w:t>&lt;1%</w:t>
            </w:r>
          </w:p>
        </w:tc>
        <w:tc>
          <w:tcPr>
            <w:tcW w:w="883" w:type="dxa"/>
            <w:shd w:val="clear" w:color="auto" w:fill="auto"/>
            <w:vAlign w:val="center"/>
          </w:tcPr>
          <w:p w14:paraId="6C1A3A2C" w14:textId="66E8BF32" w:rsidR="001564D4" w:rsidRDefault="001564D4" w:rsidP="001564D4">
            <w:pPr>
              <w:pStyle w:val="tabletext"/>
              <w:jc w:val="center"/>
            </w:pPr>
            <w:r>
              <w:rPr>
                <w:rFonts w:ascii="Calibri" w:hAnsi="Calibri" w:cs="Calibri"/>
                <w:color w:val="000000"/>
                <w:szCs w:val="20"/>
              </w:rPr>
              <w:t>&lt;1%</w:t>
            </w:r>
          </w:p>
        </w:tc>
        <w:tc>
          <w:tcPr>
            <w:tcW w:w="1105" w:type="dxa"/>
            <w:shd w:val="clear" w:color="auto" w:fill="auto"/>
            <w:vAlign w:val="center"/>
          </w:tcPr>
          <w:p w14:paraId="4536ABD6" w14:textId="01F06830" w:rsidR="001564D4" w:rsidRDefault="001564D4" w:rsidP="001564D4">
            <w:pPr>
              <w:pStyle w:val="tabletext"/>
              <w:jc w:val="center"/>
            </w:pPr>
            <w:r>
              <w:rPr>
                <w:rFonts w:ascii="Calibri" w:hAnsi="Calibri" w:cs="Calibri"/>
                <w:color w:val="000000"/>
                <w:szCs w:val="20"/>
              </w:rPr>
              <w:t>&lt;1%</w:t>
            </w:r>
          </w:p>
        </w:tc>
      </w:tr>
    </w:tbl>
    <w:p w14:paraId="21995CE4" w14:textId="771DC127" w:rsidR="00CD7DB8" w:rsidRDefault="00D56E8A" w:rsidP="001B40EB">
      <w:pPr>
        <w:pStyle w:val="qualifiers"/>
        <w:spacing w:before="120"/>
      </w:pPr>
      <w:r>
        <w:rPr>
          <w:b/>
        </w:rPr>
        <w:t xml:space="preserve">* </w:t>
      </w:r>
      <w:r w:rsidR="00431FC4">
        <w:t>TCF</w:t>
      </w:r>
      <w:r w:rsidR="00623F43" w:rsidRPr="001A1716">
        <w:t xml:space="preserve"> j</w:t>
      </w:r>
      <w:r w:rsidR="00CD7DB8" w:rsidRPr="001A1716">
        <w:t>ob seekers</w:t>
      </w:r>
      <w:r w:rsidR="00623F43" w:rsidRPr="001A1716">
        <w:t>/p</w:t>
      </w:r>
      <w:r w:rsidR="0046481A" w:rsidRPr="001A1716">
        <w:t>articipants</w:t>
      </w:r>
      <w:r w:rsidR="00CD7DB8" w:rsidRPr="005C63EA">
        <w:t xml:space="preserve"> </w:t>
      </w:r>
      <w:r w:rsidR="00CD7DB8">
        <w:t xml:space="preserve">are </w:t>
      </w:r>
      <w:r w:rsidR="00CD7DB8" w:rsidRPr="005C63EA">
        <w:t>job seekers</w:t>
      </w:r>
      <w:r w:rsidR="004B5052">
        <w:t xml:space="preserve"> and participants</w:t>
      </w:r>
      <w:r w:rsidR="0046481A">
        <w:t xml:space="preserve"> commenced in </w:t>
      </w:r>
      <w:r w:rsidR="00FE0E56" w:rsidRPr="005F677C">
        <w:t>jobactive</w:t>
      </w:r>
      <w:r w:rsidR="00C204F5">
        <w:t>, including Digital</w:t>
      </w:r>
      <w:r w:rsidR="004B5052">
        <w:t>, Di</w:t>
      </w:r>
      <w:r w:rsidR="0046481A">
        <w:t>sability Employment Services and ParentsNext, who were in one of</w:t>
      </w:r>
      <w:r w:rsidR="0046481A" w:rsidRPr="005C63EA">
        <w:t xml:space="preserve"> the </w:t>
      </w:r>
      <w:r w:rsidR="00431FC4">
        <w:t>TCF</w:t>
      </w:r>
      <w:r w:rsidR="0046481A">
        <w:t xml:space="preserve"> Zones at the end of the reference period (i.e. it </w:t>
      </w:r>
      <w:r w:rsidR="0046481A" w:rsidRPr="002937A7">
        <w:t>excludes those serving a Non-Payment/Preclusion Period</w:t>
      </w:r>
      <w:r w:rsidR="00CD7DB8" w:rsidRPr="002937A7">
        <w:t xml:space="preserve"> at that date). </w:t>
      </w:r>
    </w:p>
    <w:p w14:paraId="138D6249" w14:textId="0455089F" w:rsidR="00AB58B5" w:rsidRPr="00D56E8A" w:rsidRDefault="00D56E8A" w:rsidP="001B40EB">
      <w:pPr>
        <w:pStyle w:val="note"/>
      </w:pPr>
      <w:r w:rsidRPr="002B212D">
        <w:rPr>
          <w:b/>
        </w:rPr>
        <w:t>N</w:t>
      </w:r>
      <w:r w:rsidR="002B212D" w:rsidRPr="002B212D">
        <w:rPr>
          <w:b/>
        </w:rPr>
        <w:t>ote</w:t>
      </w:r>
      <w:r w:rsidRPr="002B212D">
        <w:rPr>
          <w:b/>
        </w:rPr>
        <w:t>:</w:t>
      </w:r>
      <w:r>
        <w:t xml:space="preserve"> </w:t>
      </w:r>
      <w:r w:rsidR="00AB58B5" w:rsidRPr="00D56E8A">
        <w:t xml:space="preserve">This does not include job seekers/participants </w:t>
      </w:r>
      <w:r w:rsidRPr="00D56E8A">
        <w:t xml:space="preserve">who </w:t>
      </w:r>
      <w:r w:rsidR="00645F00">
        <w:t xml:space="preserve">were </w:t>
      </w:r>
      <w:r w:rsidR="00AB58B5" w:rsidRPr="00D56E8A">
        <w:t>exempt</w:t>
      </w:r>
      <w:r w:rsidRPr="00D56E8A">
        <w:t>,</w:t>
      </w:r>
      <w:r w:rsidR="00AB58B5" w:rsidRPr="00D56E8A">
        <w:t xml:space="preserve"> suspended</w:t>
      </w:r>
      <w:r w:rsidRPr="00D56E8A">
        <w:t xml:space="preserve"> or serving a preclusion period </w:t>
      </w:r>
      <w:r w:rsidR="000C6F52">
        <w:t>or otherwise</w:t>
      </w:r>
      <w:r w:rsidRPr="00D56E8A">
        <w:t xml:space="preserve"> not considered active in </w:t>
      </w:r>
      <w:r w:rsidR="00AB58B5" w:rsidRPr="00D56E8A">
        <w:t>Employment Services</w:t>
      </w:r>
      <w:r w:rsidR="00645F00">
        <w:t xml:space="preserve"> at the end of the reference period</w:t>
      </w:r>
      <w:r w:rsidR="00AB58B5" w:rsidRPr="00D56E8A">
        <w:t>.</w:t>
      </w:r>
    </w:p>
    <w:p w14:paraId="32003AA0" w14:textId="68DCA377" w:rsidR="00A9694B" w:rsidRDefault="00BE1519" w:rsidP="001B40EB">
      <w:pPr>
        <w:pStyle w:val="qualifiers"/>
      </w:pPr>
      <w:bookmarkStart w:id="6" w:name="_Hlk55978110"/>
      <w:r>
        <w:t>^</w:t>
      </w:r>
      <w:r w:rsidR="008069B8">
        <w:t xml:space="preserve"> A Provider Capability Inte</w:t>
      </w:r>
      <w:r w:rsidR="00CC045B">
        <w:t xml:space="preserve">rview is </w:t>
      </w:r>
      <w:r w:rsidR="00B9243F">
        <w:t>triggered</w:t>
      </w:r>
      <w:r w:rsidR="00B75EA2">
        <w:t xml:space="preserve"> generally</w:t>
      </w:r>
      <w:r w:rsidR="00B9243F">
        <w:t xml:space="preserve"> after three </w:t>
      </w:r>
      <w:r w:rsidR="00EF42FB">
        <w:t>(confirmed)</w:t>
      </w:r>
      <w:r w:rsidR="00B9243F">
        <w:t xml:space="preserve"> </w:t>
      </w:r>
      <w:r w:rsidR="00CC045B">
        <w:t>D</w:t>
      </w:r>
      <w:r w:rsidR="008069B8">
        <w:t>emerits are accrued by a job seeker</w:t>
      </w:r>
      <w:r w:rsidR="0046481A">
        <w:t>/participant</w:t>
      </w:r>
      <w:r w:rsidR="008069B8">
        <w:t xml:space="preserve"> within a six active month period (</w:t>
      </w:r>
      <w:r w:rsidR="001B40EB">
        <w:t>s</w:t>
      </w:r>
      <w:r w:rsidR="0035690E">
        <w:t>ee Glossary for information on Capability Interviews</w:t>
      </w:r>
      <w:r w:rsidR="008069B8">
        <w:t xml:space="preserve">). </w:t>
      </w:r>
    </w:p>
    <w:bookmarkEnd w:id="6"/>
    <w:p w14:paraId="4DD5D721" w14:textId="3EAADB9A" w:rsidR="004B5052" w:rsidRDefault="00A9694B" w:rsidP="001B40EB">
      <w:pPr>
        <w:pStyle w:val="qualifiers"/>
      </w:pPr>
      <w:r w:rsidRPr="00466E07">
        <w:t>^</w:t>
      </w:r>
      <w:r w:rsidR="00D56E8A">
        <w:t xml:space="preserve">^ </w:t>
      </w:r>
      <w:r w:rsidR="008069B8" w:rsidRPr="00466E07">
        <w:t xml:space="preserve">A </w:t>
      </w:r>
      <w:r w:rsidR="00C1417D">
        <w:t>Services Australia</w:t>
      </w:r>
      <w:r w:rsidR="008069B8">
        <w:t xml:space="preserve"> Capability Assessment (</w:t>
      </w:r>
      <w:r w:rsidR="002B212D">
        <w:t>s</w:t>
      </w:r>
      <w:r w:rsidR="0035690E">
        <w:t>ee Glossary for information on Capability Assessments</w:t>
      </w:r>
      <w:r w:rsidR="00B9243F">
        <w:t>) is triggered</w:t>
      </w:r>
      <w:r w:rsidR="00B75EA2">
        <w:t xml:space="preserve"> generally</w:t>
      </w:r>
      <w:r w:rsidR="00B9243F">
        <w:t xml:space="preserve"> after fiv</w:t>
      </w:r>
      <w:r w:rsidR="002B212D">
        <w:t>e (confirmed)</w:t>
      </w:r>
      <w:r w:rsidR="00B9243F">
        <w:t xml:space="preserve"> D</w:t>
      </w:r>
      <w:r w:rsidR="008069B8">
        <w:t xml:space="preserve">emerits are accrued within six active months. </w:t>
      </w:r>
      <w:r w:rsidR="00B75EA2">
        <w:t>If</w:t>
      </w:r>
      <w:r w:rsidR="008069B8">
        <w:t xml:space="preserve"> the job seeker</w:t>
      </w:r>
      <w:r>
        <w:t>/participant</w:t>
      </w:r>
      <w:r w:rsidR="008069B8">
        <w:t xml:space="preserve"> has been </w:t>
      </w:r>
      <w:r w:rsidR="00B9243F">
        <w:t>found capable of meeting their Mutual O</w:t>
      </w:r>
      <w:r w:rsidR="000506DC">
        <w:t>bligation R</w:t>
      </w:r>
      <w:r w:rsidR="008069B8">
        <w:t>equirements at a Capability Assessment, th</w:t>
      </w:r>
      <w:r>
        <w:t>ey will enter the Penalty Zone. Those</w:t>
      </w:r>
      <w:r w:rsidR="008069B8">
        <w:t xml:space="preserve"> with a</w:t>
      </w:r>
      <w:r w:rsidR="00836F9A">
        <w:t xml:space="preserve"> </w:t>
      </w:r>
      <w:r w:rsidR="00B9243F">
        <w:t>Demerit c</w:t>
      </w:r>
      <w:r w:rsidR="008069B8">
        <w:t>oun</w:t>
      </w:r>
      <w:r w:rsidR="00836F9A">
        <w:t xml:space="preserve">t of five in the above table </w:t>
      </w:r>
      <w:r w:rsidR="008069B8">
        <w:t>had a Capability Assessment triggered</w:t>
      </w:r>
      <w:r w:rsidR="00836F9A">
        <w:t>,</w:t>
      </w:r>
      <w:r w:rsidR="008069B8">
        <w:t xml:space="preserve"> </w:t>
      </w:r>
      <w:r w:rsidR="00836F9A">
        <w:t>which had yet to be finalised,</w:t>
      </w:r>
      <w:r w:rsidR="008069B8">
        <w:t xml:space="preserve"> at the end of the reference period. </w:t>
      </w:r>
    </w:p>
    <w:p w14:paraId="1FAAE003" w14:textId="73538A27" w:rsidR="00341C06" w:rsidRDefault="002B212D" w:rsidP="001B40EB">
      <w:pPr>
        <w:pStyle w:val="note"/>
      </w:pPr>
      <w:r w:rsidRPr="002B212D">
        <w:rPr>
          <w:b/>
        </w:rPr>
        <w:t>Note</w:t>
      </w:r>
      <w:r w:rsidR="00A9694B" w:rsidRPr="002B212D">
        <w:rPr>
          <w:b/>
        </w:rPr>
        <w:t>:</w:t>
      </w:r>
      <w:r w:rsidR="00A9694B">
        <w:t xml:space="preserve"> Demerits expire after six active months. Further information on Demerits, Active Months, TCF Zones (Green, Warning and Penalty), and Financial Penalties are contained in the Glossary. </w:t>
      </w:r>
    </w:p>
    <w:p w14:paraId="223D4097" w14:textId="77777777" w:rsidR="00C204F5" w:rsidRDefault="00C204F5">
      <w:pPr>
        <w:rPr>
          <w:rFonts w:ascii="Calibri" w:eastAsiaTheme="majorEastAsia" w:hAnsi="Calibri" w:cstheme="majorBidi"/>
          <w:b/>
          <w:bCs/>
          <w:szCs w:val="26"/>
        </w:rPr>
      </w:pPr>
      <w:bookmarkStart w:id="7" w:name="_Toc536178346"/>
      <w:r>
        <w:br w:type="page"/>
      </w:r>
    </w:p>
    <w:p w14:paraId="7D74DB6F" w14:textId="47A39C6B" w:rsidR="00842BB8" w:rsidRDefault="00842BB8" w:rsidP="00756257">
      <w:pPr>
        <w:pStyle w:val="Heading2"/>
      </w:pPr>
      <w:bookmarkStart w:id="8" w:name="_Toc72324863"/>
      <w:r w:rsidRPr="00842BB8">
        <w:lastRenderedPageBreak/>
        <w:t xml:space="preserve">Table </w:t>
      </w:r>
      <w:r w:rsidR="0035690E">
        <w:rPr>
          <w:noProof/>
        </w:rPr>
        <w:t>2</w:t>
      </w:r>
      <w:r>
        <w:t xml:space="preserve">: </w:t>
      </w:r>
      <w:r w:rsidR="00623F43">
        <w:t>Zone Transitions</w:t>
      </w:r>
      <w:r w:rsidR="009A1334">
        <w:t>—</w:t>
      </w:r>
      <w:r w:rsidR="0035690E">
        <w:t>J</w:t>
      </w:r>
      <w:r w:rsidR="00623F43">
        <w:t>ob s</w:t>
      </w:r>
      <w:r w:rsidRPr="00D46768">
        <w:t>eekers</w:t>
      </w:r>
      <w:r w:rsidR="00623F43">
        <w:t>/p</w:t>
      </w:r>
      <w:r w:rsidR="000439BF">
        <w:t>articipants</w:t>
      </w:r>
      <w:r w:rsidR="0035690E" w:rsidRPr="0035690E">
        <w:rPr>
          <w:rFonts w:asciiTheme="minorHAnsi" w:eastAsiaTheme="minorEastAsia" w:hAnsiTheme="minorHAnsi" w:cstheme="minorBidi"/>
          <w:b w:val="0"/>
          <w:bCs w:val="0"/>
          <w:szCs w:val="22"/>
        </w:rPr>
        <w:t xml:space="preserve"> </w:t>
      </w:r>
      <w:r w:rsidR="0035690E" w:rsidRPr="0035690E">
        <w:t>in All Program</w:t>
      </w:r>
      <w:r w:rsidR="00212590">
        <w:t>s</w:t>
      </w:r>
      <w:r w:rsidR="0035690E" w:rsidRPr="0035690E">
        <w:t xml:space="preserve"> (</w:t>
      </w:r>
      <w:r w:rsidR="0035690E" w:rsidRPr="005F677C">
        <w:t>jobactive</w:t>
      </w:r>
      <w:r w:rsidR="00C204F5">
        <w:t xml:space="preserve"> including Digital</w:t>
      </w:r>
      <w:r w:rsidR="0035690E" w:rsidRPr="0035690E">
        <w:t>, Disability Employment Services and ParentsNext)</w:t>
      </w:r>
      <w:r w:rsidR="00C204F5">
        <w:t xml:space="preserve"> </w:t>
      </w:r>
      <w:r w:rsidR="009A1334">
        <w:t>—</w:t>
      </w:r>
      <w:r w:rsidR="00212590">
        <w:t xml:space="preserve"> </w:t>
      </w:r>
      <w:r w:rsidR="00142952">
        <w:t>1</w:t>
      </w:r>
      <w:r w:rsidR="00C204F5">
        <w:t> </w:t>
      </w:r>
      <w:r w:rsidR="000A1D24">
        <w:t>Ju</w:t>
      </w:r>
      <w:r w:rsidR="00142952">
        <w:t>ly</w:t>
      </w:r>
      <w:r w:rsidR="000A1D24">
        <w:t xml:space="preserve"> 2020</w:t>
      </w:r>
      <w:bookmarkEnd w:id="7"/>
      <w:r w:rsidR="00142952">
        <w:t xml:space="preserve"> to </w:t>
      </w:r>
      <w:r w:rsidR="00C72F22">
        <w:t>31</w:t>
      </w:r>
      <w:r w:rsidR="003752F0">
        <w:t> </w:t>
      </w:r>
      <w:r w:rsidR="00C72F22">
        <w:t>December 2020</w:t>
      </w:r>
      <w:bookmarkEnd w:id="8"/>
    </w:p>
    <w:tbl>
      <w:tblPr>
        <w:tblStyle w:val="TableGrid"/>
        <w:tblW w:w="4998" w:type="pct"/>
        <w:tblInd w:w="5" w:type="dxa"/>
        <w:tblLook w:val="04A0" w:firstRow="1" w:lastRow="0" w:firstColumn="1" w:lastColumn="0" w:noHBand="0" w:noVBand="1"/>
        <w:tblDescription w:val="See table data for information"/>
      </w:tblPr>
      <w:tblGrid>
        <w:gridCol w:w="7645"/>
        <w:gridCol w:w="2963"/>
        <w:gridCol w:w="3243"/>
      </w:tblGrid>
      <w:tr w:rsidR="00995845" w14:paraId="496C9350" w14:textId="77777777" w:rsidTr="00F73EEB">
        <w:trPr>
          <w:trHeight w:val="369"/>
          <w:tblHeader/>
        </w:trPr>
        <w:tc>
          <w:tcPr>
            <w:tcW w:w="7645" w:type="dxa"/>
            <w:shd w:val="clear" w:color="auto" w:fill="D9D9D9" w:themeFill="background1" w:themeFillShade="D9"/>
          </w:tcPr>
          <w:p w14:paraId="07133EF1" w14:textId="77777777" w:rsidR="00995845" w:rsidRPr="00842BB8" w:rsidRDefault="00995845" w:rsidP="00842BB8">
            <w:pPr>
              <w:pStyle w:val="Tableheader"/>
              <w:jc w:val="left"/>
            </w:pPr>
            <w:r w:rsidRPr="00842BB8">
              <w:t xml:space="preserve">Description of </w:t>
            </w:r>
            <w:r>
              <w:t xml:space="preserve">Zone Transition </w:t>
            </w:r>
          </w:p>
        </w:tc>
        <w:tc>
          <w:tcPr>
            <w:tcW w:w="2963" w:type="dxa"/>
            <w:shd w:val="clear" w:color="auto" w:fill="D9D9D9" w:themeFill="background1" w:themeFillShade="D9"/>
          </w:tcPr>
          <w:p w14:paraId="086262B8" w14:textId="77777777" w:rsidR="00995845" w:rsidRPr="00842BB8" w:rsidRDefault="00995845" w:rsidP="00BE1519">
            <w:pPr>
              <w:pStyle w:val="Tableheader"/>
            </w:pPr>
            <w:r>
              <w:t>Number of job s</w:t>
            </w:r>
            <w:r w:rsidRPr="00842BB8">
              <w:t>eekers</w:t>
            </w:r>
            <w:r>
              <w:t>/participants</w:t>
            </w:r>
          </w:p>
        </w:tc>
        <w:tc>
          <w:tcPr>
            <w:tcW w:w="3243" w:type="dxa"/>
            <w:shd w:val="clear" w:color="auto" w:fill="D9D9D9" w:themeFill="background1" w:themeFillShade="D9"/>
          </w:tcPr>
          <w:p w14:paraId="4171E50A" w14:textId="6E43456B" w:rsidR="00995845" w:rsidRDefault="00995845" w:rsidP="00BE1519">
            <w:pPr>
              <w:pStyle w:val="Tableheader"/>
            </w:pPr>
            <w:r>
              <w:t>Proportion of caseload</w:t>
            </w:r>
            <w:r w:rsidR="005F4584">
              <w:t>*</w:t>
            </w:r>
          </w:p>
        </w:tc>
      </w:tr>
      <w:tr w:rsidR="00995845" w14:paraId="2F6B5007" w14:textId="77777777" w:rsidTr="00F73EEB">
        <w:trPr>
          <w:trHeight w:val="369"/>
        </w:trPr>
        <w:tc>
          <w:tcPr>
            <w:tcW w:w="7645" w:type="dxa"/>
            <w:shd w:val="clear" w:color="auto" w:fill="FFFFFF" w:themeFill="background1"/>
          </w:tcPr>
          <w:p w14:paraId="655C465E" w14:textId="55668684" w:rsidR="00995845" w:rsidRPr="00842BB8" w:rsidRDefault="00995845" w:rsidP="001B40EB">
            <w:pPr>
              <w:pStyle w:val="tabletext"/>
              <w:rPr>
                <w:b/>
              </w:rPr>
            </w:pPr>
            <w:r>
              <w:t>A</w:t>
            </w:r>
            <w:r w:rsidRPr="00842BB8">
              <w:t>ccru</w:t>
            </w:r>
            <w:r>
              <w:t>ed First Demerit</w:t>
            </w:r>
            <w:r w:rsidR="009A1334">
              <w:t>—</w:t>
            </w:r>
            <w:r>
              <w:t>Enter Warning Zone from Green Z</w:t>
            </w:r>
            <w:r w:rsidRPr="00842BB8">
              <w:t>one</w:t>
            </w:r>
          </w:p>
        </w:tc>
        <w:tc>
          <w:tcPr>
            <w:tcW w:w="2963" w:type="dxa"/>
            <w:shd w:val="clear" w:color="auto" w:fill="auto"/>
            <w:vAlign w:val="center"/>
          </w:tcPr>
          <w:p w14:paraId="200469FA" w14:textId="256EB39F" w:rsidR="008049EA" w:rsidRPr="008049EA" w:rsidRDefault="008049EA" w:rsidP="008049EA">
            <w:pPr>
              <w:jc w:val="center"/>
              <w:rPr>
                <w:rFonts w:ascii="Calibri" w:eastAsia="Times New Roman" w:hAnsi="Calibri" w:cs="Calibri"/>
                <w:color w:val="000000"/>
                <w:sz w:val="20"/>
                <w:szCs w:val="20"/>
              </w:rPr>
            </w:pPr>
            <w:r>
              <w:rPr>
                <w:rFonts w:ascii="Calibri" w:hAnsi="Calibri" w:cs="Calibri"/>
                <w:color w:val="000000"/>
                <w:sz w:val="20"/>
                <w:szCs w:val="20"/>
              </w:rPr>
              <w:t>455,053</w:t>
            </w:r>
          </w:p>
        </w:tc>
        <w:tc>
          <w:tcPr>
            <w:tcW w:w="3243" w:type="dxa"/>
            <w:vAlign w:val="center"/>
          </w:tcPr>
          <w:p w14:paraId="64626FE3" w14:textId="6135A1CF" w:rsidR="00D000FB" w:rsidRDefault="001C373B" w:rsidP="00D000FB">
            <w:pPr>
              <w:pStyle w:val="tabletext"/>
              <w:jc w:val="center"/>
              <w:rPr>
                <w:rFonts w:ascii="Calibri" w:hAnsi="Calibri" w:cs="Calibri"/>
                <w:color w:val="000000"/>
                <w:szCs w:val="20"/>
              </w:rPr>
            </w:pPr>
            <w:r>
              <w:rPr>
                <w:rFonts w:ascii="Calibri" w:hAnsi="Calibri" w:cs="Calibri"/>
                <w:color w:val="000000"/>
                <w:szCs w:val="20"/>
              </w:rPr>
              <w:t>41</w:t>
            </w:r>
            <w:r w:rsidR="00D000FB">
              <w:rPr>
                <w:rFonts w:ascii="Calibri" w:hAnsi="Calibri" w:cs="Calibri"/>
                <w:color w:val="000000"/>
                <w:szCs w:val="20"/>
              </w:rPr>
              <w:t>%</w:t>
            </w:r>
          </w:p>
        </w:tc>
      </w:tr>
      <w:tr w:rsidR="00995845" w14:paraId="3606DEAB" w14:textId="77777777" w:rsidTr="00F73EEB">
        <w:trPr>
          <w:trHeight w:val="369"/>
        </w:trPr>
        <w:tc>
          <w:tcPr>
            <w:tcW w:w="7645" w:type="dxa"/>
            <w:shd w:val="clear" w:color="auto" w:fill="FFFFFF" w:themeFill="background1"/>
          </w:tcPr>
          <w:p w14:paraId="42E9D9FC" w14:textId="06AC4CAC" w:rsidR="00995845" w:rsidRPr="00842BB8" w:rsidRDefault="00995845" w:rsidP="001B40EB">
            <w:pPr>
              <w:pStyle w:val="tabletext"/>
              <w:rPr>
                <w:b/>
              </w:rPr>
            </w:pPr>
            <w:r>
              <w:t>Last Demerit expired after six Active Months</w:t>
            </w:r>
            <w:r w:rsidR="009A1334">
              <w:t>—</w:t>
            </w:r>
            <w:r>
              <w:t>R</w:t>
            </w:r>
            <w:r w:rsidRPr="00842BB8">
              <w:t xml:space="preserve">eset </w:t>
            </w:r>
            <w:r>
              <w:t>to Green Zone from Warning Zone</w:t>
            </w:r>
          </w:p>
        </w:tc>
        <w:tc>
          <w:tcPr>
            <w:tcW w:w="2963" w:type="dxa"/>
            <w:shd w:val="clear" w:color="auto" w:fill="auto"/>
            <w:vAlign w:val="center"/>
          </w:tcPr>
          <w:p w14:paraId="205C704A" w14:textId="3741263E" w:rsidR="00995845" w:rsidRPr="008049EA" w:rsidRDefault="008049EA" w:rsidP="008049EA">
            <w:pPr>
              <w:jc w:val="center"/>
              <w:rPr>
                <w:rFonts w:ascii="Calibri" w:eastAsia="Times New Roman" w:hAnsi="Calibri" w:cs="Calibri"/>
                <w:color w:val="000000"/>
                <w:sz w:val="20"/>
                <w:szCs w:val="20"/>
              </w:rPr>
            </w:pPr>
            <w:r>
              <w:rPr>
                <w:rFonts w:ascii="Calibri" w:hAnsi="Calibri" w:cs="Calibri"/>
                <w:color w:val="000000"/>
                <w:sz w:val="20"/>
                <w:szCs w:val="20"/>
              </w:rPr>
              <w:t>68,153</w:t>
            </w:r>
          </w:p>
        </w:tc>
        <w:tc>
          <w:tcPr>
            <w:tcW w:w="3243" w:type="dxa"/>
            <w:vAlign w:val="center"/>
          </w:tcPr>
          <w:p w14:paraId="154C9543" w14:textId="45215301" w:rsidR="00D000FB" w:rsidRPr="00F702BC" w:rsidRDefault="001C373B" w:rsidP="00D000FB">
            <w:pPr>
              <w:pStyle w:val="tabletext"/>
              <w:jc w:val="center"/>
              <w:rPr>
                <w:rFonts w:ascii="Calibri" w:hAnsi="Calibri" w:cs="Calibri"/>
                <w:color w:val="000000"/>
                <w:szCs w:val="20"/>
              </w:rPr>
            </w:pPr>
            <w:r>
              <w:rPr>
                <w:rFonts w:ascii="Calibri" w:hAnsi="Calibri" w:cs="Calibri"/>
                <w:color w:val="000000"/>
                <w:szCs w:val="20"/>
              </w:rPr>
              <w:t>6</w:t>
            </w:r>
            <w:r w:rsidR="00D000FB">
              <w:rPr>
                <w:rFonts w:ascii="Calibri" w:hAnsi="Calibri" w:cs="Calibri"/>
                <w:color w:val="000000"/>
                <w:szCs w:val="20"/>
              </w:rPr>
              <w:t>%</w:t>
            </w:r>
          </w:p>
        </w:tc>
      </w:tr>
      <w:tr w:rsidR="00F702BC" w14:paraId="4CF49F97" w14:textId="77777777" w:rsidTr="00F73EEB">
        <w:trPr>
          <w:trHeight w:val="369"/>
        </w:trPr>
        <w:tc>
          <w:tcPr>
            <w:tcW w:w="7645" w:type="dxa"/>
            <w:shd w:val="clear" w:color="auto" w:fill="FFFFFF" w:themeFill="background1"/>
          </w:tcPr>
          <w:p w14:paraId="409909DB" w14:textId="0328A23C" w:rsidR="00F702BC" w:rsidRDefault="00F702BC" w:rsidP="00F702BC">
            <w:pPr>
              <w:pStyle w:val="tabletext"/>
              <w:rPr>
                <w:b/>
              </w:rPr>
            </w:pPr>
            <w:r>
              <w:t>Found Capable at Capability Assessment—Commenced in Penalty Zone</w:t>
            </w:r>
          </w:p>
        </w:tc>
        <w:tc>
          <w:tcPr>
            <w:tcW w:w="2963" w:type="dxa"/>
            <w:shd w:val="clear" w:color="auto" w:fill="auto"/>
            <w:vAlign w:val="center"/>
          </w:tcPr>
          <w:p w14:paraId="4A1BF831" w14:textId="6224F67F" w:rsidR="008049EA" w:rsidRPr="008049EA" w:rsidRDefault="008049EA" w:rsidP="008049EA">
            <w:pPr>
              <w:jc w:val="center"/>
              <w:rPr>
                <w:rFonts w:ascii="Calibri" w:hAnsi="Calibri" w:cs="Calibri"/>
                <w:sz w:val="20"/>
                <w:szCs w:val="20"/>
              </w:rPr>
            </w:pPr>
            <w:r>
              <w:rPr>
                <w:rFonts w:ascii="Calibri" w:hAnsi="Calibri" w:cs="Calibri"/>
                <w:sz w:val="20"/>
                <w:szCs w:val="20"/>
              </w:rPr>
              <w:t>124</w:t>
            </w:r>
          </w:p>
        </w:tc>
        <w:tc>
          <w:tcPr>
            <w:tcW w:w="3243" w:type="dxa"/>
            <w:vAlign w:val="center"/>
          </w:tcPr>
          <w:p w14:paraId="2E0D3D47" w14:textId="04FD4BC3" w:rsidR="00F702BC" w:rsidRPr="00F702BC" w:rsidRDefault="00D000FB" w:rsidP="00F702BC">
            <w:pPr>
              <w:pStyle w:val="tabletext"/>
              <w:jc w:val="center"/>
              <w:rPr>
                <w:rFonts w:ascii="Calibri" w:hAnsi="Calibri" w:cs="Calibri"/>
                <w:color w:val="000000"/>
                <w:szCs w:val="20"/>
              </w:rPr>
            </w:pPr>
            <w:r>
              <w:rPr>
                <w:rFonts w:ascii="Calibri" w:hAnsi="Calibri" w:cs="Calibri"/>
                <w:color w:val="000000"/>
                <w:szCs w:val="20"/>
              </w:rPr>
              <w:t>&lt;1%</w:t>
            </w:r>
          </w:p>
        </w:tc>
      </w:tr>
      <w:tr w:rsidR="00F702BC" w14:paraId="494C7245" w14:textId="77777777" w:rsidTr="00F73EEB">
        <w:trPr>
          <w:trHeight w:val="369"/>
        </w:trPr>
        <w:tc>
          <w:tcPr>
            <w:tcW w:w="7645" w:type="dxa"/>
            <w:shd w:val="clear" w:color="auto" w:fill="FFFFFF" w:themeFill="background1"/>
          </w:tcPr>
          <w:p w14:paraId="5F9B32AE" w14:textId="7E5FF7E2" w:rsidR="00F702BC" w:rsidRPr="00167BFB" w:rsidRDefault="00167BFB" w:rsidP="00F702BC">
            <w:pPr>
              <w:pStyle w:val="tabletext"/>
              <w:rPr>
                <w:b/>
                <w:color w:val="FF0000"/>
              </w:rPr>
            </w:pPr>
            <w:r w:rsidRPr="001C373B">
              <w:t xml:space="preserve">Job seekers avoiding penalty due to </w:t>
            </w:r>
            <w:r w:rsidR="004D1625" w:rsidRPr="001C373B">
              <w:t>two-day</w:t>
            </w:r>
            <w:r w:rsidRPr="001C373B">
              <w:t xml:space="preserve"> resolution time</w:t>
            </w:r>
          </w:p>
        </w:tc>
        <w:tc>
          <w:tcPr>
            <w:tcW w:w="2963" w:type="dxa"/>
            <w:shd w:val="clear" w:color="auto" w:fill="auto"/>
            <w:vAlign w:val="center"/>
          </w:tcPr>
          <w:p w14:paraId="5FF41A58" w14:textId="723AFDC6" w:rsidR="00F702BC" w:rsidRPr="00F702BC" w:rsidRDefault="00605E31" w:rsidP="00F702BC">
            <w:pPr>
              <w:pStyle w:val="tabletext"/>
              <w:jc w:val="center"/>
              <w:rPr>
                <w:rFonts w:ascii="Calibri" w:hAnsi="Calibri" w:cs="Calibri"/>
                <w:szCs w:val="20"/>
              </w:rPr>
            </w:pPr>
            <w:r>
              <w:rPr>
                <w:rFonts w:ascii="Calibri" w:hAnsi="Calibri" w:cs="Calibri"/>
                <w:szCs w:val="20"/>
              </w:rPr>
              <w:t>51,051</w:t>
            </w:r>
          </w:p>
        </w:tc>
        <w:tc>
          <w:tcPr>
            <w:tcW w:w="3243" w:type="dxa"/>
            <w:vAlign w:val="center"/>
          </w:tcPr>
          <w:p w14:paraId="32A399B5" w14:textId="0AB1D9D8" w:rsidR="00F702BC" w:rsidRPr="00F702BC" w:rsidRDefault="001C373B" w:rsidP="00F702BC">
            <w:pPr>
              <w:pStyle w:val="tabletext"/>
              <w:jc w:val="center"/>
              <w:rPr>
                <w:rFonts w:ascii="Calibri" w:hAnsi="Calibri" w:cs="Calibri"/>
                <w:color w:val="000000"/>
                <w:szCs w:val="20"/>
              </w:rPr>
            </w:pPr>
            <w:r>
              <w:rPr>
                <w:rFonts w:ascii="Calibri" w:hAnsi="Calibri" w:cs="Calibri"/>
                <w:color w:val="000000"/>
                <w:szCs w:val="20"/>
              </w:rPr>
              <w:t>5</w:t>
            </w:r>
            <w:r w:rsidR="00605E31">
              <w:rPr>
                <w:rFonts w:ascii="Calibri" w:hAnsi="Calibri" w:cs="Calibri"/>
                <w:color w:val="000000"/>
                <w:szCs w:val="20"/>
              </w:rPr>
              <w:t>%</w:t>
            </w:r>
          </w:p>
        </w:tc>
      </w:tr>
      <w:tr w:rsidR="00142952" w14:paraId="2C77225A" w14:textId="77777777" w:rsidTr="00F73EEB">
        <w:trPr>
          <w:trHeight w:val="350"/>
        </w:trPr>
        <w:tc>
          <w:tcPr>
            <w:tcW w:w="7645" w:type="dxa"/>
            <w:shd w:val="clear" w:color="auto" w:fill="FFFFFF" w:themeFill="background1"/>
          </w:tcPr>
          <w:p w14:paraId="0BA07C05" w14:textId="4C4A5061" w:rsidR="00142952" w:rsidRDefault="00142952" w:rsidP="00142952">
            <w:pPr>
              <w:pStyle w:val="tabletext"/>
            </w:pPr>
            <w:r>
              <w:t>C</w:t>
            </w:r>
            <w:r w:rsidRPr="00842BB8">
              <w:t xml:space="preserve">ompliant </w:t>
            </w:r>
            <w:r>
              <w:t>for three Active Months—Reset to Green Zone from Penalty Z</w:t>
            </w:r>
            <w:r w:rsidRPr="00842BB8">
              <w:t xml:space="preserve">one </w:t>
            </w:r>
          </w:p>
        </w:tc>
        <w:tc>
          <w:tcPr>
            <w:tcW w:w="2963" w:type="dxa"/>
            <w:shd w:val="clear" w:color="auto" w:fill="auto"/>
            <w:vAlign w:val="center"/>
          </w:tcPr>
          <w:p w14:paraId="26C29373" w14:textId="3FF5DAB2" w:rsidR="00142952" w:rsidRPr="008049EA" w:rsidRDefault="008049EA" w:rsidP="008049EA">
            <w:pPr>
              <w:jc w:val="center"/>
              <w:rPr>
                <w:rFonts w:ascii="Calibri" w:eastAsia="Times New Roman" w:hAnsi="Calibri" w:cs="Calibri"/>
                <w:color w:val="000000"/>
                <w:sz w:val="20"/>
                <w:szCs w:val="20"/>
              </w:rPr>
            </w:pPr>
            <w:r>
              <w:rPr>
                <w:rFonts w:ascii="Calibri" w:hAnsi="Calibri" w:cs="Calibri"/>
                <w:color w:val="000000"/>
                <w:sz w:val="20"/>
                <w:szCs w:val="20"/>
              </w:rPr>
              <w:t>607</w:t>
            </w:r>
          </w:p>
        </w:tc>
        <w:tc>
          <w:tcPr>
            <w:tcW w:w="3243" w:type="dxa"/>
            <w:vAlign w:val="center"/>
          </w:tcPr>
          <w:p w14:paraId="119F6F22" w14:textId="1042EB9D" w:rsidR="00142952" w:rsidRDefault="00D000FB" w:rsidP="00142952">
            <w:pPr>
              <w:pStyle w:val="tabletext"/>
              <w:jc w:val="center"/>
              <w:rPr>
                <w:rFonts w:ascii="Calibri" w:hAnsi="Calibri" w:cs="Calibri"/>
                <w:color w:val="000000"/>
                <w:szCs w:val="20"/>
              </w:rPr>
            </w:pPr>
            <w:r>
              <w:rPr>
                <w:rFonts w:ascii="Calibri" w:hAnsi="Calibri" w:cs="Calibri"/>
                <w:color w:val="000000"/>
                <w:szCs w:val="20"/>
              </w:rPr>
              <w:t>&lt;1%</w:t>
            </w:r>
          </w:p>
        </w:tc>
      </w:tr>
      <w:tr w:rsidR="00142952" w14:paraId="3703501F" w14:textId="77777777" w:rsidTr="00F73EEB">
        <w:trPr>
          <w:trHeight w:val="350"/>
        </w:trPr>
        <w:tc>
          <w:tcPr>
            <w:tcW w:w="7645" w:type="dxa"/>
            <w:shd w:val="clear" w:color="auto" w:fill="FFFFFF" w:themeFill="background1"/>
          </w:tcPr>
          <w:p w14:paraId="716D969B" w14:textId="5D7A544F" w:rsidR="00142952" w:rsidRDefault="00142952" w:rsidP="00142952">
            <w:pPr>
              <w:pStyle w:val="tabletext"/>
            </w:pPr>
            <w:r>
              <w:t>Served Non-Payment/Preclusion Period for 3rd penalty—Recommence in Penalty Z</w:t>
            </w:r>
            <w:r w:rsidRPr="00842BB8">
              <w:t xml:space="preserve">one  </w:t>
            </w:r>
          </w:p>
        </w:tc>
        <w:tc>
          <w:tcPr>
            <w:tcW w:w="2963" w:type="dxa"/>
            <w:shd w:val="clear" w:color="auto" w:fill="auto"/>
            <w:vAlign w:val="center"/>
          </w:tcPr>
          <w:p w14:paraId="1437B631" w14:textId="3F11484B" w:rsidR="00142952" w:rsidRPr="008049EA" w:rsidRDefault="008049EA" w:rsidP="008049EA">
            <w:pPr>
              <w:jc w:val="center"/>
              <w:rPr>
                <w:rFonts w:ascii="Calibri" w:eastAsia="Times New Roman" w:hAnsi="Calibri" w:cs="Calibri"/>
                <w:color w:val="000000"/>
                <w:sz w:val="20"/>
                <w:szCs w:val="20"/>
              </w:rPr>
            </w:pPr>
            <w:r>
              <w:rPr>
                <w:rFonts w:ascii="Calibri" w:eastAsia="Times New Roman" w:hAnsi="Calibri" w:cs="Calibri"/>
                <w:color w:val="000000"/>
                <w:sz w:val="20"/>
                <w:szCs w:val="20"/>
              </w:rPr>
              <w:t>0</w:t>
            </w:r>
          </w:p>
        </w:tc>
        <w:tc>
          <w:tcPr>
            <w:tcW w:w="3243" w:type="dxa"/>
            <w:vAlign w:val="center"/>
          </w:tcPr>
          <w:p w14:paraId="38552F46" w14:textId="72AB4263" w:rsidR="00142952" w:rsidRDefault="00D000FB" w:rsidP="00142952">
            <w:pPr>
              <w:pStyle w:val="tabletext"/>
              <w:jc w:val="center"/>
              <w:rPr>
                <w:rFonts w:ascii="Calibri" w:hAnsi="Calibri" w:cs="Calibri"/>
                <w:color w:val="000000"/>
                <w:szCs w:val="20"/>
              </w:rPr>
            </w:pPr>
            <w:r>
              <w:rPr>
                <w:rFonts w:ascii="Calibri" w:hAnsi="Calibri" w:cs="Calibri"/>
                <w:color w:val="000000"/>
                <w:szCs w:val="20"/>
              </w:rPr>
              <w:t>&lt;1%</w:t>
            </w:r>
          </w:p>
        </w:tc>
      </w:tr>
    </w:tbl>
    <w:p w14:paraId="0E4A8CD5" w14:textId="56868B58" w:rsidR="007C5D09" w:rsidRDefault="00AE2502" w:rsidP="002B212D">
      <w:pPr>
        <w:pStyle w:val="Basic"/>
        <w:rPr>
          <w:sz w:val="20"/>
        </w:rPr>
      </w:pPr>
      <w:r>
        <w:rPr>
          <w:sz w:val="20"/>
        </w:rPr>
        <w:t>Table 2</w:t>
      </w:r>
      <w:r w:rsidR="00842BB8" w:rsidRPr="002B212D">
        <w:rPr>
          <w:sz w:val="20"/>
        </w:rPr>
        <w:t xml:space="preserve"> provides a summary of </w:t>
      </w:r>
      <w:r w:rsidR="002018A4" w:rsidRPr="002B212D">
        <w:rPr>
          <w:sz w:val="20"/>
        </w:rPr>
        <w:t>job seeker/participant</w:t>
      </w:r>
      <w:r w:rsidR="00FF3FFF" w:rsidRPr="002B212D">
        <w:rPr>
          <w:sz w:val="20"/>
        </w:rPr>
        <w:t xml:space="preserve"> Zone T</w:t>
      </w:r>
      <w:r w:rsidR="00842BB8" w:rsidRPr="002B212D">
        <w:rPr>
          <w:sz w:val="20"/>
        </w:rPr>
        <w:t>ransition</w:t>
      </w:r>
      <w:r w:rsidR="00FF3FFF" w:rsidRPr="002B212D">
        <w:rPr>
          <w:sz w:val="20"/>
        </w:rPr>
        <w:t xml:space="preserve">s </w:t>
      </w:r>
      <w:r w:rsidR="00842BB8" w:rsidRPr="002B212D">
        <w:rPr>
          <w:sz w:val="20"/>
        </w:rPr>
        <w:t xml:space="preserve">during the reference period. </w:t>
      </w:r>
    </w:p>
    <w:p w14:paraId="55E2A7FF" w14:textId="676B44FA" w:rsidR="005F4584" w:rsidRDefault="005F4584" w:rsidP="002B212D">
      <w:pPr>
        <w:pStyle w:val="Basic"/>
        <w:rPr>
          <w:sz w:val="20"/>
        </w:rPr>
      </w:pPr>
      <w:r>
        <w:rPr>
          <w:sz w:val="20"/>
        </w:rPr>
        <w:t xml:space="preserve">* The caseload is a count of unique </w:t>
      </w:r>
      <w:r w:rsidRPr="005F4584">
        <w:rPr>
          <w:sz w:val="20"/>
        </w:rPr>
        <w:t>job seeker</w:t>
      </w:r>
      <w:r>
        <w:rPr>
          <w:sz w:val="20"/>
        </w:rPr>
        <w:t>s</w:t>
      </w:r>
      <w:r w:rsidRPr="005F4584">
        <w:rPr>
          <w:sz w:val="20"/>
        </w:rPr>
        <w:t xml:space="preserve"> </w:t>
      </w:r>
      <w:r>
        <w:rPr>
          <w:sz w:val="20"/>
        </w:rPr>
        <w:t>or</w:t>
      </w:r>
      <w:r w:rsidRPr="005F4584">
        <w:rPr>
          <w:sz w:val="20"/>
        </w:rPr>
        <w:t xml:space="preserve"> participant</w:t>
      </w:r>
      <w:r>
        <w:rPr>
          <w:sz w:val="20"/>
        </w:rPr>
        <w:t xml:space="preserve">s </w:t>
      </w:r>
      <w:r w:rsidRPr="005F4584">
        <w:rPr>
          <w:sz w:val="20"/>
        </w:rPr>
        <w:t>in jobactive</w:t>
      </w:r>
      <w:r w:rsidR="00C204F5">
        <w:rPr>
          <w:sz w:val="20"/>
        </w:rPr>
        <w:t xml:space="preserve"> including Digital</w:t>
      </w:r>
      <w:r w:rsidRPr="005F4584">
        <w:rPr>
          <w:sz w:val="20"/>
        </w:rPr>
        <w:t xml:space="preserve">, Disability Employment Services </w:t>
      </w:r>
      <w:r>
        <w:rPr>
          <w:sz w:val="20"/>
        </w:rPr>
        <w:t>or</w:t>
      </w:r>
      <w:r w:rsidRPr="005F4584">
        <w:rPr>
          <w:sz w:val="20"/>
        </w:rPr>
        <w:t xml:space="preserve"> ParentsNext</w:t>
      </w:r>
      <w:r>
        <w:rPr>
          <w:sz w:val="20"/>
        </w:rPr>
        <w:t xml:space="preserve"> during the reference period</w:t>
      </w:r>
      <w:r w:rsidR="00A50D30">
        <w:rPr>
          <w:sz w:val="20"/>
        </w:rPr>
        <w:t>.</w:t>
      </w:r>
    </w:p>
    <w:p w14:paraId="52AC1359" w14:textId="62DEE886" w:rsidR="0093465A" w:rsidRDefault="00B277BF" w:rsidP="00245FEA">
      <w:pPr>
        <w:pStyle w:val="Heading2"/>
      </w:pPr>
      <w:bookmarkStart w:id="9" w:name="_Toc72324864"/>
      <w:r w:rsidRPr="00842BB8">
        <w:t xml:space="preserve">Table </w:t>
      </w:r>
      <w:r>
        <w:t>3: Capability Interview (completed by Providers</w:t>
      </w:r>
      <w:r w:rsidR="00DD0245">
        <w:t xml:space="preserve"> and the Digital Services Contact Centre</w:t>
      </w:r>
      <w:r>
        <w:t xml:space="preserve">) and Capability Assessment (completed by </w:t>
      </w:r>
      <w:r w:rsidR="00C1417D">
        <w:t>S</w:t>
      </w:r>
      <w:r>
        <w:t>ervices</w:t>
      </w:r>
      <w:r w:rsidR="00C1417D">
        <w:t xml:space="preserve"> Australia</w:t>
      </w:r>
      <w:r>
        <w:t>)</w:t>
      </w:r>
      <w:r w:rsidR="003F236F">
        <w:t xml:space="preserve"> outcomes</w:t>
      </w:r>
      <w:r>
        <w:t xml:space="preserve"> across</w:t>
      </w:r>
      <w:r w:rsidRPr="0035690E">
        <w:t xml:space="preserve"> All Programs (</w:t>
      </w:r>
      <w:r w:rsidRPr="005F677C">
        <w:t>jobactive</w:t>
      </w:r>
      <w:r w:rsidR="00C204F5">
        <w:t xml:space="preserve"> including Digital</w:t>
      </w:r>
      <w:r w:rsidRPr="0035690E">
        <w:t>, Disability Employment Services and ParentsNext)</w:t>
      </w:r>
      <w:r w:rsidR="009A1334">
        <w:t>—</w:t>
      </w:r>
      <w:r w:rsidR="00142952" w:rsidRPr="00142952">
        <w:t xml:space="preserve"> </w:t>
      </w:r>
      <w:r w:rsidR="00142952">
        <w:t>1</w:t>
      </w:r>
      <w:r w:rsidR="00CB4DB4">
        <w:t> </w:t>
      </w:r>
      <w:r w:rsidR="00142952">
        <w:t>July</w:t>
      </w:r>
      <w:r w:rsidR="00CB4DB4">
        <w:t> </w:t>
      </w:r>
      <w:r w:rsidR="00142952">
        <w:t>2020</w:t>
      </w:r>
      <w:r w:rsidR="00CB4DB4">
        <w:t> </w:t>
      </w:r>
      <w:r w:rsidR="00142952">
        <w:t>to</w:t>
      </w:r>
      <w:r w:rsidR="00CB4DB4">
        <w:t> </w:t>
      </w:r>
      <w:r w:rsidR="00C72F22">
        <w:t>31</w:t>
      </w:r>
      <w:r w:rsidR="00CB4DB4">
        <w:t> </w:t>
      </w:r>
      <w:r w:rsidR="00C72F22">
        <w:t>December</w:t>
      </w:r>
      <w:r w:rsidR="00CB4DB4">
        <w:t> </w:t>
      </w:r>
      <w:r w:rsidR="00C72F22">
        <w:t>2020</w:t>
      </w:r>
      <w:bookmarkEnd w:id="9"/>
    </w:p>
    <w:tbl>
      <w:tblPr>
        <w:tblStyle w:val="TableGrid"/>
        <w:tblW w:w="5000" w:type="pct"/>
        <w:tblLook w:val="04A0" w:firstRow="1" w:lastRow="0" w:firstColumn="1" w:lastColumn="0" w:noHBand="0" w:noVBand="1"/>
        <w:tblCaption w:val="Capability Interview and Capability Assessment Outcomes"/>
        <w:tblDescription w:val="Percentage of Capabilty Interviews where the job seeker/participant was found Capable or Not Capable.                                                      Percentage of Capabilty Assessments where the job seeker/participant was found Capable or Not Capable."/>
      </w:tblPr>
      <w:tblGrid>
        <w:gridCol w:w="3539"/>
        <w:gridCol w:w="3118"/>
        <w:gridCol w:w="283"/>
        <w:gridCol w:w="3403"/>
        <w:gridCol w:w="3514"/>
      </w:tblGrid>
      <w:tr w:rsidR="005F677C" w:rsidRPr="00645F00" w14:paraId="29DDFF51" w14:textId="240E1008" w:rsidTr="005F677C">
        <w:trPr>
          <w:trHeight w:val="516"/>
          <w:tblHeader/>
        </w:trPr>
        <w:tc>
          <w:tcPr>
            <w:tcW w:w="1277" w:type="pct"/>
            <w:shd w:val="clear" w:color="auto" w:fill="D9D9D9" w:themeFill="background1" w:themeFillShade="D9"/>
          </w:tcPr>
          <w:p w14:paraId="0EC7CF18" w14:textId="77777777" w:rsidR="005F677C" w:rsidRDefault="005F677C" w:rsidP="00884F5B">
            <w:pPr>
              <w:pStyle w:val="Tableheader"/>
            </w:pPr>
            <w:r>
              <w:t>Capability Interview*</w:t>
            </w:r>
          </w:p>
          <w:p w14:paraId="2E6F112E" w14:textId="69D57C39" w:rsidR="005F677C" w:rsidRPr="00645F00" w:rsidRDefault="005F677C" w:rsidP="00884F5B">
            <w:pPr>
              <w:pStyle w:val="Tableheader"/>
            </w:pPr>
            <w:r w:rsidRPr="00645F00">
              <w:t>Outcome</w:t>
            </w:r>
            <w:r>
              <w:t xml:space="preserve">: </w:t>
            </w:r>
            <w:r w:rsidRPr="00645F00">
              <w:t>Capable</w:t>
            </w:r>
            <w:r>
              <w:t>—</w:t>
            </w:r>
            <w:r w:rsidRPr="00645F00">
              <w:t>Continue in Warning Zone</w:t>
            </w:r>
          </w:p>
        </w:tc>
        <w:tc>
          <w:tcPr>
            <w:tcW w:w="1125" w:type="pct"/>
            <w:tcBorders>
              <w:right w:val="single" w:sz="4" w:space="0" w:color="auto"/>
            </w:tcBorders>
            <w:shd w:val="clear" w:color="auto" w:fill="D9D9D9" w:themeFill="background1" w:themeFillShade="D9"/>
          </w:tcPr>
          <w:p w14:paraId="75F2CF00" w14:textId="77777777" w:rsidR="005F677C" w:rsidRDefault="005F677C" w:rsidP="00884F5B">
            <w:pPr>
              <w:pStyle w:val="Tableheader"/>
            </w:pPr>
            <w:r>
              <w:t>Capability Interview*</w:t>
            </w:r>
          </w:p>
          <w:p w14:paraId="7EFC232A" w14:textId="5B5BF4D4" w:rsidR="005F677C" w:rsidRPr="00645F00" w:rsidRDefault="005F677C" w:rsidP="00884F5B">
            <w:pPr>
              <w:pStyle w:val="Tableheader"/>
            </w:pPr>
            <w:r w:rsidRPr="00645F00">
              <w:t>Outcome</w:t>
            </w:r>
            <w:r>
              <w:t xml:space="preserve">: </w:t>
            </w:r>
            <w:r w:rsidRPr="00645F00">
              <w:t>Not Capable</w:t>
            </w:r>
            <w:r>
              <w:t>—</w:t>
            </w:r>
            <w:r w:rsidRPr="00645F00">
              <w:t>Reset to Green Zone</w:t>
            </w:r>
          </w:p>
        </w:tc>
        <w:tc>
          <w:tcPr>
            <w:tcW w:w="102" w:type="pct"/>
            <w:tcBorders>
              <w:top w:val="nil"/>
              <w:left w:val="single" w:sz="4" w:space="0" w:color="auto"/>
              <w:bottom w:val="nil"/>
              <w:right w:val="single" w:sz="4" w:space="0" w:color="auto"/>
            </w:tcBorders>
            <w:shd w:val="clear" w:color="auto" w:fill="auto"/>
          </w:tcPr>
          <w:p w14:paraId="3947F9AD" w14:textId="77777777" w:rsidR="005F677C" w:rsidRDefault="005F677C" w:rsidP="00884F5B">
            <w:pPr>
              <w:pStyle w:val="Tableheader"/>
            </w:pPr>
          </w:p>
        </w:tc>
        <w:tc>
          <w:tcPr>
            <w:tcW w:w="1228" w:type="pct"/>
            <w:tcBorders>
              <w:left w:val="single" w:sz="4" w:space="0" w:color="auto"/>
            </w:tcBorders>
            <w:shd w:val="clear" w:color="auto" w:fill="D9D9D9" w:themeFill="background1" w:themeFillShade="D9"/>
          </w:tcPr>
          <w:p w14:paraId="0F5C147D" w14:textId="5FBB8E1E" w:rsidR="005F677C" w:rsidRDefault="005F677C" w:rsidP="00884F5B">
            <w:pPr>
              <w:pStyle w:val="Tableheader"/>
            </w:pPr>
            <w:r>
              <w:t>Capability Assessment^</w:t>
            </w:r>
          </w:p>
          <w:p w14:paraId="5BDC7B3D" w14:textId="443BFC95" w:rsidR="005F677C" w:rsidRDefault="005F677C" w:rsidP="00884F5B">
            <w:pPr>
              <w:pStyle w:val="Tableheader"/>
            </w:pPr>
            <w:r w:rsidRPr="00645F00">
              <w:t>Outcome</w:t>
            </w:r>
            <w:r>
              <w:t xml:space="preserve">: </w:t>
            </w:r>
            <w:r w:rsidRPr="00645F00">
              <w:t>Capable</w:t>
            </w:r>
            <w:r>
              <w:t>—Enter Penalty Zone</w:t>
            </w:r>
          </w:p>
        </w:tc>
        <w:tc>
          <w:tcPr>
            <w:tcW w:w="1268" w:type="pct"/>
            <w:shd w:val="clear" w:color="auto" w:fill="D9D9D9" w:themeFill="background1" w:themeFillShade="D9"/>
          </w:tcPr>
          <w:p w14:paraId="151A6A5B" w14:textId="77777777" w:rsidR="005F677C" w:rsidRDefault="005F677C" w:rsidP="00884F5B">
            <w:pPr>
              <w:pStyle w:val="Tableheader"/>
            </w:pPr>
            <w:r>
              <w:t>Capability Assessment^</w:t>
            </w:r>
          </w:p>
          <w:p w14:paraId="3470AA4E" w14:textId="126712C4" w:rsidR="005F677C" w:rsidRDefault="005F677C" w:rsidP="00884F5B">
            <w:pPr>
              <w:pStyle w:val="Tableheader"/>
            </w:pPr>
            <w:r w:rsidRPr="00645F00">
              <w:t>Outcome</w:t>
            </w:r>
            <w:r>
              <w:t xml:space="preserve">: </w:t>
            </w:r>
            <w:r w:rsidRPr="00645F00">
              <w:t>Not Capable</w:t>
            </w:r>
            <w:r>
              <w:t>—Return to Green Zone</w:t>
            </w:r>
          </w:p>
        </w:tc>
      </w:tr>
      <w:tr w:rsidR="005F677C" w:rsidRPr="00645F00" w14:paraId="0C72B948" w14:textId="22C46125" w:rsidTr="005F677C">
        <w:trPr>
          <w:trHeight w:val="282"/>
        </w:trPr>
        <w:tc>
          <w:tcPr>
            <w:tcW w:w="1277" w:type="pct"/>
            <w:shd w:val="clear" w:color="auto" w:fill="auto"/>
            <w:vAlign w:val="center"/>
          </w:tcPr>
          <w:p w14:paraId="4498800C" w14:textId="63DA7389" w:rsidR="0011701D" w:rsidRPr="00341C06" w:rsidRDefault="009161BD" w:rsidP="0011701D">
            <w:pPr>
              <w:pStyle w:val="tabletext"/>
              <w:jc w:val="center"/>
            </w:pPr>
            <w:r>
              <w:t>44</w:t>
            </w:r>
            <w:r w:rsidR="0011701D">
              <w:t>%</w:t>
            </w:r>
          </w:p>
        </w:tc>
        <w:tc>
          <w:tcPr>
            <w:tcW w:w="1125" w:type="pct"/>
            <w:tcBorders>
              <w:right w:val="single" w:sz="4" w:space="0" w:color="auto"/>
            </w:tcBorders>
            <w:shd w:val="clear" w:color="auto" w:fill="auto"/>
            <w:vAlign w:val="center"/>
          </w:tcPr>
          <w:p w14:paraId="297519FD" w14:textId="5A54BD18" w:rsidR="005F677C" w:rsidRPr="00341C06" w:rsidRDefault="0011701D" w:rsidP="001B40EB">
            <w:pPr>
              <w:pStyle w:val="tabletext"/>
              <w:jc w:val="center"/>
            </w:pPr>
            <w:r>
              <w:t>56%</w:t>
            </w:r>
          </w:p>
        </w:tc>
        <w:tc>
          <w:tcPr>
            <w:tcW w:w="102" w:type="pct"/>
            <w:tcBorders>
              <w:top w:val="nil"/>
              <w:left w:val="single" w:sz="4" w:space="0" w:color="auto"/>
              <w:bottom w:val="nil"/>
              <w:right w:val="single" w:sz="4" w:space="0" w:color="auto"/>
            </w:tcBorders>
            <w:shd w:val="clear" w:color="auto" w:fill="auto"/>
          </w:tcPr>
          <w:p w14:paraId="1EBBEC4F" w14:textId="77777777" w:rsidR="005F677C" w:rsidRPr="00341C06" w:rsidRDefault="005F677C" w:rsidP="001B40EB">
            <w:pPr>
              <w:pStyle w:val="tabletext"/>
              <w:jc w:val="center"/>
            </w:pPr>
          </w:p>
        </w:tc>
        <w:tc>
          <w:tcPr>
            <w:tcW w:w="1228" w:type="pct"/>
            <w:tcBorders>
              <w:left w:val="single" w:sz="4" w:space="0" w:color="auto"/>
            </w:tcBorders>
            <w:vAlign w:val="center"/>
          </w:tcPr>
          <w:p w14:paraId="431E7DCF" w14:textId="77534EED" w:rsidR="005F677C" w:rsidRPr="00341C06" w:rsidRDefault="0011701D" w:rsidP="001B40EB">
            <w:pPr>
              <w:pStyle w:val="tabletext"/>
              <w:jc w:val="center"/>
            </w:pPr>
            <w:r>
              <w:t>81%</w:t>
            </w:r>
          </w:p>
        </w:tc>
        <w:tc>
          <w:tcPr>
            <w:tcW w:w="1268" w:type="pct"/>
            <w:vAlign w:val="center"/>
          </w:tcPr>
          <w:p w14:paraId="03CD554E" w14:textId="5F5850CB" w:rsidR="005F677C" w:rsidRPr="00341C06" w:rsidRDefault="0011701D" w:rsidP="001B40EB">
            <w:pPr>
              <w:pStyle w:val="tabletext"/>
              <w:jc w:val="center"/>
            </w:pPr>
            <w:r>
              <w:t>19%</w:t>
            </w:r>
          </w:p>
        </w:tc>
      </w:tr>
    </w:tbl>
    <w:p w14:paraId="1D3E6B02" w14:textId="60B898A2" w:rsidR="00DF78AC" w:rsidRPr="00CE7546" w:rsidRDefault="00DF78AC" w:rsidP="002B212D">
      <w:pPr>
        <w:pStyle w:val="qualifiers"/>
      </w:pPr>
      <w:r>
        <w:t xml:space="preserve">* </w:t>
      </w:r>
      <w:r w:rsidRPr="00CE7546">
        <w:t xml:space="preserve">Capability Interviews are </w:t>
      </w:r>
      <w:r w:rsidR="00245FEA">
        <w:t xml:space="preserve">undertaken by Employment Services Providers and are </w:t>
      </w:r>
      <w:r w:rsidRPr="00CE7546">
        <w:t xml:space="preserve">designed to </w:t>
      </w:r>
      <w:r w:rsidR="00543F02">
        <w:t>assess whether</w:t>
      </w:r>
      <w:r w:rsidRPr="00CE7546">
        <w:t>: (</w:t>
      </w:r>
      <w:proofErr w:type="spellStart"/>
      <w:r w:rsidRPr="00CE7546">
        <w:t>i</w:t>
      </w:r>
      <w:proofErr w:type="spellEnd"/>
      <w:r>
        <w:t>) a job seeker’s/participant’s R</w:t>
      </w:r>
      <w:r w:rsidRPr="00CE7546">
        <w:t>equirements are appropriate to their individual circumstances</w:t>
      </w:r>
      <w:r w:rsidR="009114B0">
        <w:t xml:space="preserve"> and if they are capable of </w:t>
      </w:r>
      <w:r w:rsidR="000E1E09">
        <w:t>meeting</w:t>
      </w:r>
      <w:r w:rsidR="009114B0">
        <w:t xml:space="preserve"> their requirements outlined in the Job Plan/Participation Plan</w:t>
      </w:r>
      <w:r w:rsidRPr="00CE7546">
        <w:t>; and (ii) only job seekers</w:t>
      </w:r>
      <w:r>
        <w:t>/participants</w:t>
      </w:r>
      <w:r w:rsidRPr="00CE7546">
        <w:t xml:space="preserve"> who are </w:t>
      </w:r>
      <w:r>
        <w:t>deliberately not meeting their R</w:t>
      </w:r>
      <w:r w:rsidRPr="00CE7546">
        <w:t xml:space="preserve">equirements continue in the Warning Zone. Further information on Capability Interview reasons, processes and </w:t>
      </w:r>
      <w:r>
        <w:t>outcomes is in the G</w:t>
      </w:r>
      <w:r w:rsidRPr="00CE7546">
        <w:t xml:space="preserve">lossary. </w:t>
      </w:r>
    </w:p>
    <w:p w14:paraId="7E9BFDD8" w14:textId="5A17A68E" w:rsidR="00DF78AC" w:rsidRDefault="00245FEA" w:rsidP="002B212D">
      <w:pPr>
        <w:pStyle w:val="qualifiers"/>
      </w:pPr>
      <w:r>
        <w:t xml:space="preserve">^ </w:t>
      </w:r>
      <w:r w:rsidR="00DF78AC">
        <w:t>The Capability Assessment is an evidence-based review of a job seeker’s/participant’s individual circumstances and the appropriateness of their Job Plan</w:t>
      </w:r>
      <w:r w:rsidR="00134396">
        <w:t>/Participation Plan</w:t>
      </w:r>
      <w:r w:rsidR="00DF78AC">
        <w:t xml:space="preserve"> Requirements, conducted </w:t>
      </w:r>
      <w:r w:rsidR="00DF78AC" w:rsidRPr="00466E07">
        <w:t xml:space="preserve">by </w:t>
      </w:r>
      <w:r w:rsidR="008C1D20">
        <w:t>Services Australia</w:t>
      </w:r>
      <w:r w:rsidR="00DF78AC">
        <w:t xml:space="preserve">. The purpose of a Capability Assessment is to </w:t>
      </w:r>
      <w:r w:rsidR="00543F02">
        <w:t>assess whether</w:t>
      </w:r>
      <w:r w:rsidR="00DF78AC">
        <w:t>: (</w:t>
      </w:r>
      <w:proofErr w:type="spellStart"/>
      <w:r w:rsidR="00DF78AC">
        <w:t>i</w:t>
      </w:r>
      <w:proofErr w:type="spellEnd"/>
      <w:r w:rsidR="00DF78AC">
        <w:t>) a job seeker’s/participant’s Requirements are appropriate to their individual circumstances</w:t>
      </w:r>
      <w:r w:rsidR="00543F02">
        <w:t xml:space="preserve"> and if they are capable of </w:t>
      </w:r>
      <w:r w:rsidR="000E1E09">
        <w:t>meeting</w:t>
      </w:r>
      <w:r w:rsidR="00543F02">
        <w:t xml:space="preserve"> their requirements outlined in the Job Plan/Participation Plan</w:t>
      </w:r>
      <w:r w:rsidR="00DF78AC">
        <w:t xml:space="preserve">; and (ii) only job </w:t>
      </w:r>
      <w:r w:rsidR="00DF78AC">
        <w:lastRenderedPageBreak/>
        <w:t xml:space="preserve">seekers/participants who are found to be capable of meeting their Requirements, but </w:t>
      </w:r>
      <w:r w:rsidR="00362134">
        <w:t>wilfully</w:t>
      </w:r>
      <w:r w:rsidR="00DF78AC">
        <w:t xml:space="preserve"> fail to do so, move into the Penalty Zone. Further information on Capability Assessment reasons, processes and outcomes is in the Glossary.</w:t>
      </w:r>
    </w:p>
    <w:p w14:paraId="41664AAB" w14:textId="62D12997" w:rsidR="00D34249" w:rsidRDefault="00D34249" w:rsidP="00341C06">
      <w:pPr>
        <w:pStyle w:val="Heading2"/>
      </w:pPr>
      <w:bookmarkStart w:id="10" w:name="_Toc536178347"/>
      <w:bookmarkStart w:id="11" w:name="_Toc72324865"/>
      <w:r w:rsidRPr="00D34249">
        <w:t xml:space="preserve">Table </w:t>
      </w:r>
      <w:r w:rsidR="0039456A">
        <w:rPr>
          <w:noProof/>
        </w:rPr>
        <w:t>4</w:t>
      </w:r>
      <w:r>
        <w:t xml:space="preserve">: </w:t>
      </w:r>
      <w:r w:rsidRPr="002E3FC9">
        <w:t xml:space="preserve">Income Support Payment Suspensions and Confirmed Demerits, </w:t>
      </w:r>
      <w:r w:rsidR="00425542">
        <w:t>across</w:t>
      </w:r>
      <w:r w:rsidR="00425542" w:rsidRPr="0035690E">
        <w:t xml:space="preserve"> All Programs (</w:t>
      </w:r>
      <w:r w:rsidR="00425542" w:rsidRPr="005F677C">
        <w:t>jobactive</w:t>
      </w:r>
      <w:r w:rsidR="00C204F5">
        <w:t xml:space="preserve"> including Digital</w:t>
      </w:r>
      <w:r w:rsidR="00425542" w:rsidRPr="0035690E">
        <w:t>, Disability Employment Services and ParentsNext)</w:t>
      </w:r>
      <w:r w:rsidR="009A1334">
        <w:t>—</w:t>
      </w:r>
      <w:r w:rsidRPr="002E3FC9">
        <w:t>1</w:t>
      </w:r>
      <w:r w:rsidR="002B212D">
        <w:t> </w:t>
      </w:r>
      <w:r w:rsidRPr="002E3FC9">
        <w:t>J</w:t>
      </w:r>
      <w:r w:rsidR="003D2322">
        <w:t>ul</w:t>
      </w:r>
      <w:r w:rsidR="000A1D24">
        <w:t>y</w:t>
      </w:r>
      <w:r w:rsidRPr="002E3FC9">
        <w:t xml:space="preserve"> 20</w:t>
      </w:r>
      <w:r w:rsidR="000A1D24">
        <w:t>20</w:t>
      </w:r>
      <w:r w:rsidRPr="002E3FC9">
        <w:t xml:space="preserve"> to </w:t>
      </w:r>
      <w:bookmarkEnd w:id="10"/>
      <w:r w:rsidR="004302F1" w:rsidRPr="0010436D">
        <w:t>3</w:t>
      </w:r>
      <w:r w:rsidR="003D2322">
        <w:t>1</w:t>
      </w:r>
      <w:r w:rsidR="000A1D24">
        <w:t xml:space="preserve"> </w:t>
      </w:r>
      <w:r w:rsidR="003D2322">
        <w:t>December</w:t>
      </w:r>
      <w:r w:rsidR="000A1D24">
        <w:t xml:space="preserve"> 2020</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e table data for information"/>
      </w:tblPr>
      <w:tblGrid>
        <w:gridCol w:w="7292"/>
        <w:gridCol w:w="6565"/>
      </w:tblGrid>
      <w:tr w:rsidR="0039456A" w:rsidRPr="002B212D" w14:paraId="1A21F3F7" w14:textId="77777777" w:rsidTr="009A1334">
        <w:trPr>
          <w:trHeight w:val="296"/>
          <w:tblHeader/>
        </w:trPr>
        <w:tc>
          <w:tcPr>
            <w:tcW w:w="2631" w:type="pct"/>
            <w:shd w:val="clear" w:color="auto" w:fill="D9D9D9"/>
            <w:vAlign w:val="center"/>
            <w:hideMark/>
          </w:tcPr>
          <w:p w14:paraId="0C4B5E10" w14:textId="77777777" w:rsidR="0039456A" w:rsidRPr="002B212D" w:rsidRDefault="0039456A" w:rsidP="002B212D">
            <w:pPr>
              <w:pStyle w:val="Tableheader"/>
            </w:pPr>
            <w:r w:rsidRPr="002B212D">
              <w:t>Income Support Payment Suspensions</w:t>
            </w:r>
          </w:p>
        </w:tc>
        <w:tc>
          <w:tcPr>
            <w:tcW w:w="2369" w:type="pct"/>
            <w:shd w:val="clear" w:color="auto" w:fill="D9D9D9"/>
          </w:tcPr>
          <w:p w14:paraId="42643A6B" w14:textId="77777777" w:rsidR="0039456A" w:rsidRPr="002B212D" w:rsidRDefault="0039456A" w:rsidP="002B212D">
            <w:pPr>
              <w:pStyle w:val="Tableheader"/>
            </w:pPr>
            <w:r w:rsidRPr="002B212D">
              <w:t>Confirmed Demerits*</w:t>
            </w:r>
          </w:p>
        </w:tc>
      </w:tr>
      <w:tr w:rsidR="006F627C" w:rsidRPr="002B212D" w14:paraId="790C1120" w14:textId="77777777" w:rsidTr="003E4736">
        <w:trPr>
          <w:trHeight w:val="296"/>
        </w:trPr>
        <w:tc>
          <w:tcPr>
            <w:tcW w:w="263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98FD16" w14:textId="16AF9112" w:rsidR="006F627C" w:rsidRPr="002B212D" w:rsidRDefault="006F627C" w:rsidP="006F627C">
            <w:pPr>
              <w:pStyle w:val="tabletext"/>
              <w:jc w:val="center"/>
              <w:rPr>
                <w:rStyle w:val="Strong"/>
                <w:b w:val="0"/>
              </w:rPr>
            </w:pPr>
            <w:r>
              <w:rPr>
                <w:rFonts w:ascii="Calibri" w:hAnsi="Calibri" w:cs="Calibri"/>
                <w:b/>
                <w:bCs/>
                <w:color w:val="000000"/>
                <w:szCs w:val="20"/>
              </w:rPr>
              <w:t>643,855</w:t>
            </w:r>
          </w:p>
        </w:tc>
        <w:tc>
          <w:tcPr>
            <w:tcW w:w="23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31EADE" w14:textId="685D1C61" w:rsidR="006F627C" w:rsidRPr="00C204F5" w:rsidRDefault="006F627C" w:rsidP="006F627C">
            <w:pPr>
              <w:pStyle w:val="tabletext"/>
              <w:jc w:val="center"/>
              <w:rPr>
                <w:rStyle w:val="Strong"/>
                <w:b w:val="0"/>
              </w:rPr>
            </w:pPr>
            <w:r w:rsidRPr="00C35A9B">
              <w:rPr>
                <w:rFonts w:ascii="Calibri" w:hAnsi="Calibri" w:cs="Calibri"/>
                <w:b/>
                <w:bCs/>
                <w:color w:val="000000"/>
                <w:szCs w:val="20"/>
              </w:rPr>
              <w:t>459,973</w:t>
            </w:r>
          </w:p>
        </w:tc>
      </w:tr>
    </w:tbl>
    <w:p w14:paraId="5EF9E798" w14:textId="6D83B9E3" w:rsidR="003C4DBD" w:rsidRPr="002B212D" w:rsidRDefault="00AE2502" w:rsidP="002B212D">
      <w:pPr>
        <w:pStyle w:val="Basic"/>
        <w:rPr>
          <w:sz w:val="20"/>
        </w:rPr>
      </w:pPr>
      <w:r>
        <w:rPr>
          <w:sz w:val="20"/>
        </w:rPr>
        <w:t>Table 4</w:t>
      </w:r>
      <w:r w:rsidR="000C4AEA" w:rsidRPr="002B212D">
        <w:rPr>
          <w:sz w:val="20"/>
        </w:rPr>
        <w:t xml:space="preserve"> </w:t>
      </w:r>
      <w:r w:rsidR="003E1BF1">
        <w:rPr>
          <w:sz w:val="20"/>
        </w:rPr>
        <w:t>captures the total number of</w:t>
      </w:r>
      <w:r w:rsidR="003E1BF1" w:rsidRPr="002B212D">
        <w:rPr>
          <w:sz w:val="20"/>
        </w:rPr>
        <w:t xml:space="preserve"> </w:t>
      </w:r>
      <w:r w:rsidR="000A7A0F" w:rsidRPr="002B212D">
        <w:rPr>
          <w:sz w:val="20"/>
        </w:rPr>
        <w:t xml:space="preserve">Income Support Payment Suspensions </w:t>
      </w:r>
      <w:r w:rsidR="003E1BF1">
        <w:rPr>
          <w:sz w:val="20"/>
        </w:rPr>
        <w:t>over the period</w:t>
      </w:r>
      <w:r w:rsidR="00BF1E02" w:rsidRPr="002B212D">
        <w:rPr>
          <w:sz w:val="20"/>
        </w:rPr>
        <w:t>.</w:t>
      </w:r>
      <w:r w:rsidR="00543F02">
        <w:rPr>
          <w:sz w:val="20"/>
        </w:rPr>
        <w:t xml:space="preserve"> The first non-compliance event that a job seeker</w:t>
      </w:r>
      <w:r w:rsidR="00E97D2A">
        <w:rPr>
          <w:sz w:val="20"/>
        </w:rPr>
        <w:t>/participant</w:t>
      </w:r>
      <w:r w:rsidR="00543F02">
        <w:rPr>
          <w:sz w:val="20"/>
        </w:rPr>
        <w:t xml:space="preserve"> commits will trigger an </w:t>
      </w:r>
      <w:r w:rsidR="00B874DC">
        <w:rPr>
          <w:sz w:val="20"/>
        </w:rPr>
        <w:t>I</w:t>
      </w:r>
      <w:r w:rsidR="00543F02">
        <w:rPr>
          <w:sz w:val="20"/>
        </w:rPr>
        <w:t xml:space="preserve">ncome </w:t>
      </w:r>
      <w:r w:rsidR="00B874DC">
        <w:rPr>
          <w:sz w:val="20"/>
        </w:rPr>
        <w:t>S</w:t>
      </w:r>
      <w:r w:rsidR="00543F02">
        <w:rPr>
          <w:sz w:val="20"/>
        </w:rPr>
        <w:t xml:space="preserve">upport </w:t>
      </w:r>
      <w:r w:rsidR="00B874DC">
        <w:rPr>
          <w:sz w:val="20"/>
        </w:rPr>
        <w:t>P</w:t>
      </w:r>
      <w:r w:rsidR="00543F02">
        <w:rPr>
          <w:sz w:val="20"/>
        </w:rPr>
        <w:t xml:space="preserve">ayment Suspension, any subsequent non-compliance event during a period of </w:t>
      </w:r>
      <w:r w:rsidR="00B874DC">
        <w:rPr>
          <w:sz w:val="20"/>
        </w:rPr>
        <w:t xml:space="preserve">Income Support Payment </w:t>
      </w:r>
      <w:r w:rsidR="00543F02">
        <w:rPr>
          <w:sz w:val="20"/>
        </w:rPr>
        <w:t xml:space="preserve">Suspension, that would otherwise have triggered a Suspension are excluded from Table 4. Income Support Payment Suspensions do not result in a loss of payment. </w:t>
      </w:r>
      <w:r w:rsidR="003C4DBD" w:rsidRPr="002B212D">
        <w:rPr>
          <w:sz w:val="20"/>
        </w:rPr>
        <w:t xml:space="preserve">Where a job seeker/participant fails to Accept or Commence a Suitable Job, this will prompt </w:t>
      </w:r>
      <w:r w:rsidR="00610355">
        <w:rPr>
          <w:sz w:val="20"/>
        </w:rPr>
        <w:t xml:space="preserve">Income Support </w:t>
      </w:r>
      <w:r w:rsidR="003C4DBD" w:rsidRPr="002B212D">
        <w:rPr>
          <w:sz w:val="20"/>
        </w:rPr>
        <w:t xml:space="preserve">Payment Suspension, but not Demerit creation. </w:t>
      </w:r>
    </w:p>
    <w:p w14:paraId="34368C82" w14:textId="54F6D531" w:rsidR="00FC6FB2" w:rsidRDefault="003E323A" w:rsidP="002B212D">
      <w:pPr>
        <w:pStyle w:val="qualifiers"/>
      </w:pPr>
      <w:r>
        <w:t xml:space="preserve">* </w:t>
      </w:r>
      <w:r w:rsidR="00B86744" w:rsidRPr="00B86744">
        <w:t>Confirmed Demerits</w:t>
      </w:r>
      <w:r w:rsidR="00FC00CA">
        <w:t xml:space="preserve"> are those</w:t>
      </w:r>
      <w:r w:rsidR="00B86744" w:rsidRPr="00B86744">
        <w:t xml:space="preserve"> </w:t>
      </w:r>
      <w:r w:rsidR="00FC00CA">
        <w:t xml:space="preserve">accrued </w:t>
      </w:r>
      <w:r w:rsidR="00FC00CA" w:rsidRPr="00D96D8A">
        <w:t>at any point in the reference period</w:t>
      </w:r>
      <w:r w:rsidR="00FC00CA">
        <w:t xml:space="preserve"> that still had a confirmed status </w:t>
      </w:r>
      <w:r w:rsidR="00FC00CA" w:rsidRPr="00E71913">
        <w:t>at 3</w:t>
      </w:r>
      <w:r w:rsidR="00E71913" w:rsidRPr="00E71913">
        <w:t>1</w:t>
      </w:r>
      <w:r w:rsidR="000A1D24" w:rsidRPr="00E71913">
        <w:t xml:space="preserve"> </w:t>
      </w:r>
      <w:r w:rsidR="00E71913" w:rsidRPr="00E71913">
        <w:t xml:space="preserve">December </w:t>
      </w:r>
      <w:r w:rsidR="000A1D24" w:rsidRPr="00E71913">
        <w:t>202</w:t>
      </w:r>
      <w:r w:rsidR="00E71913" w:rsidRPr="00E71913">
        <w:t>1</w:t>
      </w:r>
      <w:r w:rsidR="00FC00CA">
        <w:t xml:space="preserve">. </w:t>
      </w:r>
    </w:p>
    <w:p w14:paraId="79E712FE" w14:textId="3C649D2D" w:rsidR="006D2F9F" w:rsidRDefault="006D2F9F" w:rsidP="00756257">
      <w:pPr>
        <w:pStyle w:val="Heading2"/>
      </w:pPr>
      <w:bookmarkStart w:id="12" w:name="_Toc536178349"/>
      <w:bookmarkStart w:id="13" w:name="_Toc72324866"/>
      <w:r w:rsidRPr="00466E07">
        <w:t xml:space="preserve">Table </w:t>
      </w:r>
      <w:r w:rsidR="0039456A">
        <w:rPr>
          <w:noProof/>
        </w:rPr>
        <w:t>5</w:t>
      </w:r>
      <w:r w:rsidRPr="00466E07">
        <w:t>:</w:t>
      </w:r>
      <w:r w:rsidR="00125D90" w:rsidRPr="00466E07">
        <w:t xml:space="preserve"> </w:t>
      </w:r>
      <w:r w:rsidR="004C0E60" w:rsidRPr="00466E07">
        <w:t xml:space="preserve">Summary of </w:t>
      </w:r>
      <w:r w:rsidR="0039456A">
        <w:t xml:space="preserve">Financial </w:t>
      </w:r>
      <w:r w:rsidR="0056133F" w:rsidRPr="00466E07">
        <w:t>Penalt</w:t>
      </w:r>
      <w:r w:rsidR="003C4DBD">
        <w:t xml:space="preserve">ies </w:t>
      </w:r>
      <w:r w:rsidR="00543F02">
        <w:t xml:space="preserve">in the Penalty Zone </w:t>
      </w:r>
      <w:r w:rsidR="003C4DBD">
        <w:t>applied by</w:t>
      </w:r>
      <w:r w:rsidR="0056133F">
        <w:t xml:space="preserve"> </w:t>
      </w:r>
      <w:r w:rsidR="003C4DBD" w:rsidRPr="00466E07">
        <w:t>Services</w:t>
      </w:r>
      <w:r w:rsidR="000A1D24">
        <w:t xml:space="preserve"> Australia</w:t>
      </w:r>
      <w:r w:rsidR="003C4DBD" w:rsidRPr="00466E07">
        <w:t xml:space="preserve"> </w:t>
      </w:r>
      <w:r w:rsidR="00425542">
        <w:t>across</w:t>
      </w:r>
      <w:r w:rsidR="00425542" w:rsidRPr="00425542">
        <w:t xml:space="preserve"> </w:t>
      </w:r>
      <w:r w:rsidR="00425542" w:rsidRPr="0035690E">
        <w:t>All Programs (</w:t>
      </w:r>
      <w:r w:rsidR="00425542" w:rsidRPr="005F677C">
        <w:t>jobactive</w:t>
      </w:r>
      <w:r w:rsidR="001D3644">
        <w:t xml:space="preserve"> including Digital</w:t>
      </w:r>
      <w:r w:rsidR="00425542" w:rsidRPr="0035690E">
        <w:t>, Disability Employment Services and ParentsNext)</w:t>
      </w:r>
      <w:r w:rsidR="009A1334">
        <w:t>—</w:t>
      </w:r>
      <w:bookmarkEnd w:id="12"/>
      <w:r w:rsidR="00C72F22" w:rsidRPr="00C72F22">
        <w:t xml:space="preserve"> </w:t>
      </w:r>
      <w:r w:rsidR="00C72F22">
        <w:t>1 July 2020 to 31 December 2020</w:t>
      </w:r>
      <w:bookmarkEnd w:id="13"/>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e table data for information"/>
      </w:tblPr>
      <w:tblGrid>
        <w:gridCol w:w="3656"/>
        <w:gridCol w:w="3424"/>
        <w:gridCol w:w="3171"/>
        <w:gridCol w:w="3498"/>
      </w:tblGrid>
      <w:tr w:rsidR="00B874DC" w:rsidRPr="002B212D" w14:paraId="5486E09D" w14:textId="77777777" w:rsidTr="000E1E09">
        <w:trPr>
          <w:trHeight w:val="350"/>
          <w:tblHeader/>
        </w:trPr>
        <w:tc>
          <w:tcPr>
            <w:tcW w:w="1330" w:type="pct"/>
            <w:shd w:val="clear" w:color="auto" w:fill="DEEAF6" w:themeFill="accent1" w:themeFillTint="33"/>
          </w:tcPr>
          <w:p w14:paraId="7653F411" w14:textId="22DC6AE8" w:rsidR="00B874DC" w:rsidRPr="002B212D" w:rsidRDefault="00B874DC" w:rsidP="003E3458">
            <w:pPr>
              <w:pStyle w:val="Tableheader"/>
            </w:pPr>
            <w:r w:rsidRPr="002B212D">
              <w:t>Financial Penalties</w:t>
            </w:r>
            <w:r>
              <w:br/>
              <w:t xml:space="preserve">applied </w:t>
            </w:r>
            <w:r w:rsidRPr="002B212D">
              <w:t>in Penalty Zone</w:t>
            </w:r>
          </w:p>
        </w:tc>
        <w:tc>
          <w:tcPr>
            <w:tcW w:w="1245" w:type="pct"/>
            <w:shd w:val="clear" w:color="auto" w:fill="auto"/>
          </w:tcPr>
          <w:p w14:paraId="0DC73A6C" w14:textId="7BAE4AC7" w:rsidR="00B874DC" w:rsidRPr="002B212D" w:rsidRDefault="00B874DC" w:rsidP="003E3458">
            <w:pPr>
              <w:pStyle w:val="Tableheader"/>
            </w:pPr>
            <w:r w:rsidRPr="002B212D">
              <w:t>1st Penalty* in</w:t>
            </w:r>
            <w:r>
              <w:br/>
            </w:r>
            <w:r w:rsidRPr="002B212D">
              <w:t>Penalty Zone</w:t>
            </w:r>
          </w:p>
        </w:tc>
        <w:tc>
          <w:tcPr>
            <w:tcW w:w="1153" w:type="pct"/>
            <w:shd w:val="clear" w:color="auto" w:fill="auto"/>
            <w:vAlign w:val="center"/>
          </w:tcPr>
          <w:p w14:paraId="2F18F9A8" w14:textId="417D515D" w:rsidR="00B874DC" w:rsidRPr="002B212D" w:rsidRDefault="00B874DC" w:rsidP="002B212D">
            <w:pPr>
              <w:pStyle w:val="Tableheader"/>
            </w:pPr>
            <w:r w:rsidRPr="002B212D">
              <w:t>2nd Penalty*</w:t>
            </w:r>
            <w:r>
              <w:t xml:space="preserve"> in</w:t>
            </w:r>
            <w:r>
              <w:br/>
            </w:r>
            <w:r w:rsidRPr="002B212D">
              <w:t>Penalty Zone</w:t>
            </w:r>
          </w:p>
        </w:tc>
        <w:tc>
          <w:tcPr>
            <w:tcW w:w="1272" w:type="pct"/>
            <w:shd w:val="clear" w:color="auto" w:fill="auto"/>
          </w:tcPr>
          <w:p w14:paraId="6C2E7340" w14:textId="1D70793F" w:rsidR="00B874DC" w:rsidRPr="002B212D" w:rsidRDefault="00B874DC" w:rsidP="002B212D">
            <w:pPr>
              <w:pStyle w:val="Tableheader"/>
            </w:pPr>
            <w:r w:rsidRPr="002B212D">
              <w:t>3rd Penalty*</w:t>
            </w:r>
            <w:r>
              <w:t xml:space="preserve"> in</w:t>
            </w:r>
            <w:r>
              <w:br/>
            </w:r>
            <w:r w:rsidRPr="002B212D">
              <w:t>Penalty Zone</w:t>
            </w:r>
          </w:p>
        </w:tc>
      </w:tr>
      <w:tr w:rsidR="006F627C" w:rsidRPr="0010611C" w14:paraId="18CB74B5" w14:textId="77777777" w:rsidTr="006D09CC">
        <w:trPr>
          <w:trHeight w:val="244"/>
        </w:trPr>
        <w:tc>
          <w:tcPr>
            <w:tcW w:w="1330" w:type="pct"/>
            <w:shd w:val="clear" w:color="000000" w:fill="FFFFFF"/>
            <w:vAlign w:val="center"/>
          </w:tcPr>
          <w:p w14:paraId="6D83D336" w14:textId="2D3089E2" w:rsidR="006F627C" w:rsidRPr="00341C06" w:rsidRDefault="006F627C" w:rsidP="006F627C">
            <w:pPr>
              <w:pStyle w:val="tabletext"/>
              <w:jc w:val="center"/>
            </w:pPr>
            <w:r>
              <w:t>12</w:t>
            </w:r>
          </w:p>
        </w:tc>
        <w:tc>
          <w:tcPr>
            <w:tcW w:w="1245" w:type="pct"/>
            <w:shd w:val="clear" w:color="auto" w:fill="auto"/>
            <w:vAlign w:val="center"/>
          </w:tcPr>
          <w:p w14:paraId="754AA86A" w14:textId="7C97E962" w:rsidR="006F627C" w:rsidRPr="00341C06" w:rsidRDefault="006F627C" w:rsidP="006F627C">
            <w:pPr>
              <w:pStyle w:val="tabletext"/>
              <w:jc w:val="center"/>
            </w:pPr>
            <w:r>
              <w:rPr>
                <w:rFonts w:ascii="Calibri" w:hAnsi="Calibri" w:cs="Calibri"/>
                <w:color w:val="000000"/>
                <w:szCs w:val="20"/>
              </w:rPr>
              <w:t>9</w:t>
            </w:r>
          </w:p>
        </w:tc>
        <w:tc>
          <w:tcPr>
            <w:tcW w:w="1153" w:type="pct"/>
            <w:vAlign w:val="center"/>
          </w:tcPr>
          <w:p w14:paraId="4C2BD6A1" w14:textId="6AE141C5" w:rsidR="006F627C" w:rsidRPr="00341C06" w:rsidRDefault="006F627C" w:rsidP="006F627C">
            <w:pPr>
              <w:pStyle w:val="tabletext"/>
              <w:jc w:val="center"/>
            </w:pPr>
            <w:r>
              <w:rPr>
                <w:rFonts w:ascii="Calibri" w:hAnsi="Calibri" w:cs="Calibri"/>
                <w:color w:val="000000"/>
                <w:szCs w:val="20"/>
              </w:rPr>
              <w:t>3</w:t>
            </w:r>
          </w:p>
        </w:tc>
        <w:tc>
          <w:tcPr>
            <w:tcW w:w="1272" w:type="pct"/>
            <w:shd w:val="clear" w:color="000000" w:fill="FFFFFF"/>
            <w:vAlign w:val="center"/>
          </w:tcPr>
          <w:p w14:paraId="48D5BC86" w14:textId="5EA5156E" w:rsidR="006F627C" w:rsidRPr="00341C06" w:rsidRDefault="006F627C" w:rsidP="006F627C">
            <w:pPr>
              <w:pStyle w:val="tabletext"/>
              <w:jc w:val="center"/>
            </w:pPr>
            <w:r>
              <w:rPr>
                <w:rFonts w:ascii="Calibri" w:hAnsi="Calibri" w:cs="Calibri"/>
                <w:color w:val="000000"/>
                <w:szCs w:val="20"/>
              </w:rPr>
              <w:t>0</w:t>
            </w:r>
          </w:p>
        </w:tc>
      </w:tr>
    </w:tbl>
    <w:p w14:paraId="50490098" w14:textId="1C2112B7" w:rsidR="004E409B" w:rsidRPr="009A1334" w:rsidRDefault="00C21390" w:rsidP="009A1334">
      <w:pPr>
        <w:pStyle w:val="Basic"/>
        <w:rPr>
          <w:sz w:val="20"/>
        </w:rPr>
      </w:pPr>
      <w:r w:rsidRPr="009A1334">
        <w:rPr>
          <w:sz w:val="20"/>
        </w:rPr>
        <w:t>Job seekers/participants will incur Financial Penalties</w:t>
      </w:r>
      <w:r w:rsidR="00125D90" w:rsidRPr="009A1334">
        <w:rPr>
          <w:sz w:val="20"/>
        </w:rPr>
        <w:t xml:space="preserve"> where, following an investigation, </w:t>
      </w:r>
      <w:r w:rsidR="008C1D20">
        <w:rPr>
          <w:sz w:val="20"/>
        </w:rPr>
        <w:t>Services Australia</w:t>
      </w:r>
      <w:r w:rsidR="00125D90" w:rsidRPr="009A1334">
        <w:rPr>
          <w:sz w:val="20"/>
        </w:rPr>
        <w:t xml:space="preserve"> finds they have committed</w:t>
      </w:r>
      <w:r w:rsidRPr="009A1334">
        <w:rPr>
          <w:sz w:val="20"/>
        </w:rPr>
        <w:t xml:space="preserve"> a Mutual Obligation </w:t>
      </w:r>
      <w:r w:rsidR="00AE2502" w:rsidRPr="009A1334">
        <w:rPr>
          <w:sz w:val="20"/>
        </w:rPr>
        <w:t>Failure</w:t>
      </w:r>
      <w:r w:rsidR="00AE2502">
        <w:rPr>
          <w:sz w:val="20"/>
        </w:rPr>
        <w:t xml:space="preserve"> </w:t>
      </w:r>
      <w:r w:rsidRPr="009A1334">
        <w:rPr>
          <w:sz w:val="20"/>
        </w:rPr>
        <w:t xml:space="preserve">in the Penalty Zone. </w:t>
      </w:r>
      <w:r w:rsidR="00FC34D5" w:rsidRPr="009A1334">
        <w:rPr>
          <w:sz w:val="20"/>
        </w:rPr>
        <w:t xml:space="preserve">A </w:t>
      </w:r>
      <w:r w:rsidR="008C1D20">
        <w:rPr>
          <w:sz w:val="20"/>
        </w:rPr>
        <w:t>Services Australia</w:t>
      </w:r>
      <w:r w:rsidR="00FC34D5" w:rsidRPr="009A1334">
        <w:rPr>
          <w:sz w:val="20"/>
        </w:rPr>
        <w:t xml:space="preserve"> decision to apply a Financial P</w:t>
      </w:r>
      <w:r w:rsidR="006D2F9F" w:rsidRPr="009A1334">
        <w:rPr>
          <w:sz w:val="20"/>
        </w:rPr>
        <w:t>enalty is appealable under Social Security Law.</w:t>
      </w:r>
      <w:r w:rsidR="00125D90" w:rsidRPr="009A1334">
        <w:rPr>
          <w:sz w:val="20"/>
        </w:rPr>
        <w:t xml:space="preserve"> For further information, see the Glossary.</w:t>
      </w:r>
      <w:r w:rsidR="004E409B" w:rsidRPr="009A1334">
        <w:rPr>
          <w:sz w:val="20"/>
        </w:rPr>
        <w:t xml:space="preserve"> </w:t>
      </w:r>
    </w:p>
    <w:p w14:paraId="1BA8B3F1" w14:textId="5B1DDA40" w:rsidR="00A25F93" w:rsidRPr="009A1334" w:rsidRDefault="00AE2502" w:rsidP="009A1334">
      <w:pPr>
        <w:pStyle w:val="Basic"/>
        <w:rPr>
          <w:sz w:val="20"/>
        </w:rPr>
      </w:pPr>
      <w:r>
        <w:rPr>
          <w:sz w:val="20"/>
        </w:rPr>
        <w:t>Table 5</w:t>
      </w:r>
      <w:r w:rsidR="001A1716">
        <w:rPr>
          <w:sz w:val="20"/>
        </w:rPr>
        <w:t xml:space="preserve"> captures the total number of financial penalties applied over the period. Job Seekers/participants may have a penalty applied if they commit a</w:t>
      </w:r>
      <w:r w:rsidR="004E409B" w:rsidRPr="009A1334">
        <w:rPr>
          <w:sz w:val="20"/>
        </w:rPr>
        <w:t xml:space="preserve">: Failure to Attend or Misconduct at </w:t>
      </w:r>
      <w:r w:rsidR="00BB567E" w:rsidRPr="009A1334">
        <w:rPr>
          <w:sz w:val="20"/>
        </w:rPr>
        <w:t xml:space="preserve">a </w:t>
      </w:r>
      <w:r w:rsidR="004E409B" w:rsidRPr="009A1334">
        <w:rPr>
          <w:sz w:val="20"/>
        </w:rPr>
        <w:t>Provider Appointment; Failure to Attend or Misconduct at</w:t>
      </w:r>
      <w:r w:rsidR="00BB567E" w:rsidRPr="009A1334">
        <w:rPr>
          <w:sz w:val="20"/>
        </w:rPr>
        <w:t xml:space="preserve"> an</w:t>
      </w:r>
      <w:r w:rsidR="004E409B" w:rsidRPr="009A1334">
        <w:rPr>
          <w:sz w:val="20"/>
        </w:rPr>
        <w:t xml:space="preserve"> Activity; Failure to Attend or Misconduct at </w:t>
      </w:r>
      <w:r w:rsidR="00BB567E" w:rsidRPr="009A1334">
        <w:rPr>
          <w:sz w:val="20"/>
        </w:rPr>
        <w:t xml:space="preserve">a </w:t>
      </w:r>
      <w:r w:rsidR="004E409B" w:rsidRPr="009A1334">
        <w:rPr>
          <w:sz w:val="20"/>
        </w:rPr>
        <w:t xml:space="preserve">Third Party Appointment; Failure to Attend or Misconduct at </w:t>
      </w:r>
      <w:r w:rsidR="00BB567E" w:rsidRPr="009A1334">
        <w:rPr>
          <w:sz w:val="20"/>
        </w:rPr>
        <w:t xml:space="preserve">a </w:t>
      </w:r>
      <w:r w:rsidR="004E409B" w:rsidRPr="009A1334">
        <w:rPr>
          <w:sz w:val="20"/>
        </w:rPr>
        <w:t xml:space="preserve">Job Interview; Failure to Act on </w:t>
      </w:r>
      <w:r w:rsidR="00BB567E" w:rsidRPr="009A1334">
        <w:rPr>
          <w:sz w:val="20"/>
        </w:rPr>
        <w:t xml:space="preserve">a </w:t>
      </w:r>
      <w:r w:rsidR="004E409B" w:rsidRPr="009A1334">
        <w:rPr>
          <w:sz w:val="20"/>
        </w:rPr>
        <w:t>Job Referral;  Failure to Agree</w:t>
      </w:r>
      <w:r w:rsidR="00BB567E" w:rsidRPr="009A1334">
        <w:rPr>
          <w:sz w:val="20"/>
        </w:rPr>
        <w:t xml:space="preserve"> to a</w:t>
      </w:r>
      <w:r w:rsidR="004E409B" w:rsidRPr="009A1334">
        <w:rPr>
          <w:sz w:val="20"/>
        </w:rPr>
        <w:t xml:space="preserve"> Job Plan; Failure to Undertake Satisfactory Job Search Effort</w:t>
      </w:r>
      <w:r w:rsidR="00BB567E" w:rsidRPr="009A1334">
        <w:rPr>
          <w:sz w:val="20"/>
        </w:rPr>
        <w:t>s</w:t>
      </w:r>
      <w:r w:rsidR="004E409B" w:rsidRPr="009A1334">
        <w:rPr>
          <w:sz w:val="20"/>
        </w:rPr>
        <w:t xml:space="preserve">; Failure to Accept or Commence </w:t>
      </w:r>
      <w:r w:rsidR="00BB567E" w:rsidRPr="009A1334">
        <w:rPr>
          <w:sz w:val="20"/>
        </w:rPr>
        <w:t xml:space="preserve">a </w:t>
      </w:r>
      <w:r w:rsidR="004E409B" w:rsidRPr="009A1334">
        <w:rPr>
          <w:sz w:val="20"/>
        </w:rPr>
        <w:t>Suitable Job; and Voluntary Unemployment or Dismissal Due to Misconduct.</w:t>
      </w:r>
    </w:p>
    <w:p w14:paraId="320BED88" w14:textId="67111714" w:rsidR="0039456A" w:rsidRDefault="0039456A" w:rsidP="009A1334">
      <w:pPr>
        <w:pStyle w:val="qualifiers"/>
      </w:pPr>
      <w:r>
        <w:t>* A</w:t>
      </w:r>
      <w:r w:rsidRPr="00131B0A">
        <w:t xml:space="preserve"> first </w:t>
      </w:r>
      <w:r>
        <w:t>Mutual Obligation F</w:t>
      </w:r>
      <w:r w:rsidRPr="00131B0A">
        <w:t>ailure in t</w:t>
      </w:r>
      <w:r>
        <w:t xml:space="preserve">he Penalty Zone </w:t>
      </w:r>
      <w:r w:rsidRPr="00466E07">
        <w:t xml:space="preserve">confirmed by </w:t>
      </w:r>
      <w:r w:rsidR="008C1D20">
        <w:t>Services Australia</w:t>
      </w:r>
      <w:r w:rsidRPr="00466E07">
        <w:t xml:space="preserve"> following investigation</w:t>
      </w:r>
      <w:r>
        <w:t xml:space="preserve"> will see the job seeker/participant lose half of their fortnightly payment (i.e. one week’s payment). A second Failure </w:t>
      </w:r>
      <w:r w:rsidRPr="00131B0A">
        <w:t xml:space="preserve">will </w:t>
      </w:r>
      <w:r>
        <w:t>result in loss of their entire fortnightly payment (i.e. two weeks</w:t>
      </w:r>
      <w:r w:rsidR="003E3458">
        <w:t>’</w:t>
      </w:r>
      <w:r>
        <w:t xml:space="preserve"> payment), and a</w:t>
      </w:r>
      <w:r w:rsidRPr="00131B0A">
        <w:t xml:space="preserve"> thir</w:t>
      </w:r>
      <w:r>
        <w:t>d Fail</w:t>
      </w:r>
      <w:r w:rsidR="003E3458">
        <w:t>ure will result in a four</w:t>
      </w:r>
      <w:r w:rsidR="003E3458">
        <w:noBreakHyphen/>
        <w:t xml:space="preserve">week </w:t>
      </w:r>
      <w:r>
        <w:t>Non</w:t>
      </w:r>
      <w:r w:rsidR="003E3458">
        <w:noBreakHyphen/>
      </w:r>
      <w:r>
        <w:t>Payment/Preclusion P</w:t>
      </w:r>
      <w:r w:rsidRPr="00131B0A">
        <w:t>eriod.</w:t>
      </w:r>
    </w:p>
    <w:p w14:paraId="6C60E540" w14:textId="322701E7" w:rsidR="00B874DC" w:rsidRDefault="003E3458" w:rsidP="00167BFB">
      <w:pPr>
        <w:pStyle w:val="note"/>
      </w:pPr>
      <w:r w:rsidRPr="003E3458">
        <w:rPr>
          <w:b/>
        </w:rPr>
        <w:t>Note:</w:t>
      </w:r>
      <w:r>
        <w:t xml:space="preserve"> further i</w:t>
      </w:r>
      <w:r w:rsidR="0039456A" w:rsidRPr="0039456A">
        <w:t>nformation on Financial Penalties is available in the Glossary.</w:t>
      </w:r>
    </w:p>
    <w:p w14:paraId="2FB31FB9" w14:textId="77777777" w:rsidR="001D3644" w:rsidRDefault="001D3644">
      <w:pPr>
        <w:rPr>
          <w:rFonts w:ascii="Calibri" w:eastAsiaTheme="majorEastAsia" w:hAnsi="Calibri" w:cstheme="majorBidi"/>
          <w:b/>
          <w:bCs/>
          <w:szCs w:val="26"/>
        </w:rPr>
      </w:pPr>
      <w:r>
        <w:br w:type="page"/>
      </w:r>
    </w:p>
    <w:p w14:paraId="04514F51" w14:textId="374A74BC" w:rsidR="00543F02" w:rsidRDefault="00543F02" w:rsidP="00B874DC">
      <w:pPr>
        <w:pStyle w:val="Heading2"/>
      </w:pPr>
      <w:bookmarkStart w:id="14" w:name="_Toc72324867"/>
      <w:r>
        <w:lastRenderedPageBreak/>
        <w:t xml:space="preserve">Table 6: Summary of Financial Penalties due to Work Refusal or Unemployment Failures applied by </w:t>
      </w:r>
      <w:r w:rsidR="008C1D20">
        <w:t>Services Australia</w:t>
      </w:r>
      <w:r>
        <w:t xml:space="preserve"> across jobactive</w:t>
      </w:r>
      <w:r w:rsidR="001D3644">
        <w:t xml:space="preserve"> including Digital</w:t>
      </w:r>
      <w:r>
        <w:t xml:space="preserve"> and Disability Employment Services Programs—1 </w:t>
      </w:r>
      <w:r w:rsidR="003D2322">
        <w:t>July</w:t>
      </w:r>
      <w:r w:rsidR="000A1D24">
        <w:t xml:space="preserve"> 2020 to 3</w:t>
      </w:r>
      <w:r w:rsidR="003D2322">
        <w:t xml:space="preserve">1 December </w:t>
      </w:r>
      <w:r w:rsidR="000A1D24">
        <w:t>2020</w:t>
      </w:r>
      <w:bookmarkEnd w:id="14"/>
    </w:p>
    <w:tbl>
      <w:tblPr>
        <w:tblStyle w:val="TableGrid"/>
        <w:tblW w:w="0" w:type="auto"/>
        <w:tblLook w:val="04A0" w:firstRow="1" w:lastRow="0" w:firstColumn="1" w:lastColumn="0" w:noHBand="0" w:noVBand="1"/>
      </w:tblPr>
      <w:tblGrid>
        <w:gridCol w:w="6928"/>
        <w:gridCol w:w="6929"/>
      </w:tblGrid>
      <w:tr w:rsidR="00543F02" w14:paraId="51B4563B" w14:textId="77777777" w:rsidTr="00543F02">
        <w:tc>
          <w:tcPr>
            <w:tcW w:w="6928" w:type="dxa"/>
          </w:tcPr>
          <w:p w14:paraId="176AF431" w14:textId="2F9A4AAF" w:rsidR="00543F02" w:rsidRDefault="00EF0518" w:rsidP="00B874DC">
            <w:pPr>
              <w:pStyle w:val="Tableheader"/>
            </w:pPr>
            <w:r>
              <w:t>Financial Penalties for Work Refusal Failures</w:t>
            </w:r>
          </w:p>
        </w:tc>
        <w:tc>
          <w:tcPr>
            <w:tcW w:w="6929" w:type="dxa"/>
          </w:tcPr>
          <w:p w14:paraId="7D26B9D7" w14:textId="3160A604" w:rsidR="00543F02" w:rsidRDefault="00EF0518" w:rsidP="00B874DC">
            <w:pPr>
              <w:pStyle w:val="Tableheader"/>
            </w:pPr>
            <w:r>
              <w:t>Financial Penalties for Unemployment Failures</w:t>
            </w:r>
          </w:p>
        </w:tc>
      </w:tr>
      <w:tr w:rsidR="00543F02" w14:paraId="26AC0195" w14:textId="77777777" w:rsidTr="00543F02">
        <w:tc>
          <w:tcPr>
            <w:tcW w:w="6928" w:type="dxa"/>
          </w:tcPr>
          <w:p w14:paraId="0E5CE948" w14:textId="46A97705" w:rsidR="00543F02" w:rsidRPr="00B874DC" w:rsidRDefault="006F627C" w:rsidP="00B874DC">
            <w:pPr>
              <w:pStyle w:val="tabletext"/>
              <w:jc w:val="center"/>
            </w:pPr>
            <w:r>
              <w:t>355</w:t>
            </w:r>
          </w:p>
        </w:tc>
        <w:tc>
          <w:tcPr>
            <w:tcW w:w="6929" w:type="dxa"/>
          </w:tcPr>
          <w:p w14:paraId="1D6E2C73" w14:textId="03772920" w:rsidR="00543F02" w:rsidRPr="00B874DC" w:rsidRDefault="006F627C" w:rsidP="00B874DC">
            <w:pPr>
              <w:pStyle w:val="tabletext"/>
              <w:jc w:val="center"/>
            </w:pPr>
            <w:r>
              <w:t>243</w:t>
            </w:r>
          </w:p>
        </w:tc>
      </w:tr>
    </w:tbl>
    <w:p w14:paraId="6A2864B8" w14:textId="53E0EAF0" w:rsidR="000E1E09" w:rsidRDefault="000E1E09" w:rsidP="000E1E09">
      <w:pPr>
        <w:pStyle w:val="FootnoteText"/>
      </w:pPr>
      <w:r w:rsidRPr="00131B0A">
        <w:t>Job seekers</w:t>
      </w:r>
      <w:r>
        <w:t>/participants (in any Z</w:t>
      </w:r>
      <w:r w:rsidRPr="00131B0A">
        <w:t xml:space="preserve">one) who </w:t>
      </w:r>
      <w:r>
        <w:t xml:space="preserve">are found </w:t>
      </w:r>
      <w:r w:rsidRPr="00466E07">
        <w:t xml:space="preserve">by </w:t>
      </w:r>
      <w:r w:rsidR="008C1D20">
        <w:t>Services Australia</w:t>
      </w:r>
      <w:r w:rsidRPr="00466E07">
        <w:t xml:space="preserve"> to have</w:t>
      </w:r>
      <w:r>
        <w:t xml:space="preserve"> committed a Work Refusal Failure (i.e. Fail to Accept a Suitable Job or Fail to Commence a Suitable J</w:t>
      </w:r>
      <w:r w:rsidRPr="00131B0A">
        <w:t>ob)</w:t>
      </w:r>
      <w:r>
        <w:t xml:space="preserve"> </w:t>
      </w:r>
      <w:r w:rsidRPr="00131B0A">
        <w:t>or</w:t>
      </w:r>
      <w:r>
        <w:t xml:space="preserve"> an Unemployment Failure (i.e. Voluntarily Leave a Suitable J</w:t>
      </w:r>
      <w:r w:rsidRPr="00131B0A">
        <w:t xml:space="preserve">ob, or </w:t>
      </w:r>
      <w:r>
        <w:t>are Dismissed from a Suitable Job due to M</w:t>
      </w:r>
      <w:r w:rsidRPr="00131B0A">
        <w:t xml:space="preserve">isconduct) will incur a </w:t>
      </w:r>
      <w:r>
        <w:t>Financial P</w:t>
      </w:r>
      <w:r w:rsidRPr="00131B0A">
        <w:t>enal</w:t>
      </w:r>
      <w:r>
        <w:t>ty in the form of having their Income S</w:t>
      </w:r>
      <w:r w:rsidRPr="00131B0A">
        <w:t>upport cancelled and being subj</w:t>
      </w:r>
      <w:r>
        <w:t>ect to a (generally four-week) Non-Payment/Preclusion P</w:t>
      </w:r>
      <w:r w:rsidRPr="00131B0A">
        <w:t>eriod.</w:t>
      </w:r>
    </w:p>
    <w:p w14:paraId="2AACD298" w14:textId="2421B07C" w:rsidR="000E1E09" w:rsidRPr="00B72231" w:rsidRDefault="000E1E09" w:rsidP="000E1E09">
      <w:pPr>
        <w:pStyle w:val="FootnoteText"/>
        <w:rPr>
          <w:i/>
        </w:rPr>
      </w:pPr>
    </w:p>
    <w:p w14:paraId="50C80BFD" w14:textId="77777777" w:rsidR="00756257" w:rsidRPr="009A488E" w:rsidRDefault="00756257" w:rsidP="004A13D6">
      <w:pPr>
        <w:pStyle w:val="Heading1"/>
        <w:rPr>
          <w:rFonts w:eastAsia="Calibri" w:cs="Times New Roman"/>
          <w:sz w:val="20"/>
          <w:szCs w:val="20"/>
        </w:rPr>
      </w:pPr>
      <w:bookmarkStart w:id="15" w:name="_Toc72324868"/>
      <w:r>
        <w:t>Glossary</w:t>
      </w:r>
      <w:bookmarkEnd w:id="15"/>
    </w:p>
    <w:p w14:paraId="2580D5EF" w14:textId="62EA6B2E" w:rsidR="008C32DA" w:rsidRDefault="00756257" w:rsidP="003E3458">
      <w:pPr>
        <w:pStyle w:val="Basic"/>
      </w:pPr>
      <w:r>
        <w:rPr>
          <w:b/>
        </w:rPr>
        <w:t>Active Months</w:t>
      </w:r>
      <w:r w:rsidR="009A1334">
        <w:rPr>
          <w:b/>
        </w:rPr>
        <w:t>—</w:t>
      </w:r>
      <w:r w:rsidRPr="00816439">
        <w:t xml:space="preserve">The calculation of active months is prescribed by the </w:t>
      </w:r>
      <w:hyperlink r:id="rId16" w:history="1">
        <w:r w:rsidRPr="009A1334">
          <w:rPr>
            <w:rStyle w:val="Hyperlink"/>
            <w:i/>
            <w:szCs w:val="20"/>
          </w:rPr>
          <w:t>Social Security (Administration) (Non-Compliance) Determination 2018 (No. 1)</w:t>
        </w:r>
      </w:hyperlink>
      <w:r w:rsidRPr="005C0F87">
        <w:t xml:space="preserve">. </w:t>
      </w:r>
      <w:r w:rsidRPr="00816439">
        <w:t>Three active months (whic</w:t>
      </w:r>
      <w:r w:rsidR="00623F43">
        <w:t>h is the time since their last F</w:t>
      </w:r>
      <w:r w:rsidRPr="00816439">
        <w:t>ailure that a person remai</w:t>
      </w:r>
      <w:r>
        <w:t>ns in the Penalty Zone</w:t>
      </w:r>
      <w:r w:rsidRPr="00816439">
        <w:t>) is defined as 91 days. Six active mont</w:t>
      </w:r>
      <w:r w:rsidR="00996CAE">
        <w:t>hs (the length of time until a D</w:t>
      </w:r>
      <w:r w:rsidRPr="00816439">
        <w:t>emerit expires) is defined as 182 days.</w:t>
      </w:r>
      <w:r w:rsidR="00996CAE">
        <w:t xml:space="preserve"> For both periods, exemptions, Non-P</w:t>
      </w:r>
      <w:r w:rsidRPr="00816439">
        <w:t>ayment</w:t>
      </w:r>
      <w:r w:rsidR="00996CAE">
        <w:t>/P</w:t>
      </w:r>
      <w:r w:rsidR="008C32DA">
        <w:t>reclusion</w:t>
      </w:r>
      <w:r w:rsidR="00996CAE">
        <w:t xml:space="preserve"> P</w:t>
      </w:r>
      <w:r w:rsidRPr="00816439">
        <w:t xml:space="preserve">eriods due to non-compliance, and the time between a referral to a </w:t>
      </w:r>
      <w:r w:rsidR="008C32DA">
        <w:t>C</w:t>
      </w:r>
      <w:r w:rsidRPr="00816439">
        <w:t xml:space="preserve">apability </w:t>
      </w:r>
      <w:r w:rsidR="008C32DA">
        <w:t>A</w:t>
      </w:r>
      <w:r w:rsidRPr="00816439">
        <w:t>ssessment and its completion do not count towards active months</w:t>
      </w:r>
      <w:r w:rsidR="008C32DA">
        <w:t xml:space="preserve"> (</w:t>
      </w:r>
      <w:r w:rsidR="008C32DA" w:rsidRPr="00816439">
        <w:t>because during these periods job seekers</w:t>
      </w:r>
      <w:r w:rsidR="000439BF">
        <w:t>/participants</w:t>
      </w:r>
      <w:r w:rsidR="008C32DA" w:rsidRPr="00816439">
        <w:t xml:space="preserve"> are not demonstrating compliance</w:t>
      </w:r>
      <w:r w:rsidR="008C32DA">
        <w:t>)</w:t>
      </w:r>
      <w:r w:rsidRPr="00816439">
        <w:t>, and may prolong the time it takes for the active</w:t>
      </w:r>
      <w:r>
        <w:t xml:space="preserve"> months to pass. However, both three and six</w:t>
      </w:r>
      <w:r w:rsidRPr="00816439">
        <w:t xml:space="preserve"> active</w:t>
      </w:r>
      <w:r>
        <w:t xml:space="preserve"> months cannot be longer than </w:t>
      </w:r>
      <w:r w:rsidR="00B51F82">
        <w:t>12</w:t>
      </w:r>
      <w:r w:rsidRPr="00816439">
        <w:t xml:space="preserve"> calendar months.</w:t>
      </w:r>
      <w:r w:rsidR="008C32DA" w:rsidRPr="008C32DA">
        <w:t xml:space="preserve"> </w:t>
      </w:r>
    </w:p>
    <w:p w14:paraId="2B5F19A3" w14:textId="649D66D1" w:rsidR="007A4107" w:rsidRDefault="007A4107" w:rsidP="003E3458">
      <w:pPr>
        <w:pStyle w:val="Basic"/>
        <w:spacing w:before="240"/>
      </w:pPr>
      <w:r>
        <w:rPr>
          <w:b/>
        </w:rPr>
        <w:t>Capability Assessment (reasons)</w:t>
      </w:r>
      <w:r w:rsidR="009A1334">
        <w:rPr>
          <w:b/>
        </w:rPr>
        <w:t>—</w:t>
      </w:r>
      <w:r w:rsidR="003E1BF1">
        <w:t xml:space="preserve">A Capability Assessment will be </w:t>
      </w:r>
      <w:r>
        <w:t>triggered when: (</w:t>
      </w:r>
      <w:proofErr w:type="spellStart"/>
      <w:r>
        <w:t>i</w:t>
      </w:r>
      <w:proofErr w:type="spellEnd"/>
      <w:r>
        <w:t xml:space="preserve">) </w:t>
      </w:r>
      <w:r w:rsidRPr="00CE5FFA">
        <w:t>a job seeker</w:t>
      </w:r>
      <w:r>
        <w:t xml:space="preserve">/participant accrues five Demerits in six active </w:t>
      </w:r>
      <w:r w:rsidRPr="00CE5FFA">
        <w:t>month</w:t>
      </w:r>
      <w:r>
        <w:t>s</w:t>
      </w:r>
      <w:r w:rsidRPr="00CE5FFA">
        <w:t>, and has been found cap</w:t>
      </w:r>
      <w:r>
        <w:t>able of meeting their Job Plan R</w:t>
      </w:r>
      <w:r w:rsidRPr="00CE5FFA">
        <w:t>equirements at t</w:t>
      </w:r>
      <w:r>
        <w:t xml:space="preserve">heir Capability Interview; or (ii) </w:t>
      </w:r>
      <w:r w:rsidRPr="00CE5FFA">
        <w:t>has been fast tracked to the equivalent point following non</w:t>
      </w:r>
      <w:r w:rsidR="002F52C6">
        <w:noBreakHyphen/>
      </w:r>
      <w:r w:rsidRPr="00CE5FFA">
        <w:t>attendance or inappropriate behaviour at a Job Interview or not acting on a Job Referral, and has already had a Capability Interview and was found cap</w:t>
      </w:r>
      <w:r>
        <w:t>able of meeting their Job Plan R</w:t>
      </w:r>
      <w:r w:rsidRPr="00CE5FFA">
        <w:t>equirements.</w:t>
      </w:r>
      <w:r>
        <w:t xml:space="preserve"> </w:t>
      </w:r>
      <w:r w:rsidRPr="00CE5FFA">
        <w:t>Once a job seeker</w:t>
      </w:r>
      <w:r>
        <w:t>/participant</w:t>
      </w:r>
      <w:r w:rsidRPr="00CE5FFA">
        <w:t xml:space="preserve"> has reached this point, their Provider will set</w:t>
      </w:r>
      <w:r>
        <w:t xml:space="preserve"> a Capability Assessment as the </w:t>
      </w:r>
      <w:r w:rsidRPr="00CE5FFA">
        <w:t>Re</w:t>
      </w:r>
      <w:r w:rsidR="002F52C6">
        <w:noBreakHyphen/>
      </w:r>
      <w:r w:rsidRPr="00CE5FFA">
        <w:t>engagement Requirement. The Provider must verbally notify the job seeker</w:t>
      </w:r>
      <w:r>
        <w:t>/participant of this R</w:t>
      </w:r>
      <w:r w:rsidRPr="00CE5FFA">
        <w:t>equirement. They will also infor</w:t>
      </w:r>
      <w:r>
        <w:t xml:space="preserve">m them </w:t>
      </w:r>
      <w:r w:rsidRPr="00CE5FFA">
        <w:t xml:space="preserve">that they will need to contact </w:t>
      </w:r>
      <w:r w:rsidR="008C1D20">
        <w:t>Services Australia</w:t>
      </w:r>
      <w:r w:rsidRPr="00CE5FFA">
        <w:t xml:space="preserve"> to participate as soon as possible</w:t>
      </w:r>
      <w:r>
        <w:t>,</w:t>
      </w:r>
      <w:r w:rsidRPr="00CE5FFA">
        <w:t xml:space="preserve"> and that their payment will </w:t>
      </w:r>
      <w:r>
        <w:t xml:space="preserve">remain suspended until they do. </w:t>
      </w:r>
      <w:r w:rsidRPr="00CE5FFA">
        <w:t>Job seekers</w:t>
      </w:r>
      <w:r>
        <w:t>/participants</w:t>
      </w:r>
      <w:r w:rsidRPr="00CE5FFA">
        <w:t xml:space="preserve"> will not accrue any further Demerits until they have had their Capability Assessment.</w:t>
      </w:r>
    </w:p>
    <w:p w14:paraId="65A5EBE9" w14:textId="51830ACD" w:rsidR="007A4107" w:rsidRDefault="007A4107" w:rsidP="003E3458">
      <w:pPr>
        <w:pStyle w:val="Basic"/>
        <w:spacing w:before="240"/>
      </w:pPr>
      <w:r>
        <w:rPr>
          <w:b/>
        </w:rPr>
        <w:t>Capability Assessment (process)</w:t>
      </w:r>
      <w:r w:rsidR="009A1334">
        <w:rPr>
          <w:b/>
        </w:rPr>
        <w:t>—</w:t>
      </w:r>
      <w:r w:rsidRPr="00BB0702">
        <w:t>The Capability Assessment will determ</w:t>
      </w:r>
      <w:r>
        <w:t>ine whether a job seeker/participant will: (</w:t>
      </w:r>
      <w:proofErr w:type="spellStart"/>
      <w:r>
        <w:t>i</w:t>
      </w:r>
      <w:proofErr w:type="spellEnd"/>
      <w:r>
        <w:t>) move into the Penalty Zone</w:t>
      </w:r>
      <w:r w:rsidR="009A1334">
        <w:t>—</w:t>
      </w:r>
      <w:r>
        <w:t>if their Job Plan R</w:t>
      </w:r>
      <w:r w:rsidRPr="00BB0702">
        <w:t xml:space="preserve">equirements are appropriate for their circumstances and they are capable of successfully </w:t>
      </w:r>
      <w:r>
        <w:t>meeting all Requirements; or (ii) be returned to the Green Zone. During</w:t>
      </w:r>
      <w:r w:rsidRPr="00BB0702">
        <w:t xml:space="preserve"> the</w:t>
      </w:r>
      <w:r>
        <w:t xml:space="preserve"> Capability Assessment, </w:t>
      </w:r>
      <w:r w:rsidR="008C1D20">
        <w:t>Services Australia</w:t>
      </w:r>
      <w:r>
        <w:t xml:space="preserve"> will review</w:t>
      </w:r>
      <w:r w:rsidR="003E1BF1">
        <w:t xml:space="preserve"> the</w:t>
      </w:r>
      <w:r w:rsidRPr="00BB0702">
        <w:t xml:space="preserve"> job </w:t>
      </w:r>
      <w:r w:rsidRPr="00E97D2A">
        <w:t>seeker’s</w:t>
      </w:r>
      <w:r w:rsidR="00E97D2A" w:rsidRPr="00E97D2A">
        <w:t>/participant’s</w:t>
      </w:r>
      <w:r w:rsidRPr="00BB0702">
        <w:t xml:space="preserve"> Capability Interview and the inf</w:t>
      </w:r>
      <w:r>
        <w:t>ormation the</w:t>
      </w:r>
      <w:r w:rsidR="003E1BF1">
        <w:t>ir</w:t>
      </w:r>
      <w:r>
        <w:t xml:space="preserve"> Provider recorded;</w:t>
      </w:r>
      <w:r w:rsidRPr="00BB0702">
        <w:t xml:space="preserve"> the </w:t>
      </w:r>
      <w:r>
        <w:t xml:space="preserve">current Job Plan; </w:t>
      </w:r>
      <w:r w:rsidRPr="00BB0702">
        <w:t xml:space="preserve">the Capability Management </w:t>
      </w:r>
      <w:r>
        <w:t xml:space="preserve">Tool and the barrier statuses; and the </w:t>
      </w:r>
      <w:r w:rsidR="005F677C" w:rsidRPr="005F677C">
        <w:t>Job Seeker Classification Instrument (JSCI)</w:t>
      </w:r>
      <w:r w:rsidRPr="00BB0702">
        <w:t>.</w:t>
      </w:r>
      <w:r>
        <w:t xml:space="preserve"> </w:t>
      </w:r>
      <w:r w:rsidR="008C1D20">
        <w:t>Services Australia</w:t>
      </w:r>
      <w:r w:rsidRPr="00BB0702">
        <w:t xml:space="preserve"> will notify Providers of Capability Assessment outc</w:t>
      </w:r>
      <w:r>
        <w:t>omes, and will provide</w:t>
      </w:r>
      <w:r w:rsidRPr="00BB0702">
        <w:t xml:space="preserve"> information about what</w:t>
      </w:r>
      <w:r>
        <w:t xml:space="preserve"> may need to be updated in the</w:t>
      </w:r>
      <w:r w:rsidRPr="00BB0702">
        <w:t xml:space="preserve"> Job Plan</w:t>
      </w:r>
      <w:r>
        <w:t xml:space="preserve">, as well as </w:t>
      </w:r>
      <w:r w:rsidRPr="00BB0702">
        <w:t>any other personal information about the job seeker</w:t>
      </w:r>
      <w:r>
        <w:t>/participant</w:t>
      </w:r>
      <w:r w:rsidRPr="00BB0702">
        <w:t xml:space="preserve"> relev</w:t>
      </w:r>
      <w:r>
        <w:t>ant to their ongoing servicing</w:t>
      </w:r>
      <w:r w:rsidR="009A1334">
        <w:t>—</w:t>
      </w:r>
      <w:r>
        <w:t xml:space="preserve">further information on specific Capability Assessment outcomes is below. </w:t>
      </w:r>
    </w:p>
    <w:p w14:paraId="36251468" w14:textId="06158AD9" w:rsidR="007A4107" w:rsidRDefault="007A4107" w:rsidP="003E3458">
      <w:pPr>
        <w:pStyle w:val="Basic"/>
        <w:spacing w:before="240"/>
      </w:pPr>
      <w:r>
        <w:rPr>
          <w:b/>
        </w:rPr>
        <w:lastRenderedPageBreak/>
        <w:t>Capability Assessment (outcome</w:t>
      </w:r>
      <w:r w:rsidR="009A1334">
        <w:rPr>
          <w:b/>
        </w:rPr>
        <w:t>—</w:t>
      </w:r>
      <w:r>
        <w:rPr>
          <w:b/>
        </w:rPr>
        <w:t>C</w:t>
      </w:r>
      <w:r w:rsidRPr="008A7655">
        <w:rPr>
          <w:b/>
        </w:rPr>
        <w:t>apable</w:t>
      </w:r>
      <w:r>
        <w:rPr>
          <w:b/>
        </w:rPr>
        <w:t>)</w:t>
      </w:r>
      <w:r w:rsidR="009A1334">
        <w:rPr>
          <w:b/>
        </w:rPr>
        <w:t>—</w:t>
      </w:r>
      <w:r>
        <w:t>The j</w:t>
      </w:r>
      <w:r w:rsidRPr="008A7655">
        <w:t>ob seeker</w:t>
      </w:r>
      <w:r>
        <w:t xml:space="preserve">/participant </w:t>
      </w:r>
      <w:proofErr w:type="gramStart"/>
      <w:r>
        <w:t>is capable of meeting</w:t>
      </w:r>
      <w:proofErr w:type="gramEnd"/>
      <w:r>
        <w:t xml:space="preserve"> their R</w:t>
      </w:r>
      <w:r w:rsidRPr="008A7655">
        <w:t>equirements</w:t>
      </w:r>
      <w:r w:rsidR="000F2EAE">
        <w:t>.</w:t>
      </w:r>
      <w:r w:rsidRPr="008A7655">
        <w:t xml:space="preserve"> The job seeker</w:t>
      </w:r>
      <w:r>
        <w:t>/participant</w:t>
      </w:r>
      <w:r w:rsidRPr="008A7655">
        <w:t xml:space="preserve"> will </w:t>
      </w:r>
      <w:r>
        <w:t>enter the Penalty Zone</w:t>
      </w:r>
      <w:r w:rsidRPr="008A7655">
        <w:t>.</w:t>
      </w:r>
    </w:p>
    <w:p w14:paraId="7D495B9E" w14:textId="555C31F7" w:rsidR="007A4107" w:rsidRPr="009C4EE5" w:rsidRDefault="007A4107" w:rsidP="003E3458">
      <w:pPr>
        <w:pStyle w:val="Basic"/>
        <w:spacing w:before="240"/>
      </w:pPr>
      <w:r>
        <w:rPr>
          <w:b/>
        </w:rPr>
        <w:t>Capability Assessment</w:t>
      </w:r>
      <w:r w:rsidRPr="008A7655">
        <w:rPr>
          <w:b/>
        </w:rPr>
        <w:t xml:space="preserve"> (outcome</w:t>
      </w:r>
      <w:r w:rsidR="009A1334">
        <w:rPr>
          <w:b/>
        </w:rPr>
        <w:t>—</w:t>
      </w:r>
      <w:r>
        <w:rPr>
          <w:b/>
        </w:rPr>
        <w:t>Not capable</w:t>
      </w:r>
      <w:r w:rsidRPr="008A7655">
        <w:rPr>
          <w:b/>
        </w:rPr>
        <w:t>)</w:t>
      </w:r>
      <w:r w:rsidR="009A1334">
        <w:rPr>
          <w:b/>
        </w:rPr>
        <w:t>—</w:t>
      </w:r>
      <w:r w:rsidRPr="008A7655">
        <w:t xml:space="preserve">The </w:t>
      </w:r>
      <w:r>
        <w:t>j</w:t>
      </w:r>
      <w:r w:rsidRPr="008A7655">
        <w:t>ob seeker</w:t>
      </w:r>
      <w:r>
        <w:t>/participant</w:t>
      </w:r>
      <w:r w:rsidRPr="008A7655">
        <w:t xml:space="preserve"> is</w:t>
      </w:r>
      <w:r>
        <w:t xml:space="preserve"> not capable of meeting their R</w:t>
      </w:r>
      <w:r w:rsidRPr="008A7655">
        <w:t>equirements.</w:t>
      </w:r>
      <w:r>
        <w:t xml:space="preserve"> </w:t>
      </w:r>
      <w:r w:rsidRPr="008A7655">
        <w:t xml:space="preserve">Demerits </w:t>
      </w:r>
      <w:r>
        <w:t xml:space="preserve">will be </w:t>
      </w:r>
      <w:r w:rsidRPr="008A7655">
        <w:t>reset to zero and</w:t>
      </w:r>
      <w:r>
        <w:t xml:space="preserve"> they will return to the Green Zone.</w:t>
      </w:r>
    </w:p>
    <w:p w14:paraId="024CBD81" w14:textId="5F47E949" w:rsidR="00756257" w:rsidRPr="00C71531" w:rsidRDefault="00756257" w:rsidP="003E3458">
      <w:pPr>
        <w:pStyle w:val="Basic"/>
        <w:spacing w:before="240"/>
      </w:pPr>
      <w:r>
        <w:rPr>
          <w:b/>
        </w:rPr>
        <w:t>Capability Interview (reasons)</w:t>
      </w:r>
      <w:r w:rsidR="009A1334">
        <w:rPr>
          <w:b/>
        </w:rPr>
        <w:t>—</w:t>
      </w:r>
      <w:r>
        <w:t>A Capability Interview will be triggered when: (</w:t>
      </w:r>
      <w:proofErr w:type="spellStart"/>
      <w:r>
        <w:t>i</w:t>
      </w:r>
      <w:proofErr w:type="spellEnd"/>
      <w:r>
        <w:t>) a</w:t>
      </w:r>
      <w:r w:rsidRPr="00C71531">
        <w:t xml:space="preserve"> job seeker</w:t>
      </w:r>
      <w:r w:rsidR="00410493">
        <w:t>/participant</w:t>
      </w:r>
      <w:r w:rsidRPr="00C71531">
        <w:t xml:space="preserve"> accrues three</w:t>
      </w:r>
      <w:r>
        <w:t xml:space="preserve"> Demerits in a six</w:t>
      </w:r>
      <w:r w:rsidR="008C32DA">
        <w:t xml:space="preserve"> active </w:t>
      </w:r>
      <w:r>
        <w:t>month period; or (ii) a</w:t>
      </w:r>
      <w:r w:rsidRPr="00C71531">
        <w:t xml:space="preserve"> job seeker</w:t>
      </w:r>
      <w:r w:rsidR="00410493">
        <w:t>/participant</w:t>
      </w:r>
      <w:r w:rsidRPr="00C71531">
        <w:t xml:space="preserve"> does not attend or behave appropriately at a Job Interview, or fails to act on a Job Referral, and has not yet had a Capability Interview</w:t>
      </w:r>
      <w:r>
        <w:t xml:space="preserve"> (i.e. </w:t>
      </w:r>
      <w:r w:rsidR="00690A17">
        <w:t xml:space="preserve">they are </w:t>
      </w:r>
      <w:r>
        <w:t>fast-tracked)</w:t>
      </w:r>
      <w:r w:rsidRPr="00C71531">
        <w:t>.</w:t>
      </w:r>
      <w:r>
        <w:t xml:space="preserve"> </w:t>
      </w:r>
      <w:r w:rsidRPr="00C71531">
        <w:t>After a Capability Interview has been triggered, the</w:t>
      </w:r>
      <w:r>
        <w:t xml:space="preserve"> </w:t>
      </w:r>
      <w:r w:rsidRPr="00C71531">
        <w:t>Provider must book it to occur in the next two Business Days.</w:t>
      </w:r>
      <w:r>
        <w:t xml:space="preserve"> Where it</w:t>
      </w:r>
      <w:r w:rsidRPr="00C71531">
        <w:t xml:space="preserve"> cannot be booked within the next two Business Days due to job seeker</w:t>
      </w:r>
      <w:r w:rsidR="00410493">
        <w:t>/participant</w:t>
      </w:r>
      <w:r w:rsidRPr="00C71531">
        <w:t xml:space="preserve"> or external circumstances, the Provider must conduct it</w:t>
      </w:r>
      <w:r>
        <w:t xml:space="preserve"> </w:t>
      </w:r>
      <w:r w:rsidRPr="00C71531">
        <w:t>wi</w:t>
      </w:r>
      <w:r>
        <w:t xml:space="preserve">thin the next 14 Business Days. </w:t>
      </w:r>
    </w:p>
    <w:p w14:paraId="2F882A5A" w14:textId="38AE4557" w:rsidR="00756257" w:rsidRPr="00166348" w:rsidRDefault="00756257" w:rsidP="003E3458">
      <w:pPr>
        <w:pStyle w:val="Basic"/>
        <w:spacing w:before="240"/>
      </w:pPr>
      <w:r>
        <w:rPr>
          <w:b/>
        </w:rPr>
        <w:t>Capability Interview (process)</w:t>
      </w:r>
      <w:r w:rsidR="009A1334">
        <w:rPr>
          <w:b/>
        </w:rPr>
        <w:t>—</w:t>
      </w:r>
      <w:r w:rsidRPr="00C71531">
        <w:t>The Prov</w:t>
      </w:r>
      <w:r>
        <w:t>ider must deliver the</w:t>
      </w:r>
      <w:r w:rsidRPr="00C71531">
        <w:t xml:space="preserve"> Capability Interview </w:t>
      </w:r>
      <w:r>
        <w:t>face-to-face with the job seeker</w:t>
      </w:r>
      <w:r w:rsidR="00410493">
        <w:t>/participant</w:t>
      </w:r>
      <w:r>
        <w:t>, unless circumstances exist</w:t>
      </w:r>
      <w:r w:rsidRPr="00C71531">
        <w:t xml:space="preserve"> which mean it is allowable to conduct it over the phone or via video conference.</w:t>
      </w:r>
      <w:r>
        <w:t xml:space="preserve"> </w:t>
      </w:r>
      <w:r w:rsidRPr="00166348">
        <w:rPr>
          <w:i/>
        </w:rPr>
        <w:t>Prior to</w:t>
      </w:r>
      <w:r w:rsidRPr="00166348">
        <w:t xml:space="preserve"> the Capability Interview, the Provider </w:t>
      </w:r>
      <w:r>
        <w:t xml:space="preserve">will review the Job Plan, Job Seeker Summary and Job Seeker Classification Instrument (JSCI) information on the Department’s IT system and record information about the appropriateness of the Job Plan on the system. </w:t>
      </w:r>
      <w:r w:rsidRPr="00166348">
        <w:rPr>
          <w:i/>
        </w:rPr>
        <w:t>During the</w:t>
      </w:r>
      <w:r w:rsidRPr="005A4ECA">
        <w:t xml:space="preserve"> Capability Interview, the Provider and j</w:t>
      </w:r>
      <w:r>
        <w:t>ob seeker</w:t>
      </w:r>
      <w:r w:rsidR="00410493">
        <w:t>/participant</w:t>
      </w:r>
      <w:r>
        <w:t xml:space="preserve"> will meet to discuss: </w:t>
      </w:r>
      <w:r w:rsidRPr="00166348">
        <w:t>the job seeker’</w:t>
      </w:r>
      <w:r>
        <w:t>s</w:t>
      </w:r>
      <w:r w:rsidR="00410493">
        <w:t>/participant’s</w:t>
      </w:r>
      <w:r w:rsidR="000506DC">
        <w:t xml:space="preserve"> R</w:t>
      </w:r>
      <w:r>
        <w:t xml:space="preserve">equirements; </w:t>
      </w:r>
      <w:r w:rsidRPr="00166348">
        <w:t>their recent non-compliance</w:t>
      </w:r>
      <w:r>
        <w:t xml:space="preserve">; </w:t>
      </w:r>
      <w:r w:rsidRPr="00166348">
        <w:t>anything that might be af</w:t>
      </w:r>
      <w:r>
        <w:t xml:space="preserve">fecting their ability to comply; supports they may require; and </w:t>
      </w:r>
      <w:r w:rsidRPr="00166348">
        <w:t>their job searching progress. Providers must record the job seeker’s</w:t>
      </w:r>
      <w:r w:rsidR="00410493">
        <w:t>/participant’s</w:t>
      </w:r>
      <w:r w:rsidRPr="00166348">
        <w:t xml:space="preserve"> response</w:t>
      </w:r>
      <w:r>
        <w:t>s in the Department’s IT System and update the status of individual circumstances and actions being taken to address these in the Capability Management Tool. Where newly disclosed circumstances or barriers have been identified, the Provider must update the JSCI and (as needed), make a referral to a non-medical Employment Services Assessment (</w:t>
      </w:r>
      <w:proofErr w:type="spellStart"/>
      <w:r>
        <w:t>ESAt</w:t>
      </w:r>
      <w:proofErr w:type="spellEnd"/>
      <w:r>
        <w:t xml:space="preserve">) during the </w:t>
      </w:r>
      <w:r w:rsidR="007A4107">
        <w:t>Capability Interview</w:t>
      </w:r>
      <w:r>
        <w:t xml:space="preserve">. </w:t>
      </w:r>
      <w:r w:rsidRPr="00FC0307">
        <w:rPr>
          <w:i/>
        </w:rPr>
        <w:t>Following</w:t>
      </w:r>
      <w:r>
        <w:t xml:space="preserve"> the Capability Interview, a</w:t>
      </w:r>
      <w:r w:rsidRPr="00FC0307">
        <w:t>fter Providers</w:t>
      </w:r>
      <w:r>
        <w:t xml:space="preserve"> have recorded responses to questions</w:t>
      </w:r>
      <w:r w:rsidR="008C32DA">
        <w:t>,</w:t>
      </w:r>
      <w:r>
        <w:t xml:space="preserve"> </w:t>
      </w:r>
      <w:r w:rsidRPr="00FC0307">
        <w:t>the Department’s IT System will indicate the outcome of</w:t>
      </w:r>
      <w:r>
        <w:t xml:space="preserve"> the Capability Interview</w:t>
      </w:r>
      <w:r w:rsidR="009A1334">
        <w:t>—</w:t>
      </w:r>
      <w:r>
        <w:t>further information on specific Capability Interview outcomes is below.</w:t>
      </w:r>
    </w:p>
    <w:p w14:paraId="07651F5B" w14:textId="3C76910F" w:rsidR="00756257" w:rsidRDefault="00756257" w:rsidP="003E3458">
      <w:pPr>
        <w:pStyle w:val="Basic"/>
        <w:spacing w:before="240"/>
      </w:pPr>
      <w:r>
        <w:rPr>
          <w:b/>
        </w:rPr>
        <w:t>Capability Interview (outcome</w:t>
      </w:r>
      <w:r w:rsidR="009A1334">
        <w:rPr>
          <w:b/>
        </w:rPr>
        <w:t>—</w:t>
      </w:r>
      <w:r w:rsidR="008D1A07">
        <w:rPr>
          <w:b/>
        </w:rPr>
        <w:t>C</w:t>
      </w:r>
      <w:r w:rsidRPr="008A7655">
        <w:rPr>
          <w:b/>
        </w:rPr>
        <w:t>apable</w:t>
      </w:r>
      <w:r>
        <w:rPr>
          <w:b/>
        </w:rPr>
        <w:t>)</w:t>
      </w:r>
      <w:r w:rsidR="009A1334">
        <w:rPr>
          <w:b/>
        </w:rPr>
        <w:t>—</w:t>
      </w:r>
      <w:r>
        <w:t>T</w:t>
      </w:r>
      <w:r w:rsidR="00623F43">
        <w:t>he j</w:t>
      </w:r>
      <w:r w:rsidRPr="008A7655">
        <w:t>ob seeker</w:t>
      </w:r>
      <w:r w:rsidR="00410493">
        <w:t>/participant</w:t>
      </w:r>
      <w:r w:rsidRPr="008A7655">
        <w:t xml:space="preserve"> </w:t>
      </w:r>
      <w:proofErr w:type="gramStart"/>
      <w:r w:rsidRPr="008A7655">
        <w:t>is capable of meeting</w:t>
      </w:r>
      <w:proofErr w:type="gramEnd"/>
      <w:r w:rsidRPr="008A7655">
        <w:t xml:space="preserve"> thei</w:t>
      </w:r>
      <w:r w:rsidR="000506DC">
        <w:t>r R</w:t>
      </w:r>
      <w:r w:rsidRPr="008A7655">
        <w:t>equirements. The job seeker</w:t>
      </w:r>
      <w:r w:rsidR="00410493">
        <w:t>/participant</w:t>
      </w:r>
      <w:r w:rsidRPr="008A7655">
        <w:t xml:space="preserve"> will continue in the Warning Zone.</w:t>
      </w:r>
    </w:p>
    <w:p w14:paraId="7474064A" w14:textId="71E5F5DF" w:rsidR="00410493" w:rsidRDefault="00410493" w:rsidP="003E3458">
      <w:pPr>
        <w:pStyle w:val="Basic"/>
        <w:spacing w:before="240"/>
      </w:pPr>
      <w:r>
        <w:rPr>
          <w:b/>
        </w:rPr>
        <w:t>Capability Interview (outcome</w:t>
      </w:r>
      <w:r w:rsidR="009A1334">
        <w:rPr>
          <w:b/>
        </w:rPr>
        <w:t>—</w:t>
      </w:r>
      <w:r>
        <w:rPr>
          <w:b/>
        </w:rPr>
        <w:t>Not C</w:t>
      </w:r>
      <w:r w:rsidRPr="008A7655">
        <w:rPr>
          <w:b/>
        </w:rPr>
        <w:t>apable</w:t>
      </w:r>
      <w:r>
        <w:rPr>
          <w:b/>
        </w:rPr>
        <w:t>)</w:t>
      </w:r>
      <w:r w:rsidR="009A1334">
        <w:rPr>
          <w:b/>
        </w:rPr>
        <w:t>—</w:t>
      </w:r>
      <w:r>
        <w:t>T</w:t>
      </w:r>
      <w:r w:rsidR="00623F43">
        <w:t>he j</w:t>
      </w:r>
      <w:r w:rsidRPr="008A7655">
        <w:t>ob seeker</w:t>
      </w:r>
      <w:r>
        <w:t>/participant</w:t>
      </w:r>
      <w:r w:rsidRPr="008A7655">
        <w:t xml:space="preserve"> is </w:t>
      </w:r>
      <w:r>
        <w:t xml:space="preserve">not </w:t>
      </w:r>
      <w:r w:rsidRPr="008A7655">
        <w:t xml:space="preserve">capable </w:t>
      </w:r>
      <w:r w:rsidR="000506DC">
        <w:t>of meeting their r</w:t>
      </w:r>
      <w:r>
        <w:t xml:space="preserve">equirements. </w:t>
      </w:r>
      <w:r w:rsidRPr="008A7655">
        <w:t xml:space="preserve">Demerits </w:t>
      </w:r>
      <w:r>
        <w:t xml:space="preserve">will be </w:t>
      </w:r>
      <w:r w:rsidRPr="008A7655">
        <w:t>reset to zero and</w:t>
      </w:r>
      <w:r>
        <w:t xml:space="preserve"> they will return to the Green Zone.</w:t>
      </w:r>
    </w:p>
    <w:p w14:paraId="7FDB482A" w14:textId="51B57C19" w:rsidR="0037695F" w:rsidRPr="0037695F" w:rsidRDefault="0037695F" w:rsidP="0037695F">
      <w:pPr>
        <w:pStyle w:val="Basic"/>
        <w:spacing w:before="240"/>
      </w:pPr>
      <w:r w:rsidRPr="0037695F">
        <w:rPr>
          <w:b/>
        </w:rPr>
        <w:t>Capability Management Tool</w:t>
      </w:r>
      <w:r>
        <w:t>—</w:t>
      </w:r>
      <w:r w:rsidRPr="0037695F">
        <w:t xml:space="preserve">The Capability Management Tool (CMT) is used to record, </w:t>
      </w:r>
      <w:proofErr w:type="gramStart"/>
      <w:r w:rsidRPr="0037695F">
        <w:t>review</w:t>
      </w:r>
      <w:proofErr w:type="gramEnd"/>
      <w:r w:rsidRPr="0037695F">
        <w:t xml:space="preserve"> and manage information on job seekers’</w:t>
      </w:r>
      <w:r w:rsidR="00E97D2A">
        <w:rPr>
          <w:sz w:val="20"/>
        </w:rPr>
        <w:t>/participants’</w:t>
      </w:r>
      <w:r w:rsidRPr="0037695F">
        <w:t xml:space="preserve"> personal circumstances that may be affecting their capacity to meet their Mutual Obligation Requirements. The CMT consolidates information collected from the Capability Interview discussion, the most recent JSCI, and any past </w:t>
      </w:r>
      <w:proofErr w:type="spellStart"/>
      <w:r w:rsidRPr="0037695F">
        <w:t>ESAts</w:t>
      </w:r>
      <w:proofErr w:type="spellEnd"/>
      <w:r w:rsidRPr="0037695F">
        <w:t xml:space="preserve"> or Capability Assessments.</w:t>
      </w:r>
    </w:p>
    <w:p w14:paraId="22224D8E" w14:textId="5006C32A" w:rsidR="00625DF9" w:rsidRDefault="00756257" w:rsidP="003E3458">
      <w:pPr>
        <w:pStyle w:val="Basic"/>
        <w:spacing w:before="240"/>
      </w:pPr>
      <w:r w:rsidRPr="005A041F">
        <w:rPr>
          <w:b/>
        </w:rPr>
        <w:t>Demerits</w:t>
      </w:r>
      <w:r w:rsidR="009A1334">
        <w:rPr>
          <w:b/>
        </w:rPr>
        <w:t>—</w:t>
      </w:r>
      <w:r w:rsidRPr="005A041F">
        <w:t xml:space="preserve">A Demerit is </w:t>
      </w:r>
      <w:r>
        <w:t xml:space="preserve">a record </w:t>
      </w:r>
      <w:r w:rsidRPr="005A041F">
        <w:t xml:space="preserve">created </w:t>
      </w:r>
      <w:r>
        <w:t>on the Department’s IT system where</w:t>
      </w:r>
      <w:r w:rsidRPr="005A041F">
        <w:t xml:space="preserve"> a</w:t>
      </w:r>
      <w:r w:rsidR="00625DF9">
        <w:t xml:space="preserve"> job seeker/participant</w:t>
      </w:r>
      <w:r>
        <w:t xml:space="preserve"> </w:t>
      </w:r>
      <w:r w:rsidRPr="005A041F">
        <w:t>in the Green or Warning Zone</w:t>
      </w:r>
      <w:r>
        <w:t xml:space="preserve"> commits a</w:t>
      </w:r>
      <w:r w:rsidRPr="005A041F">
        <w:t xml:space="preserve"> Mutual</w:t>
      </w:r>
      <w:r>
        <w:t xml:space="preserve"> Obligation Failure</w:t>
      </w:r>
      <w:r w:rsidRPr="005A041F">
        <w:t>.</w:t>
      </w:r>
      <w:r w:rsidR="00D9548D">
        <w:t xml:space="preserve"> </w:t>
      </w:r>
      <w:r w:rsidR="00625DF9">
        <w:t>The number of D</w:t>
      </w:r>
      <w:r w:rsidR="00F332B6">
        <w:t xml:space="preserve">emerits accrued </w:t>
      </w:r>
      <w:r w:rsidR="00625DF9" w:rsidRPr="00625DF9">
        <w:t>determ</w:t>
      </w:r>
      <w:r w:rsidR="00625DF9">
        <w:t>ine</w:t>
      </w:r>
      <w:r w:rsidR="00F332B6">
        <w:t>s when the job seeker/participant</w:t>
      </w:r>
      <w:r w:rsidR="00625DF9">
        <w:t xml:space="preserve"> should undergo a Capability Interview (after three Demerits</w:t>
      </w:r>
      <w:r w:rsidR="007C6CB7">
        <w:t xml:space="preserve"> </w:t>
      </w:r>
      <w:r w:rsidR="007C6CB7">
        <w:lastRenderedPageBreak/>
        <w:t>unless fast-tracked</w:t>
      </w:r>
      <w:r w:rsidR="00625DF9">
        <w:t xml:space="preserve">) or Capability Assessment </w:t>
      </w:r>
      <w:r w:rsidR="007C5F9E">
        <w:t>(after five D</w:t>
      </w:r>
      <w:r w:rsidR="00625DF9" w:rsidRPr="00625DF9">
        <w:t>emerits</w:t>
      </w:r>
      <w:r w:rsidR="007A4107">
        <w:t xml:space="preserve"> unless fast-tracked</w:t>
      </w:r>
      <w:r w:rsidR="00625DF9" w:rsidRPr="00625DF9">
        <w:t>)</w:t>
      </w:r>
      <w:r w:rsidR="00625DF9">
        <w:t>,</w:t>
      </w:r>
      <w:r w:rsidR="00625DF9" w:rsidRPr="00625DF9">
        <w:t xml:space="preserve"> and ultimately whether they should enter the Penalty Zone and become s</w:t>
      </w:r>
      <w:r w:rsidR="00623F43">
        <w:t>ubject to penalties for future F</w:t>
      </w:r>
      <w:r w:rsidR="00625DF9" w:rsidRPr="00625DF9">
        <w:t>ailures, because they can now be considered to have 'persistently committ</w:t>
      </w:r>
      <w:r w:rsidR="00623F43">
        <w:t>ed Mutual Obligation F</w:t>
      </w:r>
      <w:r w:rsidR="00625DF9">
        <w:t xml:space="preserve">ailures'. </w:t>
      </w:r>
      <w:r w:rsidR="007C5F9E">
        <w:t xml:space="preserve">Most Mutual Obligation Failures without Valid Reason will see the job seeker/participant incur </w:t>
      </w:r>
      <w:r w:rsidR="007A4107">
        <w:t>a</w:t>
      </w:r>
      <w:r w:rsidR="007C5F9E">
        <w:t xml:space="preserve"> D</w:t>
      </w:r>
      <w:r w:rsidR="007C5F9E" w:rsidRPr="00625DF9">
        <w:t>emerit</w:t>
      </w:r>
      <w:r w:rsidR="007C5F9E">
        <w:t>. Some Failures (such as to act on a Job Referral or Attend or Behave Appropriately at a Job Interview) can result in additional Demerits triggering a Capability Review</w:t>
      </w:r>
      <w:r w:rsidR="009A1334">
        <w:t>—</w:t>
      </w:r>
      <w:r w:rsidR="007C5F9E">
        <w:t>see ‘Fast Tracked Demerit’</w:t>
      </w:r>
      <w:r w:rsidR="007C5F9E" w:rsidRPr="00625DF9">
        <w:t>.</w:t>
      </w:r>
      <w:r w:rsidR="007C5F9E">
        <w:t xml:space="preserve"> Demerits expire after six active months. </w:t>
      </w:r>
      <w:r w:rsidR="00297B68">
        <w:t>Further information on the a</w:t>
      </w:r>
      <w:r w:rsidR="00625DF9" w:rsidRPr="00625DF9">
        <w:t xml:space="preserve">dministrative mechanisms and rules pertaining to </w:t>
      </w:r>
      <w:r w:rsidR="007C5F9E">
        <w:t>Demerit creation and removal</w:t>
      </w:r>
      <w:r w:rsidR="00625DF9" w:rsidRPr="00625DF9">
        <w:t xml:space="preserve"> are set o</w:t>
      </w:r>
      <w:r w:rsidR="007C5F9E">
        <w:t xml:space="preserve">ut in a legislative instrument, the </w:t>
      </w:r>
      <w:hyperlink r:id="rId17" w:history="1">
        <w:r w:rsidR="007C5F9E" w:rsidRPr="003E3458">
          <w:rPr>
            <w:rStyle w:val="Hyperlink"/>
            <w:szCs w:val="20"/>
          </w:rPr>
          <w:t>Social Security (Administration) (Non-Compliance) Determination 2018 (No. 1)</w:t>
        </w:r>
      </w:hyperlink>
      <w:r w:rsidR="007C5F9E" w:rsidRPr="003E3458">
        <w:rPr>
          <w:rStyle w:val="Hyperlink"/>
          <w:szCs w:val="20"/>
        </w:rPr>
        <w:t>.</w:t>
      </w:r>
    </w:p>
    <w:p w14:paraId="163CC6CC" w14:textId="1FC8D01D" w:rsidR="00756257" w:rsidRDefault="00756257" w:rsidP="003E3458">
      <w:pPr>
        <w:pStyle w:val="Basic"/>
        <w:spacing w:before="240"/>
      </w:pPr>
      <w:r w:rsidRPr="00AC42CE">
        <w:rPr>
          <w:b/>
        </w:rPr>
        <w:t>Failure</w:t>
      </w:r>
      <w:r w:rsidR="009A1334">
        <w:t>—</w:t>
      </w:r>
      <w:r>
        <w:t xml:space="preserve">is a failure to meet a </w:t>
      </w:r>
      <w:r w:rsidRPr="00D43FE8">
        <w:t xml:space="preserve">Mutual Obligation </w:t>
      </w:r>
      <w:r w:rsidR="005F677C">
        <w:t>Requirement</w:t>
      </w:r>
      <w:r w:rsidRPr="00D43FE8">
        <w:t>; Work Refusal Fai</w:t>
      </w:r>
      <w:r>
        <w:t>lure; Unemployment Failure; or F</w:t>
      </w:r>
      <w:r w:rsidRPr="00D43FE8">
        <w:t>ailure to meet a Reconnection Requirement, under the Social Security Law</w:t>
      </w:r>
      <w:r w:rsidRPr="00A9120E">
        <w:t>.</w:t>
      </w:r>
    </w:p>
    <w:p w14:paraId="72D9A05A" w14:textId="2C258731" w:rsidR="00756257" w:rsidRPr="008177BB" w:rsidRDefault="008177BB" w:rsidP="003E3458">
      <w:pPr>
        <w:pStyle w:val="Basic"/>
        <w:spacing w:before="240"/>
      </w:pPr>
      <w:r>
        <w:rPr>
          <w:b/>
        </w:rPr>
        <w:t>Fast</w:t>
      </w:r>
      <w:r w:rsidR="007C6CB7">
        <w:rPr>
          <w:b/>
        </w:rPr>
        <w:t>-</w:t>
      </w:r>
      <w:r>
        <w:rPr>
          <w:b/>
        </w:rPr>
        <w:t>Tracked Demerit</w:t>
      </w:r>
      <w:r w:rsidR="009A1334">
        <w:rPr>
          <w:b/>
        </w:rPr>
        <w:t>—</w:t>
      </w:r>
      <w:r w:rsidRPr="008177BB">
        <w:t xml:space="preserve">Job seekers/participants who fail to attend a </w:t>
      </w:r>
      <w:r w:rsidR="00466E07">
        <w:t>J</w:t>
      </w:r>
      <w:r w:rsidRPr="008177BB">
        <w:t xml:space="preserve">ob </w:t>
      </w:r>
      <w:r w:rsidR="00466E07">
        <w:t>Interview or undertake a Job Referral</w:t>
      </w:r>
      <w:r w:rsidRPr="008177BB">
        <w:t xml:space="preserve"> will immediately undergo the next Capability Interview or Capability Assessment they are due for, regardless of the number of Demerits they have</w:t>
      </w:r>
      <w:r>
        <w:t>.</w:t>
      </w:r>
    </w:p>
    <w:p w14:paraId="21E99ACD" w14:textId="3AF766B5" w:rsidR="00756257" w:rsidRPr="00DD1D2F" w:rsidRDefault="00756257" w:rsidP="00785E9E">
      <w:pPr>
        <w:pStyle w:val="Basic"/>
        <w:spacing w:before="0" w:after="60"/>
      </w:pPr>
      <w:r w:rsidRPr="00DD1D2F">
        <w:rPr>
          <w:b/>
        </w:rPr>
        <w:t>Financial Penalties</w:t>
      </w:r>
      <w:r w:rsidR="009A1334">
        <w:rPr>
          <w:b/>
        </w:rPr>
        <w:t>—</w:t>
      </w:r>
      <w:r w:rsidRPr="00DD1D2F">
        <w:t>Financial penalties may apply to job seekers</w:t>
      </w:r>
      <w:r w:rsidR="002C4C1B">
        <w:t>/participants</w:t>
      </w:r>
      <w:r w:rsidRPr="00DD1D2F">
        <w:t xml:space="preserve"> who persistently and deliberately fail to comply with their </w:t>
      </w:r>
      <w:r w:rsidR="00E27951">
        <w:t>M</w:t>
      </w:r>
      <w:r w:rsidRPr="00DD1D2F">
        <w:t xml:space="preserve">utual </w:t>
      </w:r>
      <w:r w:rsidR="00E27951">
        <w:t>O</w:t>
      </w:r>
      <w:r w:rsidR="000506DC">
        <w:t>bligation R</w:t>
      </w:r>
      <w:r w:rsidRPr="00DD1D2F">
        <w:t xml:space="preserve">equirements or commit </w:t>
      </w:r>
      <w:r w:rsidR="006317B0">
        <w:t>W</w:t>
      </w:r>
      <w:r w:rsidR="001C0842">
        <w:t>ork R</w:t>
      </w:r>
      <w:r w:rsidRPr="00DD1D2F">
        <w:t xml:space="preserve">efusal </w:t>
      </w:r>
      <w:r w:rsidR="006317B0">
        <w:t>or</w:t>
      </w:r>
      <w:r w:rsidRPr="00DD1D2F">
        <w:t xml:space="preserve"> </w:t>
      </w:r>
      <w:r w:rsidR="006317B0">
        <w:t>U</w:t>
      </w:r>
      <w:r w:rsidRPr="00DD1D2F">
        <w:t xml:space="preserve">nemployment </w:t>
      </w:r>
      <w:r w:rsidR="006317B0">
        <w:t>F</w:t>
      </w:r>
      <w:r w:rsidRPr="00DD1D2F">
        <w:t xml:space="preserve">ailures. The </w:t>
      </w:r>
      <w:hyperlink r:id="rId18" w:history="1">
        <w:r w:rsidRPr="009A1334">
          <w:rPr>
            <w:rStyle w:val="Hyperlink"/>
            <w:szCs w:val="20"/>
          </w:rPr>
          <w:t>Social Security (Administration) (Non-Compliance) Determination 2018 (No. 1)</w:t>
        </w:r>
      </w:hyperlink>
      <w:r w:rsidRPr="009A1334">
        <w:rPr>
          <w:sz w:val="24"/>
        </w:rPr>
        <w:t xml:space="preserve"> </w:t>
      </w:r>
      <w:r w:rsidRPr="00DD1D2F">
        <w:t>describes the administrative mechanisms which are to be used to monitor a job seeker's</w:t>
      </w:r>
      <w:r w:rsidR="001023F7">
        <w:t>/participant</w:t>
      </w:r>
      <w:r w:rsidR="007C6CB7">
        <w:t>’</w:t>
      </w:r>
      <w:r w:rsidR="001023F7">
        <w:t>s</w:t>
      </w:r>
      <w:r w:rsidRPr="00DD1D2F">
        <w:t xml:space="preserve"> compliance and identify when they have become per</w:t>
      </w:r>
      <w:r>
        <w:t>sistently non</w:t>
      </w:r>
      <w:r w:rsidR="002F52C6">
        <w:noBreakHyphen/>
      </w:r>
      <w:r>
        <w:t>compliant. After five</w:t>
      </w:r>
      <w:r w:rsidRPr="00DD1D2F">
        <w:t xml:space="preserve"> </w:t>
      </w:r>
      <w:r w:rsidR="00E27951">
        <w:t>M</w:t>
      </w:r>
      <w:r w:rsidRPr="00DD1D2F">
        <w:t>ut</w:t>
      </w:r>
      <w:r>
        <w:t xml:space="preserve">ual </w:t>
      </w:r>
      <w:r w:rsidR="00E27951">
        <w:t>O</w:t>
      </w:r>
      <w:r>
        <w:t xml:space="preserve">bligation </w:t>
      </w:r>
      <w:r w:rsidR="00E27951">
        <w:t>F</w:t>
      </w:r>
      <w:r>
        <w:t>ailures</w:t>
      </w:r>
      <w:r w:rsidR="007A4107">
        <w:t xml:space="preserve"> (or less if fast-tracked because </w:t>
      </w:r>
      <w:r w:rsidR="007C6CB7">
        <w:t xml:space="preserve">of </w:t>
      </w:r>
      <w:r w:rsidR="007A4107">
        <w:t>a serious failure)</w:t>
      </w:r>
      <w:r>
        <w:t xml:space="preserve"> within six</w:t>
      </w:r>
      <w:r w:rsidRPr="00DD1D2F">
        <w:t xml:space="preserve"> active months (and if the person is found able to </w:t>
      </w:r>
      <w:r w:rsidR="000506DC">
        <w:t>meet their R</w:t>
      </w:r>
      <w:r>
        <w:t>equirements in the Capability Interview and Capability A</w:t>
      </w:r>
      <w:r w:rsidRPr="00DD1D2F">
        <w:t>ssessment) the</w:t>
      </w:r>
      <w:r>
        <w:t xml:space="preserve"> job seeker</w:t>
      </w:r>
      <w:r w:rsidR="001023F7">
        <w:t>/participant</w:t>
      </w:r>
      <w:r w:rsidRPr="00DD1D2F">
        <w:t xml:space="preserve"> will enter the Penalty Zone. Further </w:t>
      </w:r>
      <w:r w:rsidR="00E27951">
        <w:t>M</w:t>
      </w:r>
      <w:r w:rsidRPr="00DD1D2F">
        <w:t xml:space="preserve">utual </w:t>
      </w:r>
      <w:r w:rsidR="00E27951">
        <w:t>O</w:t>
      </w:r>
      <w:r w:rsidRPr="00DD1D2F">
        <w:t xml:space="preserve">bligation </w:t>
      </w:r>
      <w:r w:rsidR="00E27951">
        <w:t>F</w:t>
      </w:r>
      <w:r w:rsidRPr="00DD1D2F">
        <w:t xml:space="preserve">ailures without </w:t>
      </w:r>
      <w:r w:rsidR="00E27951">
        <w:t>R</w:t>
      </w:r>
      <w:r w:rsidRPr="00DD1D2F">
        <w:t xml:space="preserve">easonable </w:t>
      </w:r>
      <w:r w:rsidR="00E27951">
        <w:t>E</w:t>
      </w:r>
      <w:r w:rsidRPr="00DD1D2F">
        <w:t xml:space="preserve">xcuse will result in the </w:t>
      </w:r>
      <w:r w:rsidR="007A4107">
        <w:t>job seeker/participant</w:t>
      </w:r>
      <w:r w:rsidRPr="00DD1D2F">
        <w:t xml:space="preserve"> being determined t</w:t>
      </w:r>
      <w:r w:rsidR="00623F43">
        <w:t>o have 'persistently committed Mutual Obligation F</w:t>
      </w:r>
      <w:r w:rsidRPr="00DD1D2F">
        <w:t xml:space="preserve">ailures', and will result in them facing escalating </w:t>
      </w:r>
      <w:r w:rsidR="00E27951">
        <w:t>F</w:t>
      </w:r>
      <w:r w:rsidRPr="00DD1D2F">
        <w:t xml:space="preserve">inancial </w:t>
      </w:r>
      <w:r w:rsidR="00E27951">
        <w:t>P</w:t>
      </w:r>
      <w:r w:rsidRPr="00DD1D2F">
        <w:t>enalties:</w:t>
      </w:r>
    </w:p>
    <w:p w14:paraId="19E478ED" w14:textId="77777777" w:rsidR="00756257" w:rsidRPr="00DD1D2F" w:rsidRDefault="001023F7" w:rsidP="00785E9E">
      <w:pPr>
        <w:pStyle w:val="Basic"/>
        <w:spacing w:before="0" w:after="60"/>
        <w:ind w:left="357"/>
      </w:pPr>
      <w:r>
        <w:t>•</w:t>
      </w:r>
      <w:r w:rsidR="00FE0E56">
        <w:t xml:space="preserve"> </w:t>
      </w:r>
      <w:r>
        <w:t xml:space="preserve">for a </w:t>
      </w:r>
      <w:r w:rsidR="00623F43">
        <w:t>first F</w:t>
      </w:r>
      <w:r w:rsidR="00756257" w:rsidRPr="00DD1D2F">
        <w:t xml:space="preserve">ailure </w:t>
      </w:r>
      <w:r w:rsidR="00756257">
        <w:t>in the Penalty Zone their</w:t>
      </w:r>
      <w:r>
        <w:t xml:space="preserve"> fortnightly </w:t>
      </w:r>
      <w:r w:rsidR="00756257" w:rsidRPr="00DD1D2F">
        <w:t>pay</w:t>
      </w:r>
      <w:r>
        <w:t xml:space="preserve">ment </w:t>
      </w:r>
      <w:r w:rsidR="00756257" w:rsidRPr="00DD1D2F">
        <w:t>will be reduced by half</w:t>
      </w:r>
      <w:r>
        <w:t xml:space="preserve"> (one week’s payment</w:t>
      </w:r>
      <w:proofErr w:type="gramStart"/>
      <w:r>
        <w:t>);</w:t>
      </w:r>
      <w:proofErr w:type="gramEnd"/>
    </w:p>
    <w:p w14:paraId="6CFFD664" w14:textId="62FDE9D6" w:rsidR="00756257" w:rsidRPr="00DD1D2F" w:rsidRDefault="00623F43" w:rsidP="00785E9E">
      <w:pPr>
        <w:pStyle w:val="Basic"/>
        <w:spacing w:before="0" w:after="60"/>
        <w:ind w:left="357"/>
      </w:pPr>
      <w:r>
        <w:t>•</w:t>
      </w:r>
      <w:r w:rsidR="00FE0E56">
        <w:t xml:space="preserve"> </w:t>
      </w:r>
      <w:r>
        <w:t>for a second F</w:t>
      </w:r>
      <w:r w:rsidR="001023F7">
        <w:t>ailure, they</w:t>
      </w:r>
      <w:r w:rsidR="00756257" w:rsidRPr="00DD1D2F">
        <w:t xml:space="preserve"> will </w:t>
      </w:r>
      <w:r w:rsidR="001023F7">
        <w:t>lose their entire fortnightly payment</w:t>
      </w:r>
      <w:r w:rsidR="00007E4C">
        <w:t xml:space="preserve"> (two weeks</w:t>
      </w:r>
      <w:r w:rsidR="00B51F82">
        <w:t>’</w:t>
      </w:r>
      <w:r w:rsidR="00007E4C">
        <w:t xml:space="preserve"> payment); and</w:t>
      </w:r>
    </w:p>
    <w:p w14:paraId="2DD0A04F" w14:textId="77777777" w:rsidR="00756257" w:rsidRDefault="001023F7" w:rsidP="00785E9E">
      <w:pPr>
        <w:pStyle w:val="Basic"/>
        <w:spacing w:before="0" w:after="60"/>
        <w:ind w:left="357"/>
      </w:pPr>
      <w:r>
        <w:t>•</w:t>
      </w:r>
      <w:r w:rsidR="00FE0E56">
        <w:t xml:space="preserve"> </w:t>
      </w:r>
      <w:r>
        <w:t>f</w:t>
      </w:r>
      <w:r w:rsidR="00756257" w:rsidRPr="00DD1D2F">
        <w:t xml:space="preserve">or a </w:t>
      </w:r>
      <w:r w:rsidR="00623F43">
        <w:t>third F</w:t>
      </w:r>
      <w:r>
        <w:t>ailure, their</w:t>
      </w:r>
      <w:r w:rsidR="00756257">
        <w:t xml:space="preserve"> </w:t>
      </w:r>
      <w:r w:rsidR="00756257" w:rsidRPr="00DD1D2F">
        <w:t>p</w:t>
      </w:r>
      <w:r w:rsidR="00756257">
        <w:t>ayment will be cancelled and a four</w:t>
      </w:r>
      <w:r w:rsidR="00756257" w:rsidRPr="00DD1D2F">
        <w:t xml:space="preserve">-week </w:t>
      </w:r>
      <w:proofErr w:type="gramStart"/>
      <w:r>
        <w:t>Non Payment</w:t>
      </w:r>
      <w:proofErr w:type="gramEnd"/>
      <w:r>
        <w:t>/Preclusion P</w:t>
      </w:r>
      <w:r w:rsidR="00756257" w:rsidRPr="00DD1D2F">
        <w:t>eriod will apply.</w:t>
      </w:r>
    </w:p>
    <w:p w14:paraId="37A2B26B" w14:textId="6A115A5B" w:rsidR="00756257" w:rsidRDefault="00756257" w:rsidP="003E3458">
      <w:pPr>
        <w:pStyle w:val="Basic"/>
        <w:rPr>
          <w:rFonts w:ascii="Calibri" w:eastAsia="Calibri" w:hAnsi="Calibri" w:cs="Times New Roman"/>
        </w:rPr>
      </w:pPr>
      <w:r>
        <w:t xml:space="preserve">In addition, </w:t>
      </w:r>
      <w:r>
        <w:rPr>
          <w:rFonts w:ascii="Calibri" w:eastAsia="Calibri" w:hAnsi="Calibri" w:cs="Times New Roman"/>
        </w:rPr>
        <w:t>job seeker</w:t>
      </w:r>
      <w:r w:rsidR="007C6CB7">
        <w:rPr>
          <w:rFonts w:ascii="Calibri" w:eastAsia="Calibri" w:hAnsi="Calibri" w:cs="Times New Roman"/>
        </w:rPr>
        <w:t>’</w:t>
      </w:r>
      <w:r>
        <w:rPr>
          <w:rFonts w:ascii="Calibri" w:eastAsia="Calibri" w:hAnsi="Calibri" w:cs="Times New Roman"/>
        </w:rPr>
        <w:t>s</w:t>
      </w:r>
      <w:r w:rsidR="00007E4C">
        <w:rPr>
          <w:rFonts w:ascii="Calibri" w:eastAsia="Calibri" w:hAnsi="Calibri" w:cs="Times New Roman"/>
        </w:rPr>
        <w:t>/participant’s</w:t>
      </w:r>
      <w:r w:rsidR="00623F43">
        <w:rPr>
          <w:rFonts w:ascii="Calibri" w:eastAsia="Calibri" w:hAnsi="Calibri" w:cs="Times New Roman"/>
        </w:rPr>
        <w:t xml:space="preserve"> in any Z</w:t>
      </w:r>
      <w:r>
        <w:rPr>
          <w:rFonts w:ascii="Calibri" w:eastAsia="Calibri" w:hAnsi="Calibri" w:cs="Times New Roman"/>
        </w:rPr>
        <w:t>one who commit</w:t>
      </w:r>
      <w:r w:rsidRPr="00F33B10">
        <w:rPr>
          <w:rFonts w:ascii="Calibri" w:eastAsia="Calibri" w:hAnsi="Calibri" w:cs="Times New Roman"/>
        </w:rPr>
        <w:t xml:space="preserve"> </w:t>
      </w:r>
      <w:r>
        <w:rPr>
          <w:rFonts w:ascii="Calibri" w:eastAsia="Calibri" w:hAnsi="Calibri" w:cs="Times New Roman"/>
        </w:rPr>
        <w:t xml:space="preserve">a Work Refusal or Unemployment Failure will incur a </w:t>
      </w:r>
      <w:r w:rsidR="00F22DA1">
        <w:rPr>
          <w:rFonts w:ascii="Calibri" w:eastAsia="Calibri" w:hAnsi="Calibri" w:cs="Times New Roman"/>
        </w:rPr>
        <w:t>F</w:t>
      </w:r>
      <w:r>
        <w:rPr>
          <w:rFonts w:ascii="Calibri" w:eastAsia="Calibri" w:hAnsi="Calibri" w:cs="Times New Roman"/>
        </w:rPr>
        <w:t xml:space="preserve">inancial </w:t>
      </w:r>
      <w:r w:rsidR="00F22DA1">
        <w:rPr>
          <w:rFonts w:ascii="Calibri" w:eastAsia="Calibri" w:hAnsi="Calibri" w:cs="Times New Roman"/>
        </w:rPr>
        <w:t>P</w:t>
      </w:r>
      <w:r>
        <w:rPr>
          <w:rFonts w:ascii="Calibri" w:eastAsia="Calibri" w:hAnsi="Calibri" w:cs="Times New Roman"/>
        </w:rPr>
        <w:t>enal</w:t>
      </w:r>
      <w:r w:rsidR="001C0842">
        <w:rPr>
          <w:rFonts w:ascii="Calibri" w:eastAsia="Calibri" w:hAnsi="Calibri" w:cs="Times New Roman"/>
        </w:rPr>
        <w:t>ty in the form of having their Income S</w:t>
      </w:r>
      <w:r>
        <w:rPr>
          <w:rFonts w:ascii="Calibri" w:eastAsia="Calibri" w:hAnsi="Calibri" w:cs="Times New Roman"/>
        </w:rPr>
        <w:t xml:space="preserve">upport </w:t>
      </w:r>
      <w:r w:rsidR="001C0842">
        <w:rPr>
          <w:rFonts w:ascii="Calibri" w:eastAsia="Calibri" w:hAnsi="Calibri" w:cs="Times New Roman"/>
        </w:rPr>
        <w:t xml:space="preserve">Payment </w:t>
      </w:r>
      <w:r>
        <w:rPr>
          <w:rFonts w:ascii="Calibri" w:eastAsia="Calibri" w:hAnsi="Calibri" w:cs="Times New Roman"/>
        </w:rPr>
        <w:t xml:space="preserve">cancelled and being subject to a (generally four week) </w:t>
      </w:r>
      <w:r w:rsidR="00007E4C">
        <w:rPr>
          <w:rFonts w:ascii="Calibri" w:eastAsia="Calibri" w:hAnsi="Calibri" w:cs="Times New Roman"/>
        </w:rPr>
        <w:t>Non-Payment/Preclusion P</w:t>
      </w:r>
      <w:r>
        <w:rPr>
          <w:rFonts w:ascii="Calibri" w:eastAsia="Calibri" w:hAnsi="Calibri" w:cs="Times New Roman"/>
        </w:rPr>
        <w:t>eriod.</w:t>
      </w:r>
    </w:p>
    <w:p w14:paraId="5703E32D" w14:textId="2B424852" w:rsidR="00756257" w:rsidRPr="00DD1D2F" w:rsidRDefault="00756257" w:rsidP="003E3458">
      <w:pPr>
        <w:pStyle w:val="Basic"/>
        <w:spacing w:before="240"/>
      </w:pPr>
      <w:r>
        <w:rPr>
          <w:b/>
        </w:rPr>
        <w:t>Green Zone</w:t>
      </w:r>
      <w:r w:rsidR="009A1334">
        <w:rPr>
          <w:b/>
        </w:rPr>
        <w:t>—</w:t>
      </w:r>
      <w:r w:rsidRPr="00E27D77">
        <w:t>All job seekers</w:t>
      </w:r>
      <w:r w:rsidR="00007E4C">
        <w:t>/participants</w:t>
      </w:r>
      <w:r w:rsidRPr="00E27D77">
        <w:t xml:space="preserve"> begin in the Green Zone with zero </w:t>
      </w:r>
      <w:r w:rsidR="00E27951">
        <w:t>M</w:t>
      </w:r>
      <w:r w:rsidRPr="00E27D77">
        <w:t xml:space="preserve">utual </w:t>
      </w:r>
      <w:r w:rsidR="00E27951">
        <w:t>O</w:t>
      </w:r>
      <w:r w:rsidRPr="00E27D77">
        <w:t xml:space="preserve">bligation </w:t>
      </w:r>
      <w:r w:rsidR="00E27951">
        <w:t>F</w:t>
      </w:r>
      <w:r w:rsidRPr="00E27D77">
        <w:t xml:space="preserve">ailures and will be subject to </w:t>
      </w:r>
      <w:r w:rsidR="00007E4C">
        <w:t>P</w:t>
      </w:r>
      <w:r w:rsidRPr="00E27D77">
        <w:t xml:space="preserve">ayment </w:t>
      </w:r>
      <w:r w:rsidR="00007E4C">
        <w:t>S</w:t>
      </w:r>
      <w:r w:rsidR="00623F43">
        <w:t>uspension for any F</w:t>
      </w:r>
      <w:r w:rsidRPr="00E27D77">
        <w:t xml:space="preserve">ailure to meet a </w:t>
      </w:r>
      <w:r w:rsidR="00E27951">
        <w:t>M</w:t>
      </w:r>
      <w:r w:rsidRPr="00E27D77">
        <w:t xml:space="preserve">utual </w:t>
      </w:r>
      <w:r w:rsidR="00E27951">
        <w:t>O</w:t>
      </w:r>
      <w:r w:rsidRPr="00E27D77">
        <w:t xml:space="preserve">bligation </w:t>
      </w:r>
      <w:r w:rsidR="000506DC">
        <w:t>R</w:t>
      </w:r>
      <w:r w:rsidRPr="00DD1D2F">
        <w:t xml:space="preserve">equirement. No </w:t>
      </w:r>
      <w:r w:rsidR="00F22DA1">
        <w:t>F</w:t>
      </w:r>
      <w:r w:rsidRPr="00DD1D2F">
        <w:t xml:space="preserve">inancial </w:t>
      </w:r>
      <w:r w:rsidR="00F22DA1">
        <w:t>P</w:t>
      </w:r>
      <w:r w:rsidRPr="00DD1D2F">
        <w:t>enalties will</w:t>
      </w:r>
      <w:r w:rsidR="00007E4C">
        <w:t xml:space="preserve"> apply to the job </w:t>
      </w:r>
      <w:r w:rsidR="00007E4C" w:rsidRPr="00E97D2A">
        <w:t>seeker</w:t>
      </w:r>
      <w:r w:rsidR="00E97D2A" w:rsidRPr="00E97D2A">
        <w:t>/participant</w:t>
      </w:r>
      <w:r w:rsidR="00007E4C" w:rsidRPr="00E97D2A">
        <w:t xml:space="preserve"> in</w:t>
      </w:r>
      <w:r w:rsidR="00007E4C">
        <w:t xml:space="preserve"> the Green Z</w:t>
      </w:r>
      <w:r w:rsidRPr="00DD1D2F">
        <w:t xml:space="preserve">one, except for </w:t>
      </w:r>
      <w:r w:rsidR="00E27951">
        <w:t>W</w:t>
      </w:r>
      <w:r w:rsidRPr="00DD1D2F">
        <w:t xml:space="preserve">ork </w:t>
      </w:r>
      <w:r w:rsidR="00E27951">
        <w:t>R</w:t>
      </w:r>
      <w:r w:rsidRPr="00DD1D2F">
        <w:t xml:space="preserve">efusal or </w:t>
      </w:r>
      <w:r w:rsidR="00E27951">
        <w:t>U</w:t>
      </w:r>
      <w:r w:rsidR="00623F43">
        <w:t>nemployment F</w:t>
      </w:r>
      <w:r w:rsidRPr="00DD1D2F">
        <w:t>ailures.</w:t>
      </w:r>
    </w:p>
    <w:p w14:paraId="6BD8C2E5" w14:textId="68B073BE" w:rsidR="00756257" w:rsidRDefault="00756257" w:rsidP="003E3458">
      <w:pPr>
        <w:pStyle w:val="Basic"/>
        <w:spacing w:before="240"/>
      </w:pPr>
      <w:r w:rsidRPr="00DD1D2F">
        <w:rPr>
          <w:b/>
        </w:rPr>
        <w:t>Income Support Payment Suspension</w:t>
      </w:r>
      <w:r w:rsidR="009A1334">
        <w:t>—</w:t>
      </w:r>
      <w:r w:rsidR="00623F43">
        <w:t>For every F</w:t>
      </w:r>
      <w:r w:rsidRPr="00DD1D2F">
        <w:t xml:space="preserve">ailure to meet </w:t>
      </w:r>
      <w:r>
        <w:t xml:space="preserve">a </w:t>
      </w:r>
      <w:r w:rsidR="00A11922">
        <w:t>M</w:t>
      </w:r>
      <w:r>
        <w:t xml:space="preserve">utual </w:t>
      </w:r>
      <w:r w:rsidR="00A11922">
        <w:t>O</w:t>
      </w:r>
      <w:r w:rsidR="000506DC">
        <w:t>bligation R</w:t>
      </w:r>
      <w:r>
        <w:t>equirement</w:t>
      </w:r>
      <w:r w:rsidRPr="00DD1D2F">
        <w:t>, job seekers</w:t>
      </w:r>
      <w:r w:rsidR="00007E4C">
        <w:t>/participants will have their Income Support Payment Suspended and be given a R</w:t>
      </w:r>
      <w:r w:rsidRPr="00DD1D2F">
        <w:t>e</w:t>
      </w:r>
      <w:r w:rsidR="00927835">
        <w:t>-engagement</w:t>
      </w:r>
      <w:r w:rsidR="000506DC">
        <w:t xml:space="preserve"> R</w:t>
      </w:r>
      <w:r w:rsidRPr="00DD1D2F">
        <w:t xml:space="preserve">equirement, which they must generally meet in order to </w:t>
      </w:r>
      <w:r w:rsidR="00286203">
        <w:t>lift</w:t>
      </w:r>
      <w:r w:rsidR="001C0842">
        <w:t xml:space="preserve"> the S</w:t>
      </w:r>
      <w:r w:rsidRPr="00DD1D2F">
        <w:t xml:space="preserve">uspension. </w:t>
      </w:r>
      <w:r w:rsidR="00286203">
        <w:t>Once</w:t>
      </w:r>
      <w:r w:rsidR="00007E4C">
        <w:t xml:space="preserve"> Payment S</w:t>
      </w:r>
      <w:r w:rsidRPr="00DD1D2F">
        <w:t>uspension</w:t>
      </w:r>
      <w:r w:rsidR="00286203">
        <w:t xml:space="preserve"> </w:t>
      </w:r>
      <w:r w:rsidR="00927835">
        <w:t xml:space="preserve">is </w:t>
      </w:r>
      <w:r w:rsidR="00286203">
        <w:t xml:space="preserve">lifted, </w:t>
      </w:r>
      <w:r w:rsidR="00007E4C">
        <w:t xml:space="preserve">this will enable </w:t>
      </w:r>
      <w:r w:rsidR="00286203">
        <w:t>report</w:t>
      </w:r>
      <w:r w:rsidR="00007E4C">
        <w:t xml:space="preserve">ing of </w:t>
      </w:r>
      <w:r w:rsidR="00286203">
        <w:t xml:space="preserve">income to </w:t>
      </w:r>
      <w:r w:rsidR="008C1D20">
        <w:t>Services Australia</w:t>
      </w:r>
      <w:r w:rsidR="00927835">
        <w:t>. The job seeker</w:t>
      </w:r>
      <w:r w:rsidR="00007E4C">
        <w:t>/participant</w:t>
      </w:r>
      <w:r w:rsidR="00927835">
        <w:t xml:space="preserve"> will</w:t>
      </w:r>
      <w:r w:rsidRPr="00DD1D2F">
        <w:t xml:space="preserve"> </w:t>
      </w:r>
      <w:r w:rsidR="00927835">
        <w:t xml:space="preserve">then </w:t>
      </w:r>
      <w:r w:rsidRPr="00DD1D2F">
        <w:t xml:space="preserve">receive </w:t>
      </w:r>
      <w:r w:rsidR="00007E4C">
        <w:t xml:space="preserve">full </w:t>
      </w:r>
      <w:r w:rsidRPr="00DD1D2F">
        <w:t xml:space="preserve">back-pay for the period their payment was suspended, subject to other provisions of the </w:t>
      </w:r>
      <w:r w:rsidR="005F677C">
        <w:t>S</w:t>
      </w:r>
      <w:r w:rsidRPr="00DD1D2F">
        <w:t xml:space="preserve">ocial </w:t>
      </w:r>
      <w:r w:rsidR="005F677C">
        <w:t>S</w:t>
      </w:r>
      <w:r w:rsidRPr="00DD1D2F">
        <w:t xml:space="preserve">ecurity </w:t>
      </w:r>
      <w:r w:rsidR="005F677C">
        <w:t>L</w:t>
      </w:r>
      <w:r w:rsidRPr="00DD1D2F">
        <w:t>aw.</w:t>
      </w:r>
    </w:p>
    <w:p w14:paraId="54552015" w14:textId="5838EDED" w:rsidR="001146DE" w:rsidRPr="001146DE" w:rsidRDefault="001146DE" w:rsidP="003E3458">
      <w:pPr>
        <w:pStyle w:val="Basic"/>
        <w:spacing w:before="240"/>
        <w:rPr>
          <w:b/>
          <w:bCs/>
        </w:rPr>
      </w:pPr>
      <w:r>
        <w:rPr>
          <w:b/>
          <w:bCs/>
        </w:rPr>
        <w:lastRenderedPageBreak/>
        <w:t>Job Plan</w:t>
      </w:r>
      <w:r>
        <w:t>—The Job Plan underpins the provision of employment services to a job seeker</w:t>
      </w:r>
      <w:r w:rsidR="00E97D2A" w:rsidRPr="00E97D2A">
        <w:t>/participant</w:t>
      </w:r>
      <w:r>
        <w:t>. It is formal agreement between a Provider and a job seeker</w:t>
      </w:r>
      <w:r w:rsidR="00E97D2A" w:rsidRPr="00E97D2A">
        <w:t>/participant</w:t>
      </w:r>
      <w:r>
        <w:t xml:space="preserve"> that outlines what a job seeker</w:t>
      </w:r>
      <w:r w:rsidR="00E97D2A" w:rsidRPr="00E97D2A">
        <w:t>/participant</w:t>
      </w:r>
      <w:r>
        <w:t xml:space="preserve"> must do </w:t>
      </w:r>
      <w:proofErr w:type="gramStart"/>
      <w:r>
        <w:t>in order to</w:t>
      </w:r>
      <w:proofErr w:type="gramEnd"/>
      <w:r>
        <w:t xml:space="preserve"> satisfy their Mutual Obligation Requirements in return for an Income Support Payment. Under legislation, this is called an Employment Pathway Plan. For ParentsNext Participants, this is called a Participation Plan.</w:t>
      </w:r>
    </w:p>
    <w:p w14:paraId="709217E8" w14:textId="3E1E3D78" w:rsidR="00756257" w:rsidRDefault="00756257" w:rsidP="00785E9E">
      <w:pPr>
        <w:pStyle w:val="Basic"/>
        <w:spacing w:before="240" w:after="60"/>
        <w:rPr>
          <w:rFonts w:ascii="Calibri" w:eastAsia="Calibri" w:hAnsi="Calibri" w:cs="Times New Roman"/>
        </w:rPr>
      </w:pPr>
      <w:r w:rsidRPr="002D178F">
        <w:rPr>
          <w:rFonts w:ascii="Calibri" w:eastAsia="Calibri" w:hAnsi="Calibri" w:cs="Times New Roman"/>
          <w:b/>
        </w:rPr>
        <w:t>Mutual Obligation Failure</w:t>
      </w:r>
      <w:r w:rsidR="009A1334">
        <w:rPr>
          <w:rFonts w:ascii="Calibri" w:eastAsia="Calibri" w:hAnsi="Calibri" w:cs="Times New Roman"/>
        </w:rPr>
        <w:t>—</w:t>
      </w:r>
      <w:r>
        <w:rPr>
          <w:rFonts w:ascii="Calibri" w:eastAsia="Calibri" w:hAnsi="Calibri" w:cs="Times New Roman"/>
        </w:rPr>
        <w:t>Job seekers</w:t>
      </w:r>
      <w:r w:rsidR="00007E4C">
        <w:rPr>
          <w:rFonts w:ascii="Calibri" w:eastAsia="Calibri" w:hAnsi="Calibri" w:cs="Times New Roman"/>
        </w:rPr>
        <w:t>/participants</w:t>
      </w:r>
      <w:r>
        <w:rPr>
          <w:rFonts w:ascii="Calibri" w:eastAsia="Calibri" w:hAnsi="Calibri" w:cs="Times New Roman"/>
        </w:rPr>
        <w:t xml:space="preserve"> subject to the </w:t>
      </w:r>
      <w:r w:rsidR="00F22DA1">
        <w:rPr>
          <w:rFonts w:ascii="Calibri" w:eastAsia="Calibri" w:hAnsi="Calibri" w:cs="Times New Roman"/>
        </w:rPr>
        <w:t xml:space="preserve">TCF </w:t>
      </w:r>
      <w:r>
        <w:rPr>
          <w:rFonts w:ascii="Calibri" w:eastAsia="Calibri" w:hAnsi="Calibri" w:cs="Times New Roman"/>
        </w:rPr>
        <w:t xml:space="preserve">commit a </w:t>
      </w:r>
      <w:r w:rsidR="00F22DA1">
        <w:rPr>
          <w:rFonts w:ascii="Calibri" w:eastAsia="Calibri" w:hAnsi="Calibri" w:cs="Times New Roman"/>
        </w:rPr>
        <w:t>M</w:t>
      </w:r>
      <w:r>
        <w:rPr>
          <w:rFonts w:ascii="Calibri" w:eastAsia="Calibri" w:hAnsi="Calibri" w:cs="Times New Roman"/>
        </w:rPr>
        <w:t xml:space="preserve">utual </w:t>
      </w:r>
      <w:r w:rsidR="00F22DA1">
        <w:rPr>
          <w:rFonts w:ascii="Calibri" w:eastAsia="Calibri" w:hAnsi="Calibri" w:cs="Times New Roman"/>
        </w:rPr>
        <w:t>O</w:t>
      </w:r>
      <w:r>
        <w:rPr>
          <w:rFonts w:ascii="Calibri" w:eastAsia="Calibri" w:hAnsi="Calibri" w:cs="Times New Roman"/>
        </w:rPr>
        <w:t xml:space="preserve">bligation </w:t>
      </w:r>
      <w:r w:rsidR="00F22DA1">
        <w:rPr>
          <w:rFonts w:ascii="Calibri" w:eastAsia="Calibri" w:hAnsi="Calibri" w:cs="Times New Roman"/>
        </w:rPr>
        <w:t>F</w:t>
      </w:r>
      <w:r>
        <w:rPr>
          <w:rFonts w:ascii="Calibri" w:eastAsia="Calibri" w:hAnsi="Calibri" w:cs="Times New Roman"/>
        </w:rPr>
        <w:t xml:space="preserve">ailure </w:t>
      </w:r>
      <w:r w:rsidRPr="00356AFB">
        <w:rPr>
          <w:rFonts w:ascii="Calibri" w:eastAsia="Calibri" w:hAnsi="Calibri" w:cs="Times New Roman"/>
        </w:rPr>
        <w:t>when</w:t>
      </w:r>
      <w:r>
        <w:rPr>
          <w:rFonts w:ascii="Calibri" w:eastAsia="Calibri" w:hAnsi="Calibri" w:cs="Times New Roman"/>
        </w:rPr>
        <w:t xml:space="preserve"> or if</w:t>
      </w:r>
      <w:r w:rsidRPr="00356AFB">
        <w:rPr>
          <w:rFonts w:ascii="Calibri" w:eastAsia="Calibri" w:hAnsi="Calibri" w:cs="Times New Roman"/>
        </w:rPr>
        <w:t xml:space="preserve"> they fail to: </w:t>
      </w:r>
    </w:p>
    <w:p w14:paraId="2FAC0AF4" w14:textId="77777777" w:rsidR="00477DC1" w:rsidRDefault="006404E9" w:rsidP="00785E9E">
      <w:pPr>
        <w:pStyle w:val="Basic"/>
        <w:numPr>
          <w:ilvl w:val="0"/>
          <w:numId w:val="35"/>
        </w:numPr>
        <w:spacing w:before="0" w:after="60"/>
        <w:ind w:left="714" w:hanging="357"/>
        <w:rPr>
          <w:rFonts w:ascii="Calibri" w:eastAsia="Calibri" w:hAnsi="Calibri" w:cs="Times New Roman"/>
        </w:rPr>
      </w:pPr>
      <w:r>
        <w:rPr>
          <w:rFonts w:ascii="Calibri" w:eastAsia="Calibri" w:hAnsi="Calibri" w:cs="Times New Roman"/>
        </w:rPr>
        <w:t>agree</w:t>
      </w:r>
      <w:r w:rsidR="00756257" w:rsidRPr="003D597E">
        <w:rPr>
          <w:rFonts w:ascii="Calibri" w:eastAsia="Calibri" w:hAnsi="Calibri" w:cs="Times New Roman"/>
        </w:rPr>
        <w:t xml:space="preserve"> a Job Plan (or </w:t>
      </w:r>
      <w:r>
        <w:rPr>
          <w:rFonts w:ascii="Calibri" w:eastAsia="Calibri" w:hAnsi="Calibri" w:cs="Times New Roman"/>
        </w:rPr>
        <w:t>P</w:t>
      </w:r>
      <w:r w:rsidR="00756257" w:rsidRPr="003D597E">
        <w:rPr>
          <w:rFonts w:ascii="Calibri" w:eastAsia="Calibri" w:hAnsi="Calibri" w:cs="Times New Roman"/>
        </w:rPr>
        <w:t xml:space="preserve">articipation </w:t>
      </w:r>
      <w:r>
        <w:rPr>
          <w:rFonts w:ascii="Calibri" w:eastAsia="Calibri" w:hAnsi="Calibri" w:cs="Times New Roman"/>
        </w:rPr>
        <w:t>P</w:t>
      </w:r>
      <w:r w:rsidR="00756257" w:rsidRPr="003D597E">
        <w:rPr>
          <w:rFonts w:ascii="Calibri" w:eastAsia="Calibri" w:hAnsi="Calibri" w:cs="Times New Roman"/>
        </w:rPr>
        <w:t>lan for ParentsNext participants</w:t>
      </w:r>
      <w:proofErr w:type="gramStart"/>
      <w:r w:rsidR="00756257" w:rsidRPr="003D597E">
        <w:rPr>
          <w:rFonts w:ascii="Calibri" w:eastAsia="Calibri" w:hAnsi="Calibri" w:cs="Times New Roman"/>
        </w:rPr>
        <w:t>)</w:t>
      </w:r>
      <w:r w:rsidR="00477DC1">
        <w:rPr>
          <w:rFonts w:ascii="Calibri" w:eastAsia="Calibri" w:hAnsi="Calibri" w:cs="Times New Roman"/>
        </w:rPr>
        <w:t>;</w:t>
      </w:r>
      <w:proofErr w:type="gramEnd"/>
    </w:p>
    <w:p w14:paraId="762D0D3A" w14:textId="77777777" w:rsidR="00477DC1" w:rsidRDefault="00477DC1" w:rsidP="00785E9E">
      <w:pPr>
        <w:pStyle w:val="Basic"/>
        <w:numPr>
          <w:ilvl w:val="0"/>
          <w:numId w:val="35"/>
        </w:numPr>
        <w:spacing w:before="0" w:after="60"/>
        <w:rPr>
          <w:rFonts w:ascii="Calibri" w:eastAsia="Calibri" w:hAnsi="Calibri" w:cs="Times New Roman"/>
        </w:rPr>
      </w:pPr>
      <w:r w:rsidRPr="00184E60">
        <w:rPr>
          <w:rFonts w:ascii="Calibri" w:eastAsia="Calibri" w:hAnsi="Calibri" w:cs="Times New Roman"/>
        </w:rPr>
        <w:t xml:space="preserve">undertake satisfactory </w:t>
      </w:r>
      <w:r w:rsidR="007A4107">
        <w:rPr>
          <w:rFonts w:ascii="Calibri" w:eastAsia="Calibri" w:hAnsi="Calibri" w:cs="Times New Roman"/>
        </w:rPr>
        <w:t>J</w:t>
      </w:r>
      <w:r w:rsidRPr="00184E60">
        <w:rPr>
          <w:rFonts w:ascii="Calibri" w:eastAsia="Calibri" w:hAnsi="Calibri" w:cs="Times New Roman"/>
        </w:rPr>
        <w:t xml:space="preserve">ob </w:t>
      </w:r>
      <w:r w:rsidR="007A4107">
        <w:rPr>
          <w:rFonts w:ascii="Calibri" w:eastAsia="Calibri" w:hAnsi="Calibri" w:cs="Times New Roman"/>
        </w:rPr>
        <w:t>S</w:t>
      </w:r>
      <w:r w:rsidRPr="00184E60">
        <w:rPr>
          <w:rFonts w:ascii="Calibri" w:eastAsia="Calibri" w:hAnsi="Calibri" w:cs="Times New Roman"/>
        </w:rPr>
        <w:t xml:space="preserve">earch </w:t>
      </w:r>
      <w:proofErr w:type="gramStart"/>
      <w:r w:rsidRPr="00184E60">
        <w:rPr>
          <w:rFonts w:ascii="Calibri" w:eastAsia="Calibri" w:hAnsi="Calibri" w:cs="Times New Roman"/>
        </w:rPr>
        <w:t>effort</w:t>
      </w:r>
      <w:r>
        <w:rPr>
          <w:rFonts w:ascii="Calibri" w:eastAsia="Calibri" w:hAnsi="Calibri" w:cs="Times New Roman"/>
        </w:rPr>
        <w:t>;</w:t>
      </w:r>
      <w:proofErr w:type="gramEnd"/>
    </w:p>
    <w:p w14:paraId="39615B10" w14:textId="77777777" w:rsidR="00477DC1" w:rsidRDefault="00466E07" w:rsidP="00785E9E">
      <w:pPr>
        <w:pStyle w:val="Basic"/>
        <w:numPr>
          <w:ilvl w:val="0"/>
          <w:numId w:val="35"/>
        </w:numPr>
        <w:spacing w:before="0" w:after="60"/>
        <w:rPr>
          <w:rFonts w:ascii="Calibri" w:eastAsia="Calibri" w:hAnsi="Calibri" w:cs="Times New Roman"/>
        </w:rPr>
      </w:pPr>
      <w:r>
        <w:rPr>
          <w:rFonts w:ascii="Calibri" w:eastAsia="Calibri" w:hAnsi="Calibri" w:cs="Times New Roman"/>
        </w:rPr>
        <w:t>undertake a satisfactory Job Referral</w:t>
      </w:r>
      <w:r w:rsidR="00477DC1" w:rsidRPr="003D597E">
        <w:rPr>
          <w:rFonts w:ascii="Calibri" w:eastAsia="Calibri" w:hAnsi="Calibri" w:cs="Times New Roman"/>
        </w:rPr>
        <w:t xml:space="preserve"> wh</w:t>
      </w:r>
      <w:r w:rsidR="00007E4C">
        <w:rPr>
          <w:rFonts w:ascii="Calibri" w:eastAsia="Calibri" w:hAnsi="Calibri" w:cs="Times New Roman"/>
        </w:rPr>
        <w:t xml:space="preserve">en requested to do so by their </w:t>
      </w:r>
      <w:proofErr w:type="gramStart"/>
      <w:r w:rsidR="00007E4C">
        <w:rPr>
          <w:rFonts w:ascii="Calibri" w:eastAsia="Calibri" w:hAnsi="Calibri" w:cs="Times New Roman"/>
        </w:rPr>
        <w:t>P</w:t>
      </w:r>
      <w:r w:rsidR="00477DC1" w:rsidRPr="003D597E">
        <w:rPr>
          <w:rFonts w:ascii="Calibri" w:eastAsia="Calibri" w:hAnsi="Calibri" w:cs="Times New Roman"/>
        </w:rPr>
        <w:t>rovider</w:t>
      </w:r>
      <w:r w:rsidR="00477DC1">
        <w:rPr>
          <w:rFonts w:ascii="Calibri" w:eastAsia="Calibri" w:hAnsi="Calibri" w:cs="Times New Roman"/>
        </w:rPr>
        <w:t>;</w:t>
      </w:r>
      <w:proofErr w:type="gramEnd"/>
    </w:p>
    <w:p w14:paraId="66EF4B5A" w14:textId="77777777" w:rsidR="00756257" w:rsidRPr="00CD7DB8" w:rsidRDefault="00756257" w:rsidP="00785E9E">
      <w:pPr>
        <w:pStyle w:val="Basic"/>
        <w:numPr>
          <w:ilvl w:val="0"/>
          <w:numId w:val="35"/>
        </w:numPr>
        <w:spacing w:before="0" w:after="60"/>
        <w:rPr>
          <w:rFonts w:eastAsia="Calibri"/>
        </w:rPr>
      </w:pPr>
      <w:r w:rsidRPr="00CD7DB8">
        <w:rPr>
          <w:rFonts w:ascii="Calibri" w:eastAsia="Calibri" w:hAnsi="Calibri" w:cs="Times New Roman"/>
        </w:rPr>
        <w:t>attend</w:t>
      </w:r>
      <w:r w:rsidR="00477DC1" w:rsidRPr="00CD7DB8">
        <w:rPr>
          <w:rFonts w:ascii="Calibri" w:eastAsia="Calibri" w:hAnsi="Calibri" w:cs="Times New Roman"/>
        </w:rPr>
        <w:t xml:space="preserve"> punctually,</w:t>
      </w:r>
      <w:r w:rsidR="00F15D61" w:rsidRPr="00CD7DB8">
        <w:rPr>
          <w:rFonts w:ascii="Calibri" w:eastAsia="Calibri" w:hAnsi="Calibri" w:cs="Times New Roman"/>
        </w:rPr>
        <w:t xml:space="preserve"> an</w:t>
      </w:r>
      <w:r w:rsidR="00477DC1" w:rsidRPr="00CD7DB8">
        <w:rPr>
          <w:rFonts w:ascii="Calibri" w:eastAsia="Calibri" w:hAnsi="Calibri" w:cs="Times New Roman"/>
        </w:rPr>
        <w:t>d behave in an appropriate manner, at an</w:t>
      </w:r>
      <w:r w:rsidR="00F15D61" w:rsidRPr="00CD7DB8">
        <w:rPr>
          <w:rFonts w:ascii="Calibri" w:eastAsia="Calibri" w:hAnsi="Calibri" w:cs="Times New Roman"/>
        </w:rPr>
        <w:t xml:space="preserve"> </w:t>
      </w:r>
      <w:r w:rsidRPr="00CD7DB8">
        <w:rPr>
          <w:rFonts w:ascii="Calibri" w:eastAsia="Calibri" w:hAnsi="Calibri" w:cs="Times New Roman"/>
        </w:rPr>
        <w:t>appointment</w:t>
      </w:r>
      <w:r w:rsidR="00477DC1" w:rsidRPr="00CD7DB8">
        <w:rPr>
          <w:rFonts w:ascii="Calibri" w:eastAsia="Calibri" w:hAnsi="Calibri" w:cs="Times New Roman"/>
        </w:rPr>
        <w:t xml:space="preserve"> (</w:t>
      </w:r>
      <w:r w:rsidR="00007E4C">
        <w:rPr>
          <w:rFonts w:ascii="Calibri" w:eastAsia="Calibri" w:hAnsi="Calibri" w:cs="Times New Roman"/>
        </w:rPr>
        <w:t>either with their P</w:t>
      </w:r>
      <w:r w:rsidRPr="00CD7DB8">
        <w:rPr>
          <w:rFonts w:ascii="Calibri" w:eastAsia="Calibri" w:hAnsi="Calibri" w:cs="Times New Roman"/>
        </w:rPr>
        <w:t>rovider, or a third party</w:t>
      </w:r>
      <w:proofErr w:type="gramStart"/>
      <w:r w:rsidR="00477DC1" w:rsidRPr="00CD7DB8">
        <w:rPr>
          <w:rFonts w:ascii="Calibri" w:eastAsia="Calibri" w:hAnsi="Calibri" w:cs="Times New Roman"/>
        </w:rPr>
        <w:t>);</w:t>
      </w:r>
      <w:proofErr w:type="gramEnd"/>
    </w:p>
    <w:p w14:paraId="052AB409" w14:textId="7803B944" w:rsidR="00756257" w:rsidRPr="003D597E" w:rsidRDefault="00F15D61" w:rsidP="00785E9E">
      <w:pPr>
        <w:pStyle w:val="Basic"/>
        <w:numPr>
          <w:ilvl w:val="0"/>
          <w:numId w:val="35"/>
        </w:numPr>
        <w:spacing w:before="0" w:after="60"/>
        <w:rPr>
          <w:rFonts w:ascii="Calibri" w:eastAsia="Calibri" w:hAnsi="Calibri" w:cs="Times New Roman"/>
        </w:rPr>
      </w:pPr>
      <w:r>
        <w:rPr>
          <w:rFonts w:ascii="Calibri" w:eastAsia="Calibri" w:hAnsi="Calibri" w:cs="Times New Roman"/>
        </w:rPr>
        <w:t xml:space="preserve">attend </w:t>
      </w:r>
      <w:r w:rsidR="00477DC1">
        <w:rPr>
          <w:rFonts w:ascii="Calibri" w:eastAsia="Calibri" w:hAnsi="Calibri" w:cs="Times New Roman"/>
        </w:rPr>
        <w:t>punctually, and behave in an appropriate manner, at an</w:t>
      </w:r>
      <w:r w:rsidR="00756257" w:rsidRPr="003D597E">
        <w:rPr>
          <w:rFonts w:ascii="Calibri" w:eastAsia="Calibri" w:hAnsi="Calibri" w:cs="Times New Roman"/>
        </w:rPr>
        <w:t xml:space="preserve"> activit</w:t>
      </w:r>
      <w:r w:rsidR="00477DC1">
        <w:rPr>
          <w:rFonts w:ascii="Calibri" w:eastAsia="Calibri" w:hAnsi="Calibri" w:cs="Times New Roman"/>
        </w:rPr>
        <w:t>y</w:t>
      </w:r>
      <w:r w:rsidR="00756257" w:rsidRPr="003D597E">
        <w:rPr>
          <w:rFonts w:ascii="Calibri" w:eastAsia="Calibri" w:hAnsi="Calibri" w:cs="Times New Roman"/>
        </w:rPr>
        <w:t xml:space="preserve"> outlined in the</w:t>
      </w:r>
      <w:r>
        <w:rPr>
          <w:rFonts w:ascii="Calibri" w:eastAsia="Calibri" w:hAnsi="Calibri" w:cs="Times New Roman"/>
        </w:rPr>
        <w:t>ir</w:t>
      </w:r>
      <w:r w:rsidR="00007E4C">
        <w:rPr>
          <w:rFonts w:ascii="Calibri" w:eastAsia="Calibri" w:hAnsi="Calibri" w:cs="Times New Roman"/>
        </w:rPr>
        <w:t xml:space="preserve"> Job Plan</w:t>
      </w:r>
      <w:r w:rsidR="00B51F82">
        <w:rPr>
          <w:rFonts w:ascii="Calibri" w:eastAsia="Calibri" w:hAnsi="Calibri" w:cs="Times New Roman"/>
        </w:rPr>
        <w:t>/</w:t>
      </w:r>
      <w:r w:rsidR="00007E4C">
        <w:rPr>
          <w:rFonts w:ascii="Calibri" w:eastAsia="Calibri" w:hAnsi="Calibri" w:cs="Times New Roman"/>
        </w:rPr>
        <w:t>P</w:t>
      </w:r>
      <w:r w:rsidR="00756257" w:rsidRPr="003D597E">
        <w:rPr>
          <w:rFonts w:ascii="Calibri" w:eastAsia="Calibri" w:hAnsi="Calibri" w:cs="Times New Roman"/>
        </w:rPr>
        <w:t>articipat</w:t>
      </w:r>
      <w:r w:rsidR="00007E4C">
        <w:rPr>
          <w:rFonts w:ascii="Calibri" w:eastAsia="Calibri" w:hAnsi="Calibri" w:cs="Times New Roman"/>
        </w:rPr>
        <w:t xml:space="preserve">ion </w:t>
      </w:r>
      <w:proofErr w:type="gramStart"/>
      <w:r w:rsidR="00007E4C">
        <w:rPr>
          <w:rFonts w:ascii="Calibri" w:eastAsia="Calibri" w:hAnsi="Calibri" w:cs="Times New Roman"/>
        </w:rPr>
        <w:t>P</w:t>
      </w:r>
      <w:r w:rsidR="00756257" w:rsidRPr="003D597E">
        <w:rPr>
          <w:rFonts w:ascii="Calibri" w:eastAsia="Calibri" w:hAnsi="Calibri" w:cs="Times New Roman"/>
        </w:rPr>
        <w:t>lan</w:t>
      </w:r>
      <w:r w:rsidR="00477DC1">
        <w:rPr>
          <w:rFonts w:ascii="Calibri" w:eastAsia="Calibri" w:hAnsi="Calibri" w:cs="Times New Roman"/>
        </w:rPr>
        <w:t>;</w:t>
      </w:r>
      <w:proofErr w:type="gramEnd"/>
    </w:p>
    <w:p w14:paraId="524965CE" w14:textId="77777777" w:rsidR="00756257" w:rsidRPr="003D597E" w:rsidRDefault="00477DC1" w:rsidP="00785E9E">
      <w:pPr>
        <w:pStyle w:val="Basic"/>
        <w:numPr>
          <w:ilvl w:val="0"/>
          <w:numId w:val="35"/>
        </w:numPr>
        <w:spacing w:before="0" w:after="60"/>
        <w:rPr>
          <w:rFonts w:eastAsia="Calibri"/>
        </w:rPr>
      </w:pPr>
      <w:r>
        <w:rPr>
          <w:rFonts w:ascii="Calibri" w:eastAsia="Calibri" w:hAnsi="Calibri" w:cs="Times New Roman"/>
        </w:rPr>
        <w:t>attend punctually, and behave in an appropriate manner, at</w:t>
      </w:r>
      <w:r w:rsidRPr="003D597E">
        <w:rPr>
          <w:rFonts w:ascii="Calibri" w:eastAsia="Calibri" w:hAnsi="Calibri" w:cs="Times New Roman"/>
        </w:rPr>
        <w:t xml:space="preserve"> </w:t>
      </w:r>
      <w:r>
        <w:rPr>
          <w:rFonts w:ascii="Calibri" w:eastAsia="Calibri" w:hAnsi="Calibri" w:cs="Times New Roman"/>
        </w:rPr>
        <w:t xml:space="preserve">a </w:t>
      </w:r>
      <w:r w:rsidR="007A4107">
        <w:rPr>
          <w:rFonts w:ascii="Calibri" w:eastAsia="Calibri" w:hAnsi="Calibri" w:cs="Times New Roman"/>
        </w:rPr>
        <w:t>J</w:t>
      </w:r>
      <w:r>
        <w:rPr>
          <w:rFonts w:ascii="Calibri" w:eastAsia="Calibri" w:hAnsi="Calibri" w:cs="Times New Roman"/>
        </w:rPr>
        <w:t xml:space="preserve">ob </w:t>
      </w:r>
      <w:r w:rsidR="007A4107">
        <w:rPr>
          <w:rFonts w:ascii="Calibri" w:eastAsia="Calibri" w:hAnsi="Calibri" w:cs="Times New Roman"/>
        </w:rPr>
        <w:t>I</w:t>
      </w:r>
      <w:r>
        <w:rPr>
          <w:rFonts w:ascii="Calibri" w:eastAsia="Calibri" w:hAnsi="Calibri" w:cs="Times New Roman"/>
        </w:rPr>
        <w:t>nterview</w:t>
      </w:r>
      <w:r w:rsidR="00286203">
        <w:rPr>
          <w:rFonts w:ascii="Calibri" w:eastAsia="Calibri" w:hAnsi="Calibri" w:cs="Times New Roman"/>
        </w:rPr>
        <w:t>.</w:t>
      </w:r>
    </w:p>
    <w:p w14:paraId="1F13B1CE" w14:textId="4C040B18" w:rsidR="00756257" w:rsidRPr="00A9120E" w:rsidRDefault="00477DC1" w:rsidP="003E3458">
      <w:pPr>
        <w:pStyle w:val="Basic"/>
        <w:rPr>
          <w:rFonts w:ascii="Calibri" w:eastAsia="Calibri" w:hAnsi="Calibri" w:cs="Times New Roman"/>
        </w:rPr>
      </w:pPr>
      <w:r>
        <w:rPr>
          <w:rFonts w:ascii="Calibri" w:eastAsia="Calibri" w:hAnsi="Calibri" w:cs="Times New Roman"/>
        </w:rPr>
        <w:t xml:space="preserve">For further information on Mutual Obligation Failures, </w:t>
      </w:r>
      <w:r w:rsidR="00286203">
        <w:rPr>
          <w:rFonts w:ascii="Calibri" w:eastAsia="Calibri" w:hAnsi="Calibri" w:cs="Times New Roman"/>
        </w:rPr>
        <w:t xml:space="preserve">including punctual attendance and inappropriate behaviour (e.g. </w:t>
      </w:r>
      <w:r w:rsidR="00286203" w:rsidRPr="005C3491">
        <w:rPr>
          <w:rFonts w:ascii="Calibri" w:eastAsia="Calibri" w:hAnsi="Calibri" w:cs="Times New Roman"/>
          <w:b/>
          <w:i/>
        </w:rPr>
        <w:t>misconduct</w:t>
      </w:r>
      <w:r w:rsidR="00286203">
        <w:rPr>
          <w:rFonts w:ascii="Calibri" w:eastAsia="Calibri" w:hAnsi="Calibri" w:cs="Times New Roman"/>
        </w:rPr>
        <w:t xml:space="preserve">) </w:t>
      </w:r>
      <w:r w:rsidR="000506DC">
        <w:rPr>
          <w:rFonts w:ascii="Calibri" w:eastAsia="Calibri" w:hAnsi="Calibri" w:cs="Times New Roman"/>
        </w:rPr>
        <w:t>at R</w:t>
      </w:r>
      <w:r w:rsidR="007E32AC">
        <w:rPr>
          <w:rFonts w:ascii="Calibri" w:eastAsia="Calibri" w:hAnsi="Calibri" w:cs="Times New Roman"/>
        </w:rPr>
        <w:t xml:space="preserve">equirements, </w:t>
      </w:r>
      <w:r>
        <w:rPr>
          <w:rFonts w:ascii="Calibri" w:eastAsia="Calibri" w:hAnsi="Calibri" w:cs="Times New Roman"/>
        </w:rPr>
        <w:t xml:space="preserve">please refer to the </w:t>
      </w:r>
      <w:hyperlink r:id="rId19" w:history="1">
        <w:r w:rsidRPr="009A1334">
          <w:rPr>
            <w:rStyle w:val="Hyperlink"/>
            <w:rFonts w:ascii="Calibri" w:eastAsia="Calibri" w:hAnsi="Calibri" w:cs="Times New Roman"/>
            <w:szCs w:val="20"/>
          </w:rPr>
          <w:t>Guide to Social Security Law</w:t>
        </w:r>
      </w:hyperlink>
      <w:r w:rsidR="00F52A81">
        <w:rPr>
          <w:rFonts w:ascii="Calibri" w:eastAsia="Calibri" w:hAnsi="Calibri" w:cs="Times New Roman"/>
        </w:rPr>
        <w:t xml:space="preserve">. </w:t>
      </w:r>
      <w:r w:rsidR="00756257" w:rsidRPr="00356AFB">
        <w:rPr>
          <w:rFonts w:ascii="Calibri" w:eastAsia="Calibri" w:hAnsi="Calibri" w:cs="Times New Roman"/>
        </w:rPr>
        <w:t xml:space="preserve">Not all </w:t>
      </w:r>
      <w:r w:rsidR="00F22DA1">
        <w:rPr>
          <w:rFonts w:ascii="Calibri" w:eastAsia="Calibri" w:hAnsi="Calibri" w:cs="Times New Roman"/>
        </w:rPr>
        <w:t>TCF</w:t>
      </w:r>
      <w:r w:rsidR="00007E4C">
        <w:rPr>
          <w:rFonts w:ascii="Calibri" w:eastAsia="Calibri" w:hAnsi="Calibri" w:cs="Times New Roman"/>
        </w:rPr>
        <w:t xml:space="preserve"> job seeker’s/participants</w:t>
      </w:r>
      <w:r w:rsidR="00F22DA1">
        <w:rPr>
          <w:rFonts w:ascii="Calibri" w:eastAsia="Calibri" w:hAnsi="Calibri" w:cs="Times New Roman"/>
        </w:rPr>
        <w:t xml:space="preserve"> </w:t>
      </w:r>
      <w:r w:rsidR="00756257" w:rsidRPr="00356AFB">
        <w:rPr>
          <w:rFonts w:ascii="Calibri" w:eastAsia="Calibri" w:hAnsi="Calibri" w:cs="Times New Roman"/>
        </w:rPr>
        <w:t>will be subject to the full range o</w:t>
      </w:r>
      <w:r w:rsidR="00756257">
        <w:rPr>
          <w:rFonts w:ascii="Calibri" w:eastAsia="Calibri" w:hAnsi="Calibri" w:cs="Times New Roman"/>
        </w:rPr>
        <w:t xml:space="preserve">f </w:t>
      </w:r>
      <w:r w:rsidR="00F22DA1">
        <w:rPr>
          <w:rFonts w:ascii="Calibri" w:eastAsia="Calibri" w:hAnsi="Calibri" w:cs="Times New Roman"/>
        </w:rPr>
        <w:t>M</w:t>
      </w:r>
      <w:r w:rsidR="00756257">
        <w:rPr>
          <w:rFonts w:ascii="Calibri" w:eastAsia="Calibri" w:hAnsi="Calibri" w:cs="Times New Roman"/>
        </w:rPr>
        <w:t xml:space="preserve">utual </w:t>
      </w:r>
      <w:r w:rsidR="00F22DA1">
        <w:rPr>
          <w:rFonts w:ascii="Calibri" w:eastAsia="Calibri" w:hAnsi="Calibri" w:cs="Times New Roman"/>
        </w:rPr>
        <w:t>O</w:t>
      </w:r>
      <w:r w:rsidR="000506DC">
        <w:rPr>
          <w:rFonts w:ascii="Calibri" w:eastAsia="Calibri" w:hAnsi="Calibri" w:cs="Times New Roman"/>
        </w:rPr>
        <w:t>bligation R</w:t>
      </w:r>
      <w:r w:rsidR="00756257">
        <w:rPr>
          <w:rFonts w:ascii="Calibri" w:eastAsia="Calibri" w:hAnsi="Calibri" w:cs="Times New Roman"/>
        </w:rPr>
        <w:t xml:space="preserve">equirement types listed above (e.g. </w:t>
      </w:r>
      <w:r w:rsidR="00756257" w:rsidRPr="00356AFB">
        <w:rPr>
          <w:rFonts w:ascii="Calibri" w:eastAsia="Calibri" w:hAnsi="Calibri" w:cs="Times New Roman"/>
        </w:rPr>
        <w:t>ParentsNext participants will not be compelled to undertake job search</w:t>
      </w:r>
      <w:r w:rsidR="00756257">
        <w:rPr>
          <w:rFonts w:ascii="Calibri" w:eastAsia="Calibri" w:hAnsi="Calibri" w:cs="Times New Roman"/>
        </w:rPr>
        <w:t xml:space="preserve">). A </w:t>
      </w:r>
      <w:r w:rsidR="00F22DA1">
        <w:rPr>
          <w:rFonts w:ascii="Calibri" w:eastAsia="Calibri" w:hAnsi="Calibri" w:cs="Times New Roman"/>
        </w:rPr>
        <w:t>M</w:t>
      </w:r>
      <w:r w:rsidR="00756257" w:rsidRPr="00356AFB">
        <w:rPr>
          <w:rFonts w:ascii="Calibri" w:eastAsia="Calibri" w:hAnsi="Calibri" w:cs="Times New Roman"/>
        </w:rPr>
        <w:t xml:space="preserve">utual </w:t>
      </w:r>
      <w:r w:rsidR="00F22DA1">
        <w:rPr>
          <w:rFonts w:ascii="Calibri" w:eastAsia="Calibri" w:hAnsi="Calibri" w:cs="Times New Roman"/>
        </w:rPr>
        <w:t>O</w:t>
      </w:r>
      <w:r w:rsidR="00756257" w:rsidRPr="00356AFB">
        <w:rPr>
          <w:rFonts w:ascii="Calibri" w:eastAsia="Calibri" w:hAnsi="Calibri" w:cs="Times New Roman"/>
        </w:rPr>
        <w:t xml:space="preserve">bligation </w:t>
      </w:r>
      <w:r w:rsidR="00F22DA1">
        <w:rPr>
          <w:rFonts w:ascii="Calibri" w:eastAsia="Calibri" w:hAnsi="Calibri" w:cs="Times New Roman"/>
        </w:rPr>
        <w:t>F</w:t>
      </w:r>
      <w:r w:rsidR="00756257" w:rsidRPr="00356AFB">
        <w:rPr>
          <w:rFonts w:ascii="Calibri" w:eastAsia="Calibri" w:hAnsi="Calibri" w:cs="Times New Roman"/>
        </w:rPr>
        <w:t>a</w:t>
      </w:r>
      <w:r w:rsidR="001C0842">
        <w:rPr>
          <w:rFonts w:ascii="Calibri" w:eastAsia="Calibri" w:hAnsi="Calibri" w:cs="Times New Roman"/>
        </w:rPr>
        <w:t>ilure will generally result in Payment S</w:t>
      </w:r>
      <w:r w:rsidR="00756257" w:rsidRPr="00356AFB">
        <w:rPr>
          <w:rFonts w:ascii="Calibri" w:eastAsia="Calibri" w:hAnsi="Calibri" w:cs="Times New Roman"/>
        </w:rPr>
        <w:t>uspension until the job seeker</w:t>
      </w:r>
      <w:r w:rsidR="00B00F95">
        <w:rPr>
          <w:rFonts w:ascii="Calibri" w:eastAsia="Calibri" w:hAnsi="Calibri" w:cs="Times New Roman"/>
        </w:rPr>
        <w:t>/participant</w:t>
      </w:r>
      <w:r w:rsidR="00756257" w:rsidRPr="00356AFB">
        <w:rPr>
          <w:rFonts w:ascii="Calibri" w:eastAsia="Calibri" w:hAnsi="Calibri" w:cs="Times New Roman"/>
        </w:rPr>
        <w:t xml:space="preserve"> complies </w:t>
      </w:r>
      <w:r w:rsidR="000506DC">
        <w:rPr>
          <w:rFonts w:ascii="Calibri" w:eastAsia="Calibri" w:hAnsi="Calibri" w:cs="Times New Roman"/>
        </w:rPr>
        <w:t>with the R</w:t>
      </w:r>
      <w:r w:rsidR="00756257">
        <w:rPr>
          <w:rFonts w:ascii="Calibri" w:eastAsia="Calibri" w:hAnsi="Calibri" w:cs="Times New Roman"/>
        </w:rPr>
        <w:t>equirement. A</w:t>
      </w:r>
      <w:r w:rsidR="00F52A81">
        <w:rPr>
          <w:rFonts w:ascii="Calibri" w:eastAsia="Calibri" w:hAnsi="Calibri" w:cs="Times New Roman"/>
        </w:rPr>
        <w:t xml:space="preserve"> Mutual O</w:t>
      </w:r>
      <w:r w:rsidR="00756257" w:rsidRPr="00356AFB">
        <w:rPr>
          <w:rFonts w:ascii="Calibri" w:eastAsia="Calibri" w:hAnsi="Calibri" w:cs="Times New Roman"/>
        </w:rPr>
        <w:t>bligation</w:t>
      </w:r>
      <w:r w:rsidR="00F52A81">
        <w:rPr>
          <w:rFonts w:ascii="Calibri" w:eastAsia="Calibri" w:hAnsi="Calibri" w:cs="Times New Roman"/>
        </w:rPr>
        <w:t xml:space="preserve"> </w:t>
      </w:r>
      <w:r w:rsidR="007A4107">
        <w:rPr>
          <w:rFonts w:ascii="Calibri" w:eastAsia="Calibri" w:hAnsi="Calibri" w:cs="Times New Roman"/>
        </w:rPr>
        <w:t>F</w:t>
      </w:r>
      <w:r w:rsidR="00F52A81">
        <w:rPr>
          <w:rFonts w:ascii="Calibri" w:eastAsia="Calibri" w:hAnsi="Calibri" w:cs="Times New Roman"/>
        </w:rPr>
        <w:t>ailure will only result in a D</w:t>
      </w:r>
      <w:r w:rsidR="00756257" w:rsidRPr="00356AFB">
        <w:rPr>
          <w:rFonts w:ascii="Calibri" w:eastAsia="Calibri" w:hAnsi="Calibri" w:cs="Times New Roman"/>
        </w:rPr>
        <w:t>e</w:t>
      </w:r>
      <w:r w:rsidR="00F52A81">
        <w:rPr>
          <w:rFonts w:ascii="Calibri" w:eastAsia="Calibri" w:hAnsi="Calibri" w:cs="Times New Roman"/>
        </w:rPr>
        <w:t>merit if the job seeker</w:t>
      </w:r>
      <w:r w:rsidR="00B00F95">
        <w:rPr>
          <w:rFonts w:ascii="Calibri" w:eastAsia="Calibri" w:hAnsi="Calibri" w:cs="Times New Roman"/>
        </w:rPr>
        <w:t>/participant is in the Green/Warning Zone and</w:t>
      </w:r>
      <w:r w:rsidR="00F52A81">
        <w:rPr>
          <w:rFonts w:ascii="Calibri" w:eastAsia="Calibri" w:hAnsi="Calibri" w:cs="Times New Roman"/>
        </w:rPr>
        <w:t xml:space="preserve"> had no Valid Reason for their F</w:t>
      </w:r>
      <w:r w:rsidR="00756257" w:rsidRPr="00356AFB">
        <w:rPr>
          <w:rFonts w:ascii="Calibri" w:eastAsia="Calibri" w:hAnsi="Calibri" w:cs="Times New Roman"/>
        </w:rPr>
        <w:t>ailure</w:t>
      </w:r>
      <w:r w:rsidR="00756257">
        <w:rPr>
          <w:rFonts w:ascii="Calibri" w:eastAsia="Calibri" w:hAnsi="Calibri" w:cs="Times New Roman"/>
        </w:rPr>
        <w:t>,</w:t>
      </w:r>
      <w:r w:rsidR="00F52A81">
        <w:rPr>
          <w:rFonts w:ascii="Calibri" w:eastAsia="Calibri" w:hAnsi="Calibri" w:cs="Times New Roman"/>
        </w:rPr>
        <w:t xml:space="preserve"> and will only result in a</w:t>
      </w:r>
      <w:r w:rsidR="00007E4C">
        <w:rPr>
          <w:rFonts w:ascii="Calibri" w:eastAsia="Calibri" w:hAnsi="Calibri" w:cs="Times New Roman"/>
        </w:rPr>
        <w:t xml:space="preserve"> Financial</w:t>
      </w:r>
      <w:r w:rsidR="00F52A81">
        <w:rPr>
          <w:rFonts w:ascii="Calibri" w:eastAsia="Calibri" w:hAnsi="Calibri" w:cs="Times New Roman"/>
        </w:rPr>
        <w:t xml:space="preserve"> P</w:t>
      </w:r>
      <w:r w:rsidR="00756257" w:rsidRPr="00356AFB">
        <w:rPr>
          <w:rFonts w:ascii="Calibri" w:eastAsia="Calibri" w:hAnsi="Calibri" w:cs="Times New Roman"/>
        </w:rPr>
        <w:t>enalty if the job seeker</w:t>
      </w:r>
      <w:r w:rsidR="00B00F95">
        <w:rPr>
          <w:rFonts w:ascii="Calibri" w:eastAsia="Calibri" w:hAnsi="Calibri" w:cs="Times New Roman"/>
        </w:rPr>
        <w:t>/participant</w:t>
      </w:r>
      <w:r w:rsidR="00756257" w:rsidRPr="00356AFB">
        <w:rPr>
          <w:rFonts w:ascii="Calibri" w:eastAsia="Calibri" w:hAnsi="Calibri" w:cs="Times New Roman"/>
        </w:rPr>
        <w:t xml:space="preserve"> is in the Penalty Zone and </w:t>
      </w:r>
      <w:r w:rsidR="008C1D20">
        <w:rPr>
          <w:rFonts w:ascii="Calibri" w:eastAsia="Calibri" w:hAnsi="Calibri" w:cs="Times New Roman"/>
        </w:rPr>
        <w:t>Services Australia</w:t>
      </w:r>
      <w:r w:rsidR="00756257" w:rsidRPr="00356AFB">
        <w:rPr>
          <w:rFonts w:ascii="Calibri" w:eastAsia="Calibri" w:hAnsi="Calibri" w:cs="Times New Roman"/>
        </w:rPr>
        <w:t xml:space="preserve"> determines that</w:t>
      </w:r>
      <w:r w:rsidR="00F52A81">
        <w:rPr>
          <w:rFonts w:ascii="Calibri" w:eastAsia="Calibri" w:hAnsi="Calibri" w:cs="Times New Roman"/>
        </w:rPr>
        <w:t xml:space="preserve"> the job seeker</w:t>
      </w:r>
      <w:r w:rsidR="00B00F95">
        <w:rPr>
          <w:rFonts w:ascii="Calibri" w:eastAsia="Calibri" w:hAnsi="Calibri" w:cs="Times New Roman"/>
        </w:rPr>
        <w:t xml:space="preserve">/participant </w:t>
      </w:r>
      <w:r w:rsidR="00F52A81">
        <w:rPr>
          <w:rFonts w:ascii="Calibri" w:eastAsia="Calibri" w:hAnsi="Calibri" w:cs="Times New Roman"/>
        </w:rPr>
        <w:t>did not have a Reasonable Excuse for committing the F</w:t>
      </w:r>
      <w:r w:rsidR="00756257" w:rsidRPr="00356AFB">
        <w:rPr>
          <w:rFonts w:ascii="Calibri" w:eastAsia="Calibri" w:hAnsi="Calibri" w:cs="Times New Roman"/>
        </w:rPr>
        <w:t>ailure</w:t>
      </w:r>
      <w:r w:rsidR="00756257">
        <w:rPr>
          <w:rFonts w:ascii="Calibri" w:eastAsia="Calibri" w:hAnsi="Calibri" w:cs="Times New Roman"/>
        </w:rPr>
        <w:t>.</w:t>
      </w:r>
      <w:r w:rsidR="006404E9">
        <w:rPr>
          <w:rFonts w:ascii="Calibri" w:eastAsia="Calibri" w:hAnsi="Calibri" w:cs="Times New Roman"/>
        </w:rPr>
        <w:t xml:space="preserve"> </w:t>
      </w:r>
    </w:p>
    <w:p w14:paraId="724B5FC1" w14:textId="138C93AD" w:rsidR="000F2EAE" w:rsidRDefault="00756257" w:rsidP="003E3458">
      <w:pPr>
        <w:pStyle w:val="Basic"/>
        <w:spacing w:before="240"/>
      </w:pPr>
      <w:r w:rsidRPr="00D43FE8">
        <w:rPr>
          <w:b/>
        </w:rPr>
        <w:t>Mutual Obligation Requirement</w:t>
      </w:r>
      <w:r w:rsidR="009A1334">
        <w:rPr>
          <w:b/>
        </w:rPr>
        <w:t>—</w:t>
      </w:r>
      <w:r w:rsidR="000506DC">
        <w:t>means the Activity Test, or Participation R</w:t>
      </w:r>
      <w:r w:rsidRPr="00D43FE8">
        <w:t>equirements o</w:t>
      </w:r>
      <w:r w:rsidR="000506DC">
        <w:t>r other R</w:t>
      </w:r>
      <w:r>
        <w:t xml:space="preserve">equirements that a </w:t>
      </w:r>
      <w:r w:rsidR="00007E4C">
        <w:t>TCF job seeker/participant</w:t>
      </w:r>
      <w:r>
        <w:t xml:space="preserve"> </w:t>
      </w:r>
      <w:r w:rsidRPr="00D43FE8">
        <w:t>must meet in order to receive an Incom</w:t>
      </w:r>
      <w:r w:rsidR="000506DC">
        <w:t>e Support Payment, including a R</w:t>
      </w:r>
      <w:r w:rsidRPr="00D43FE8">
        <w:t>equirement that, if not complied with, would be a: Mutual Obligation Failure; Work Refusal Fai</w:t>
      </w:r>
      <w:r>
        <w:t>lure; Unemployment Failure; or F</w:t>
      </w:r>
      <w:r w:rsidRPr="00D43FE8">
        <w:t>ailure to meet a Reconnection Requirement, under the Social Security Law</w:t>
      </w:r>
      <w:r w:rsidRPr="00A9120E">
        <w:t>.</w:t>
      </w:r>
    </w:p>
    <w:p w14:paraId="75FFA458" w14:textId="67C996A8" w:rsidR="000E6B58" w:rsidRPr="000E6B58" w:rsidRDefault="000E6B58" w:rsidP="003E3458">
      <w:pPr>
        <w:pStyle w:val="Basic"/>
        <w:spacing w:before="240"/>
        <w:rPr>
          <w:rFonts w:ascii="Calibri" w:eastAsia="Calibri" w:hAnsi="Calibri" w:cs="Times New Roman"/>
          <w:b/>
        </w:rPr>
      </w:pPr>
      <w:r>
        <w:rPr>
          <w:b/>
        </w:rPr>
        <w:t>Non-Payment</w:t>
      </w:r>
      <w:r w:rsidRPr="009A3044">
        <w:rPr>
          <w:b/>
        </w:rPr>
        <w:t>/Preclusion Period</w:t>
      </w:r>
      <w:r w:rsidR="000F6119">
        <w:rPr>
          <w:b/>
        </w:rPr>
        <w:t>—</w:t>
      </w:r>
      <w:r>
        <w:t>where a</w:t>
      </w:r>
      <w:r w:rsidRPr="00F724F9">
        <w:t xml:space="preserve"> job seeker</w:t>
      </w:r>
      <w:r w:rsidR="00007E4C">
        <w:t>/participant</w:t>
      </w:r>
      <w:r w:rsidRPr="00F724F9">
        <w:t xml:space="preserve"> </w:t>
      </w:r>
      <w:r>
        <w:t xml:space="preserve">subject to the TCF </w:t>
      </w:r>
      <w:r w:rsidRPr="00F724F9">
        <w:t>commits a third Mutual Obligation Failur</w:t>
      </w:r>
      <w:r w:rsidR="00007E4C">
        <w:t xml:space="preserve">e </w:t>
      </w:r>
      <w:r w:rsidRPr="00F724F9">
        <w:t xml:space="preserve">in the </w:t>
      </w:r>
      <w:r>
        <w:t>P</w:t>
      </w:r>
      <w:r w:rsidRPr="00F724F9">
        <w:t xml:space="preserve">enalty </w:t>
      </w:r>
      <w:r>
        <w:t>Z</w:t>
      </w:r>
      <w:r w:rsidRPr="00F724F9">
        <w:t xml:space="preserve">one, or (while in any </w:t>
      </w:r>
      <w:r>
        <w:t>Z</w:t>
      </w:r>
      <w:r w:rsidRPr="00F724F9">
        <w:t xml:space="preserve">one) commits a Work Refusal Failure or an Unemployment Failure, </w:t>
      </w:r>
      <w:r w:rsidR="008C1D20">
        <w:t>Services Australia</w:t>
      </w:r>
      <w:r>
        <w:t xml:space="preserve"> will cancel their</w:t>
      </w:r>
      <w:r w:rsidR="00007E4C">
        <w:t xml:space="preserve"> Income Support Payment and they </w:t>
      </w:r>
      <w:r>
        <w:t>will be subject to a (generally four week, six weeks in some limited circumstance</w:t>
      </w:r>
      <w:r w:rsidR="00007E4C">
        <w:t>s) Non-P</w:t>
      </w:r>
      <w:r>
        <w:t>ayment</w:t>
      </w:r>
      <w:r w:rsidR="00007E4C">
        <w:t>/Preclusion P</w:t>
      </w:r>
      <w:r>
        <w:t>eriod (i.e. during which they are precluded from receiving the</w:t>
      </w:r>
      <w:r w:rsidR="00007E4C">
        <w:t xml:space="preserve">ir participation payment). Like Financial Penalties for Mutual Obligation Failures in the Penalty Zone, these penalties </w:t>
      </w:r>
      <w:r>
        <w:t xml:space="preserve">cannot be waived by </w:t>
      </w:r>
      <w:r w:rsidR="008C1D20">
        <w:t>Services Australia</w:t>
      </w:r>
      <w:r w:rsidR="007A4107">
        <w:t xml:space="preserve">, </w:t>
      </w:r>
      <w:proofErr w:type="gramStart"/>
      <w:r w:rsidR="007A4107">
        <w:t>however</w:t>
      </w:r>
      <w:proofErr w:type="gramEnd"/>
      <w:r w:rsidR="007A4107">
        <w:t xml:space="preserve"> can be appealed</w:t>
      </w:r>
      <w:r>
        <w:t xml:space="preserve">. </w:t>
      </w:r>
    </w:p>
    <w:p w14:paraId="4E76C6EE" w14:textId="09E5BA79" w:rsidR="000F2EAE" w:rsidRDefault="004E741E" w:rsidP="003E3458">
      <w:pPr>
        <w:pStyle w:val="Basic"/>
        <w:spacing w:before="240"/>
      </w:pPr>
      <w:r>
        <w:rPr>
          <w:b/>
        </w:rPr>
        <w:t>Penalty Decisions</w:t>
      </w:r>
      <w:r w:rsidR="009A1334">
        <w:t>—</w:t>
      </w:r>
      <w:r w:rsidRPr="007E21C9">
        <w:t>Job seekers</w:t>
      </w:r>
      <w:r>
        <w:t>/participants</w:t>
      </w:r>
      <w:r w:rsidRPr="007E21C9">
        <w:t xml:space="preserve"> do not continue to accrue Demerits in t</w:t>
      </w:r>
      <w:r>
        <w:t xml:space="preserve">he Penalty Zone; instead, </w:t>
      </w:r>
      <w:r w:rsidR="008C1D20">
        <w:t>Services Australia</w:t>
      </w:r>
      <w:r>
        <w:t xml:space="preserve"> will investigate the non</w:t>
      </w:r>
      <w:r w:rsidR="002F52C6">
        <w:noBreakHyphen/>
      </w:r>
      <w:r>
        <w:t xml:space="preserve">compliance and determine </w:t>
      </w:r>
      <w:proofErr w:type="gramStart"/>
      <w:r>
        <w:t>whether or not</w:t>
      </w:r>
      <w:proofErr w:type="gramEnd"/>
      <w:r>
        <w:t xml:space="preserve"> to apply a Financial Penalty. </w:t>
      </w:r>
      <w:r w:rsidRPr="009C04B8">
        <w:t>Before any penalty is applied, the job seeker</w:t>
      </w:r>
      <w:r>
        <w:t>/participant</w:t>
      </w:r>
      <w:r w:rsidRPr="009C04B8">
        <w:t xml:space="preserve"> will be notified and given the op</w:t>
      </w:r>
      <w:r>
        <w:t>portunity to either accept the P</w:t>
      </w:r>
      <w:r w:rsidRPr="009C04B8">
        <w:t xml:space="preserve">enalty or explain the reasons for the non-compliance to </w:t>
      </w:r>
      <w:r w:rsidR="008C1D20">
        <w:t>Services Australia</w:t>
      </w:r>
      <w:r w:rsidRPr="009C04B8">
        <w:t>. If the j</w:t>
      </w:r>
      <w:r>
        <w:t>ob seeker</w:t>
      </w:r>
      <w:r w:rsidR="00B00F95">
        <w:t>/participant</w:t>
      </w:r>
      <w:r>
        <w:t xml:space="preserve"> satisfies </w:t>
      </w:r>
      <w:r w:rsidR="008C1D20">
        <w:t>Services Australia</w:t>
      </w:r>
      <w:r w:rsidRPr="009C04B8">
        <w:t xml:space="preserve"> that </w:t>
      </w:r>
      <w:r>
        <w:t xml:space="preserve">they have a </w:t>
      </w:r>
      <w:r w:rsidRPr="00C46300">
        <w:rPr>
          <w:b/>
          <w:i/>
        </w:rPr>
        <w:t>Reasonable Excuse</w:t>
      </w:r>
      <w:r>
        <w:t xml:space="preserve"> </w:t>
      </w:r>
      <w:r w:rsidRPr="009C04B8">
        <w:t>for</w:t>
      </w:r>
      <w:r>
        <w:t xml:space="preserve"> the Failure, they will not face a Financial Penalty. If </w:t>
      </w:r>
      <w:r w:rsidR="008C1D20">
        <w:t>Services Australia</w:t>
      </w:r>
      <w:r>
        <w:t xml:space="preserve"> determines they committed </w:t>
      </w:r>
      <w:r>
        <w:lastRenderedPageBreak/>
        <w:t>a F</w:t>
      </w:r>
      <w:r w:rsidRPr="007E21C9">
        <w:t xml:space="preserve">ailure without a Reasonable Excuse, a </w:t>
      </w:r>
      <w:r>
        <w:t>F</w:t>
      </w:r>
      <w:r w:rsidRPr="007E21C9">
        <w:t>inanci</w:t>
      </w:r>
      <w:r>
        <w:t xml:space="preserve">al Penalty will be applied. A </w:t>
      </w:r>
      <w:r w:rsidR="008C1D20">
        <w:t>Services Australia</w:t>
      </w:r>
      <w:r>
        <w:t xml:space="preserve"> </w:t>
      </w:r>
      <w:r w:rsidRPr="007E21C9">
        <w:t xml:space="preserve">decision to apply </w:t>
      </w:r>
      <w:r>
        <w:t>a Financial Penalty is appealable under Social Security Law.</w:t>
      </w:r>
    </w:p>
    <w:p w14:paraId="37B6A381" w14:textId="7BB073B1" w:rsidR="000F2EAE" w:rsidRDefault="00756257" w:rsidP="003E3458">
      <w:pPr>
        <w:pStyle w:val="Basic"/>
        <w:spacing w:before="240"/>
        <w:rPr>
          <w:rFonts w:ascii="Calibri" w:eastAsia="Calibri" w:hAnsi="Calibri" w:cs="Times New Roman"/>
        </w:rPr>
      </w:pPr>
      <w:r w:rsidRPr="00F33B10">
        <w:rPr>
          <w:rFonts w:ascii="Calibri" w:eastAsia="Calibri" w:hAnsi="Calibri" w:cs="Times New Roman"/>
          <w:b/>
        </w:rPr>
        <w:t>Penalty Zone</w:t>
      </w:r>
      <w:r w:rsidR="009A1334">
        <w:rPr>
          <w:rFonts w:ascii="Calibri" w:eastAsia="Calibri" w:hAnsi="Calibri" w:cs="Times New Roman"/>
          <w:b/>
        </w:rPr>
        <w:t>—</w:t>
      </w:r>
      <w:r w:rsidRPr="00F33B10">
        <w:rPr>
          <w:rFonts w:ascii="Calibri" w:eastAsia="Calibri" w:hAnsi="Calibri" w:cs="Times New Roman"/>
        </w:rPr>
        <w:t>When a job seeker</w:t>
      </w:r>
      <w:r w:rsidR="00007E4C">
        <w:rPr>
          <w:rFonts w:ascii="Calibri" w:eastAsia="Calibri" w:hAnsi="Calibri" w:cs="Times New Roman"/>
        </w:rPr>
        <w:t>/participant</w:t>
      </w:r>
      <w:r w:rsidRPr="00F33B10">
        <w:rPr>
          <w:rFonts w:ascii="Calibri" w:eastAsia="Calibri" w:hAnsi="Calibri" w:cs="Times New Roman"/>
        </w:rPr>
        <w:t xml:space="preserve"> has been assessed </w:t>
      </w:r>
      <w:r>
        <w:rPr>
          <w:rFonts w:ascii="Calibri" w:eastAsia="Calibri" w:hAnsi="Calibri" w:cs="Times New Roman"/>
        </w:rPr>
        <w:t xml:space="preserve">by </w:t>
      </w:r>
      <w:r w:rsidR="008C1D20">
        <w:rPr>
          <w:rFonts w:ascii="Calibri" w:eastAsia="Calibri" w:hAnsi="Calibri" w:cs="Times New Roman"/>
        </w:rPr>
        <w:t>Services Australia</w:t>
      </w:r>
      <w:r>
        <w:rPr>
          <w:rFonts w:ascii="Calibri" w:eastAsia="Calibri" w:hAnsi="Calibri" w:cs="Times New Roman"/>
        </w:rPr>
        <w:t xml:space="preserve"> </w:t>
      </w:r>
      <w:r w:rsidR="000506DC">
        <w:rPr>
          <w:rFonts w:ascii="Calibri" w:eastAsia="Calibri" w:hAnsi="Calibri" w:cs="Times New Roman"/>
        </w:rPr>
        <w:t>as capable of meeting their R</w:t>
      </w:r>
      <w:r w:rsidRPr="00F33B10">
        <w:rPr>
          <w:rFonts w:ascii="Calibri" w:eastAsia="Calibri" w:hAnsi="Calibri" w:cs="Times New Roman"/>
        </w:rPr>
        <w:t xml:space="preserve">equirements at a Capability Assessment they will move </w:t>
      </w:r>
      <w:proofErr w:type="gramStart"/>
      <w:r w:rsidRPr="00F33B10">
        <w:rPr>
          <w:rFonts w:ascii="Calibri" w:eastAsia="Calibri" w:hAnsi="Calibri" w:cs="Times New Roman"/>
        </w:rPr>
        <w:t>in to</w:t>
      </w:r>
      <w:proofErr w:type="gramEnd"/>
      <w:r w:rsidRPr="00F33B10">
        <w:rPr>
          <w:rFonts w:ascii="Calibri" w:eastAsia="Calibri" w:hAnsi="Calibri" w:cs="Times New Roman"/>
        </w:rPr>
        <w:t xml:space="preserve"> the Penalty Zone. </w:t>
      </w:r>
      <w:r w:rsidRPr="002E3E44">
        <w:rPr>
          <w:rFonts w:ascii="Calibri" w:eastAsia="Calibri" w:hAnsi="Calibri" w:cs="Times New Roman"/>
        </w:rPr>
        <w:t>Job seekers</w:t>
      </w:r>
      <w:r w:rsidR="00007E4C">
        <w:rPr>
          <w:rFonts w:ascii="Calibri" w:eastAsia="Calibri" w:hAnsi="Calibri" w:cs="Times New Roman"/>
        </w:rPr>
        <w:t>/participants</w:t>
      </w:r>
      <w:r w:rsidRPr="002E3E44">
        <w:rPr>
          <w:rFonts w:ascii="Calibri" w:eastAsia="Calibri" w:hAnsi="Calibri" w:cs="Times New Roman"/>
        </w:rPr>
        <w:t xml:space="preserve"> </w:t>
      </w:r>
      <w:r w:rsidR="00007E4C">
        <w:rPr>
          <w:rFonts w:ascii="Calibri" w:eastAsia="Calibri" w:hAnsi="Calibri" w:cs="Times New Roman"/>
        </w:rPr>
        <w:t>in the Penalty Z</w:t>
      </w:r>
      <w:r>
        <w:rPr>
          <w:rFonts w:ascii="Calibri" w:eastAsia="Calibri" w:hAnsi="Calibri" w:cs="Times New Roman"/>
        </w:rPr>
        <w:t xml:space="preserve">one </w:t>
      </w:r>
      <w:r w:rsidRPr="002E3E44">
        <w:rPr>
          <w:rFonts w:ascii="Calibri" w:eastAsia="Calibri" w:hAnsi="Calibri" w:cs="Times New Roman"/>
        </w:rPr>
        <w:t xml:space="preserve">will incur </w:t>
      </w:r>
      <w:r w:rsidR="00F22DA1">
        <w:rPr>
          <w:rFonts w:ascii="Calibri" w:eastAsia="Calibri" w:hAnsi="Calibri" w:cs="Times New Roman"/>
        </w:rPr>
        <w:t>F</w:t>
      </w:r>
      <w:r w:rsidRPr="002E3E44">
        <w:rPr>
          <w:rFonts w:ascii="Calibri" w:eastAsia="Calibri" w:hAnsi="Calibri" w:cs="Times New Roman"/>
        </w:rPr>
        <w:t xml:space="preserve">inancial </w:t>
      </w:r>
      <w:r w:rsidR="00F22DA1">
        <w:rPr>
          <w:rFonts w:ascii="Calibri" w:eastAsia="Calibri" w:hAnsi="Calibri" w:cs="Times New Roman"/>
        </w:rPr>
        <w:t>P</w:t>
      </w:r>
      <w:r w:rsidRPr="002E3E44">
        <w:rPr>
          <w:rFonts w:ascii="Calibri" w:eastAsia="Calibri" w:hAnsi="Calibri" w:cs="Times New Roman"/>
        </w:rPr>
        <w:t>enalties where they do not have a Reasonable Excuse</w:t>
      </w:r>
      <w:r>
        <w:rPr>
          <w:rFonts w:ascii="Calibri" w:eastAsia="Calibri" w:hAnsi="Calibri" w:cs="Times New Roman"/>
        </w:rPr>
        <w:t xml:space="preserve"> for failing to comply with a Mutual Obligation Requirement</w:t>
      </w:r>
      <w:r w:rsidRPr="002E3E44">
        <w:rPr>
          <w:rFonts w:ascii="Calibri" w:eastAsia="Calibri" w:hAnsi="Calibri" w:cs="Times New Roman"/>
        </w:rPr>
        <w:t xml:space="preserve">—either following </w:t>
      </w:r>
      <w:r w:rsidR="008C1D20">
        <w:rPr>
          <w:rFonts w:ascii="Calibri" w:eastAsia="Calibri" w:hAnsi="Calibri" w:cs="Times New Roman"/>
        </w:rPr>
        <w:t>Services Australia</w:t>
      </w:r>
      <w:r w:rsidRPr="002E3E44">
        <w:rPr>
          <w:rFonts w:ascii="Calibri" w:eastAsia="Calibri" w:hAnsi="Calibri" w:cs="Times New Roman"/>
        </w:rPr>
        <w:t xml:space="preserve"> investigation or following job seeker</w:t>
      </w:r>
      <w:r w:rsidR="00B00F95">
        <w:rPr>
          <w:rFonts w:ascii="Calibri" w:eastAsia="Calibri" w:hAnsi="Calibri" w:cs="Times New Roman"/>
        </w:rPr>
        <w:t>/participant</w:t>
      </w:r>
      <w:r w:rsidRPr="002E3E44">
        <w:rPr>
          <w:rFonts w:ascii="Calibri" w:eastAsia="Calibri" w:hAnsi="Calibri" w:cs="Times New Roman"/>
        </w:rPr>
        <w:t xml:space="preserve"> acceptance of the penalty. Job seekers</w:t>
      </w:r>
      <w:r w:rsidR="00B00F95">
        <w:rPr>
          <w:rFonts w:ascii="Calibri" w:eastAsia="Calibri" w:hAnsi="Calibri" w:cs="Times New Roman"/>
        </w:rPr>
        <w:t>/</w:t>
      </w:r>
      <w:r w:rsidR="000F6119">
        <w:rPr>
          <w:rFonts w:ascii="Calibri" w:eastAsia="Calibri" w:hAnsi="Calibri" w:cs="Times New Roman"/>
        </w:rPr>
        <w:t>p</w:t>
      </w:r>
      <w:r w:rsidR="00B00F95">
        <w:rPr>
          <w:rFonts w:ascii="Calibri" w:eastAsia="Calibri" w:hAnsi="Calibri" w:cs="Times New Roman"/>
        </w:rPr>
        <w:t>articipants</w:t>
      </w:r>
      <w:r w:rsidRPr="002E3E44">
        <w:rPr>
          <w:rFonts w:ascii="Calibri" w:eastAsia="Calibri" w:hAnsi="Calibri" w:cs="Times New Roman"/>
        </w:rPr>
        <w:t xml:space="preserve"> will experience escalating </w:t>
      </w:r>
      <w:r w:rsidR="00F22DA1">
        <w:rPr>
          <w:rFonts w:ascii="Calibri" w:eastAsia="Calibri" w:hAnsi="Calibri" w:cs="Times New Roman"/>
        </w:rPr>
        <w:t>F</w:t>
      </w:r>
      <w:r w:rsidRPr="002E3E44">
        <w:rPr>
          <w:rFonts w:ascii="Calibri" w:eastAsia="Calibri" w:hAnsi="Calibri" w:cs="Times New Roman"/>
        </w:rPr>
        <w:t xml:space="preserve">inancial </w:t>
      </w:r>
      <w:r w:rsidR="00F22DA1">
        <w:rPr>
          <w:rFonts w:ascii="Calibri" w:eastAsia="Calibri" w:hAnsi="Calibri" w:cs="Times New Roman"/>
        </w:rPr>
        <w:t>P</w:t>
      </w:r>
      <w:r w:rsidRPr="002E3E44">
        <w:rPr>
          <w:rFonts w:ascii="Calibri" w:eastAsia="Calibri" w:hAnsi="Calibri" w:cs="Times New Roman"/>
        </w:rPr>
        <w:t>enalties with each event of a Mutual Obligation Failure. Th</w:t>
      </w:r>
      <w:r w:rsidR="00623F43">
        <w:rPr>
          <w:rFonts w:ascii="Calibri" w:eastAsia="Calibri" w:hAnsi="Calibri" w:cs="Times New Roman"/>
        </w:rPr>
        <w:t>e first F</w:t>
      </w:r>
      <w:r w:rsidR="00007E4C">
        <w:rPr>
          <w:rFonts w:ascii="Calibri" w:eastAsia="Calibri" w:hAnsi="Calibri" w:cs="Times New Roman"/>
        </w:rPr>
        <w:t>ailure results in a loss of half their</w:t>
      </w:r>
      <w:r w:rsidRPr="002E3E44">
        <w:rPr>
          <w:rFonts w:ascii="Calibri" w:eastAsia="Calibri" w:hAnsi="Calibri" w:cs="Times New Roman"/>
        </w:rPr>
        <w:t xml:space="preserve"> fortnightly Income Support Payment; </w:t>
      </w:r>
      <w:r w:rsidR="00623F43">
        <w:rPr>
          <w:rFonts w:ascii="Calibri" w:eastAsia="Calibri" w:hAnsi="Calibri" w:cs="Times New Roman"/>
        </w:rPr>
        <w:t>the second F</w:t>
      </w:r>
      <w:r w:rsidR="00007E4C">
        <w:rPr>
          <w:rFonts w:ascii="Calibri" w:eastAsia="Calibri" w:hAnsi="Calibri" w:cs="Times New Roman"/>
        </w:rPr>
        <w:t xml:space="preserve">ailure results in loss of all their </w:t>
      </w:r>
      <w:r w:rsidRPr="002E3E44">
        <w:rPr>
          <w:rFonts w:ascii="Calibri" w:eastAsia="Calibri" w:hAnsi="Calibri" w:cs="Times New Roman"/>
        </w:rPr>
        <w:t>fortnightly Income Support Payment;</w:t>
      </w:r>
      <w:r w:rsidR="00007E4C">
        <w:rPr>
          <w:rFonts w:ascii="Calibri" w:eastAsia="Calibri" w:hAnsi="Calibri" w:cs="Times New Roman"/>
        </w:rPr>
        <w:t xml:space="preserve"> and a</w:t>
      </w:r>
      <w:r w:rsidR="00623F43">
        <w:rPr>
          <w:rFonts w:ascii="Calibri" w:eastAsia="Calibri" w:hAnsi="Calibri" w:cs="Times New Roman"/>
        </w:rPr>
        <w:t xml:space="preserve"> third F</w:t>
      </w:r>
      <w:r w:rsidRPr="002E3E44">
        <w:rPr>
          <w:rFonts w:ascii="Calibri" w:eastAsia="Calibri" w:hAnsi="Calibri" w:cs="Times New Roman"/>
        </w:rPr>
        <w:t xml:space="preserve">ailure results in payment cancellation and a </w:t>
      </w:r>
      <w:r w:rsidR="001A1716">
        <w:rPr>
          <w:rFonts w:ascii="Calibri" w:eastAsia="Calibri" w:hAnsi="Calibri" w:cs="Times New Roman"/>
        </w:rPr>
        <w:t>four</w:t>
      </w:r>
      <w:r w:rsidRPr="002E3E44">
        <w:rPr>
          <w:rFonts w:ascii="Calibri" w:eastAsia="Calibri" w:hAnsi="Calibri" w:cs="Times New Roman"/>
        </w:rPr>
        <w:t>-week preclusion period.</w:t>
      </w:r>
      <w:r>
        <w:rPr>
          <w:rFonts w:ascii="Calibri" w:eastAsia="Calibri" w:hAnsi="Calibri" w:cs="Times New Roman"/>
        </w:rPr>
        <w:t xml:space="preserve"> </w:t>
      </w:r>
      <w:r w:rsidRPr="002E3E44">
        <w:rPr>
          <w:rFonts w:ascii="Calibri" w:eastAsia="Calibri" w:hAnsi="Calibri" w:cs="Times New Roman"/>
        </w:rPr>
        <w:t>Job seekers</w:t>
      </w:r>
      <w:r w:rsidR="00B00F95">
        <w:rPr>
          <w:rFonts w:ascii="Calibri" w:eastAsia="Calibri" w:hAnsi="Calibri" w:cs="Times New Roman"/>
        </w:rPr>
        <w:t>/Participants</w:t>
      </w:r>
      <w:r w:rsidRPr="002E3E44">
        <w:rPr>
          <w:rFonts w:ascii="Calibri" w:eastAsia="Calibri" w:hAnsi="Calibri" w:cs="Times New Roman"/>
        </w:rPr>
        <w:t xml:space="preserve"> will exit the Penalty Zone and return directly to the Green Zone o</w:t>
      </w:r>
      <w:r w:rsidR="000506DC">
        <w:rPr>
          <w:rFonts w:ascii="Calibri" w:eastAsia="Calibri" w:hAnsi="Calibri" w:cs="Times New Roman"/>
        </w:rPr>
        <w:t xml:space="preserve">nce they have met </w:t>
      </w:r>
      <w:proofErr w:type="gramStart"/>
      <w:r w:rsidR="000506DC">
        <w:rPr>
          <w:rFonts w:ascii="Calibri" w:eastAsia="Calibri" w:hAnsi="Calibri" w:cs="Times New Roman"/>
        </w:rPr>
        <w:t>all of</w:t>
      </w:r>
      <w:proofErr w:type="gramEnd"/>
      <w:r w:rsidR="000506DC">
        <w:rPr>
          <w:rFonts w:ascii="Calibri" w:eastAsia="Calibri" w:hAnsi="Calibri" w:cs="Times New Roman"/>
        </w:rPr>
        <w:t xml:space="preserve"> their R</w:t>
      </w:r>
      <w:r w:rsidRPr="002E3E44">
        <w:rPr>
          <w:rFonts w:ascii="Calibri" w:eastAsia="Calibri" w:hAnsi="Calibri" w:cs="Times New Roman"/>
        </w:rPr>
        <w:t>equirements for three active months.</w:t>
      </w:r>
    </w:p>
    <w:p w14:paraId="6C4754A2" w14:textId="30C5F63B" w:rsidR="00756257" w:rsidRPr="000F2EAE" w:rsidRDefault="00756257" w:rsidP="003E3458">
      <w:pPr>
        <w:pStyle w:val="Basic"/>
        <w:spacing w:before="240"/>
        <w:rPr>
          <w:rFonts w:ascii="Calibri" w:eastAsia="Calibri" w:hAnsi="Calibri" w:cs="Times New Roman"/>
        </w:rPr>
      </w:pPr>
      <w:r w:rsidRPr="00AB5CB9">
        <w:rPr>
          <w:rFonts w:ascii="Calibri" w:hAnsi="Calibri" w:cs="Calibri"/>
          <w:b/>
          <w:color w:val="111111"/>
          <w:lang w:val="en"/>
        </w:rPr>
        <w:t>Reasonable Excuse</w:t>
      </w:r>
      <w:r w:rsidR="009A1334">
        <w:rPr>
          <w:rFonts w:ascii="Calibri" w:hAnsi="Calibri" w:cs="Calibri"/>
          <w:b/>
          <w:color w:val="111111"/>
          <w:lang w:val="en"/>
        </w:rPr>
        <w:t>—</w:t>
      </w:r>
      <w:r>
        <w:rPr>
          <w:rFonts w:ascii="Calibri" w:hAnsi="Calibri" w:cs="Calibri"/>
          <w:color w:val="111111"/>
          <w:lang w:val="en"/>
        </w:rPr>
        <w:t>Under the</w:t>
      </w:r>
      <w:r w:rsidR="00F22DA1">
        <w:rPr>
          <w:rFonts w:ascii="Calibri" w:hAnsi="Calibri" w:cs="Calibri"/>
          <w:color w:val="111111"/>
          <w:lang w:val="en"/>
        </w:rPr>
        <w:t xml:space="preserve"> TCF</w:t>
      </w:r>
      <w:r>
        <w:rPr>
          <w:rFonts w:ascii="Calibri" w:hAnsi="Calibri" w:cs="Calibri"/>
          <w:color w:val="111111"/>
          <w:lang w:val="en"/>
        </w:rPr>
        <w:t xml:space="preserve">, before </w:t>
      </w:r>
      <w:r w:rsidR="008C1D20">
        <w:rPr>
          <w:rFonts w:ascii="Calibri" w:hAnsi="Calibri" w:cs="Calibri"/>
          <w:color w:val="111111"/>
          <w:lang w:val="en"/>
        </w:rPr>
        <w:t>Services Australia</w:t>
      </w:r>
      <w:r>
        <w:rPr>
          <w:rFonts w:ascii="Calibri" w:hAnsi="Calibri" w:cs="Calibri"/>
          <w:color w:val="111111"/>
          <w:lang w:val="en"/>
        </w:rPr>
        <w:t xml:space="preserve"> imposes a </w:t>
      </w:r>
      <w:r w:rsidR="00F22DA1">
        <w:rPr>
          <w:rFonts w:ascii="Calibri" w:hAnsi="Calibri" w:cs="Calibri"/>
          <w:color w:val="111111"/>
          <w:lang w:val="en"/>
        </w:rPr>
        <w:t>F</w:t>
      </w:r>
      <w:r>
        <w:rPr>
          <w:rFonts w:ascii="Calibri" w:hAnsi="Calibri" w:cs="Calibri"/>
          <w:color w:val="111111"/>
          <w:lang w:val="en"/>
        </w:rPr>
        <w:t xml:space="preserve">inancial </w:t>
      </w:r>
      <w:r w:rsidR="00F22DA1">
        <w:rPr>
          <w:rFonts w:ascii="Calibri" w:hAnsi="Calibri" w:cs="Calibri"/>
          <w:color w:val="111111"/>
          <w:lang w:val="en"/>
        </w:rPr>
        <w:t>P</w:t>
      </w:r>
      <w:r>
        <w:rPr>
          <w:rFonts w:ascii="Calibri" w:hAnsi="Calibri" w:cs="Calibri"/>
          <w:color w:val="111111"/>
          <w:lang w:val="en"/>
        </w:rPr>
        <w:t>enalty it must determine if the job seeker</w:t>
      </w:r>
      <w:r w:rsidR="00261CE4">
        <w:rPr>
          <w:rFonts w:ascii="Calibri" w:hAnsi="Calibri" w:cs="Calibri"/>
          <w:color w:val="111111"/>
          <w:lang w:val="en"/>
        </w:rPr>
        <w:t>/participant</w:t>
      </w:r>
      <w:r>
        <w:rPr>
          <w:rFonts w:ascii="Calibri" w:hAnsi="Calibri" w:cs="Calibri"/>
          <w:color w:val="111111"/>
          <w:lang w:val="en"/>
        </w:rPr>
        <w:t xml:space="preserve"> had a </w:t>
      </w:r>
      <w:r w:rsidR="00B00F95">
        <w:rPr>
          <w:rFonts w:ascii="Calibri" w:hAnsi="Calibri" w:cs="Calibri"/>
          <w:color w:val="111111"/>
          <w:lang w:val="en"/>
        </w:rPr>
        <w:t>R</w:t>
      </w:r>
      <w:r>
        <w:rPr>
          <w:rFonts w:ascii="Calibri" w:hAnsi="Calibri" w:cs="Calibri"/>
          <w:color w:val="111111"/>
          <w:lang w:val="en"/>
        </w:rPr>
        <w:t xml:space="preserve">easonable </w:t>
      </w:r>
      <w:r w:rsidR="00B00F95">
        <w:rPr>
          <w:rFonts w:ascii="Calibri" w:hAnsi="Calibri" w:cs="Calibri"/>
          <w:color w:val="111111"/>
          <w:lang w:val="en"/>
        </w:rPr>
        <w:t>E</w:t>
      </w:r>
      <w:r>
        <w:rPr>
          <w:rFonts w:ascii="Calibri" w:hAnsi="Calibri" w:cs="Calibri"/>
          <w:color w:val="111111"/>
          <w:lang w:val="en"/>
        </w:rPr>
        <w:t>x</w:t>
      </w:r>
      <w:r w:rsidR="000506DC">
        <w:rPr>
          <w:rFonts w:ascii="Calibri" w:hAnsi="Calibri" w:cs="Calibri"/>
          <w:color w:val="111111"/>
          <w:lang w:val="en"/>
        </w:rPr>
        <w:t>cuse for failing to meet their R</w:t>
      </w:r>
      <w:r>
        <w:rPr>
          <w:rFonts w:ascii="Calibri" w:hAnsi="Calibri" w:cs="Calibri"/>
          <w:color w:val="111111"/>
          <w:lang w:val="en"/>
        </w:rPr>
        <w:t xml:space="preserve">equirements. </w:t>
      </w:r>
      <w:r w:rsidRPr="00E059CF">
        <w:rPr>
          <w:rFonts w:ascii="Calibri" w:hAnsi="Calibri" w:cs="Calibri"/>
          <w:color w:val="111111"/>
          <w:lang w:val="en"/>
        </w:rPr>
        <w:t xml:space="preserve">The meaning of the term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is not defined in </w:t>
      </w:r>
      <w:proofErr w:type="gramStart"/>
      <w:r w:rsidRPr="00E059CF">
        <w:rPr>
          <w:rFonts w:ascii="Calibri" w:hAnsi="Calibri" w:cs="Calibri"/>
          <w:color w:val="111111"/>
          <w:lang w:val="en"/>
        </w:rPr>
        <w:t>legislation</w:t>
      </w:r>
      <w:proofErr w:type="gramEnd"/>
      <w:r w:rsidRPr="00E059CF">
        <w:rPr>
          <w:rFonts w:ascii="Calibri" w:hAnsi="Calibri" w:cs="Calibri"/>
          <w:color w:val="111111"/>
          <w:lang w:val="en"/>
        </w:rPr>
        <w:t xml:space="preserve"> but the excuse must be one that an ordinary member of the community would accept as reasonable in the circumstances. Mutual </w:t>
      </w:r>
      <w:r w:rsidR="00F22DA1">
        <w:rPr>
          <w:rFonts w:ascii="Calibri" w:hAnsi="Calibri" w:cs="Calibri"/>
          <w:color w:val="111111"/>
          <w:lang w:val="en"/>
        </w:rPr>
        <w:t>O</w:t>
      </w:r>
      <w:r w:rsidR="00623F43">
        <w:rPr>
          <w:rFonts w:ascii="Calibri" w:hAnsi="Calibri" w:cs="Calibri"/>
          <w:color w:val="111111"/>
          <w:lang w:val="en"/>
        </w:rPr>
        <w:t>bligation R</w:t>
      </w:r>
      <w:r w:rsidRPr="00E059CF">
        <w:rPr>
          <w:rFonts w:ascii="Calibri" w:hAnsi="Calibri" w:cs="Calibri"/>
          <w:color w:val="111111"/>
          <w:lang w:val="en"/>
        </w:rPr>
        <w:t>equirements are designed to prepare job seekers</w:t>
      </w:r>
      <w:r w:rsidR="00261CE4">
        <w:rPr>
          <w:rFonts w:ascii="Calibri" w:hAnsi="Calibri" w:cs="Calibri"/>
          <w:color w:val="111111"/>
          <w:lang w:val="en"/>
        </w:rPr>
        <w:t>/participants</w:t>
      </w:r>
      <w:r w:rsidRPr="00E059CF">
        <w:rPr>
          <w:rFonts w:ascii="Calibri" w:hAnsi="Calibri" w:cs="Calibri"/>
          <w:color w:val="111111"/>
          <w:lang w:val="en"/>
        </w:rPr>
        <w:t xml:space="preserve"> for work and therefore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xcuse should generally also be one that an employer would consider reasonable for an employee who missed work. If the circumstance that prevented the job seeker</w:t>
      </w:r>
      <w:r w:rsidR="00261CE4">
        <w:rPr>
          <w:rFonts w:ascii="Calibri" w:hAnsi="Calibri" w:cs="Calibri"/>
          <w:color w:val="111111"/>
          <w:lang w:val="en"/>
        </w:rPr>
        <w:t>/participant</w:t>
      </w:r>
      <w:r w:rsidR="000506DC">
        <w:rPr>
          <w:rFonts w:ascii="Calibri" w:hAnsi="Calibri" w:cs="Calibri"/>
          <w:color w:val="111111"/>
          <w:lang w:val="en"/>
        </w:rPr>
        <w:t xml:space="preserve"> from meeting their R</w:t>
      </w:r>
      <w:r w:rsidRPr="00E059CF">
        <w:rPr>
          <w:rFonts w:ascii="Calibri" w:hAnsi="Calibri" w:cs="Calibri"/>
          <w:color w:val="111111"/>
          <w:lang w:val="en"/>
        </w:rPr>
        <w:t xml:space="preserve">equirement was unforeseeable and outside the person's control, it provides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xcuse. However, this does not necessarily mean a circumstance that was foreseeable or was within the job seeker's</w:t>
      </w:r>
      <w:r w:rsidR="00261CE4">
        <w:rPr>
          <w:rFonts w:ascii="Calibri" w:hAnsi="Calibri" w:cs="Calibri"/>
          <w:color w:val="111111"/>
          <w:lang w:val="en"/>
        </w:rPr>
        <w:t>/participant’s</w:t>
      </w:r>
      <w:r w:rsidRPr="00E059CF">
        <w:rPr>
          <w:rFonts w:ascii="Calibri" w:hAnsi="Calibri" w:cs="Calibri"/>
          <w:color w:val="111111"/>
          <w:lang w:val="en"/>
        </w:rPr>
        <w:t xml:space="preserve"> control can never constitute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w:t>
      </w:r>
    </w:p>
    <w:p w14:paraId="0786B3FB" w14:textId="62B249EF" w:rsidR="00756257" w:rsidRDefault="00756257" w:rsidP="003E3458">
      <w:pPr>
        <w:pStyle w:val="Basic"/>
        <w:rPr>
          <w:rFonts w:ascii="Calibri" w:hAnsi="Calibri" w:cs="Calibri"/>
          <w:color w:val="111111"/>
          <w:lang w:val="en"/>
        </w:rPr>
      </w:pPr>
      <w:r>
        <w:rPr>
          <w:rFonts w:ascii="Calibri" w:hAnsi="Calibri" w:cs="Calibri"/>
          <w:color w:val="111111"/>
          <w:lang w:val="en"/>
        </w:rPr>
        <w:t xml:space="preserve">The </w:t>
      </w:r>
      <w:hyperlink r:id="rId20" w:history="1">
        <w:r w:rsidRPr="003E3458">
          <w:rPr>
            <w:rStyle w:val="Hyperlink"/>
            <w:rFonts w:ascii="Calibri" w:hAnsi="Calibri" w:cs="Calibri"/>
            <w:i/>
            <w:szCs w:val="20"/>
            <w:lang w:val="en"/>
          </w:rPr>
          <w:t>Social Security (Administration) (Reasonable Excuse</w:t>
        </w:r>
        <w:r w:rsidR="009A1334">
          <w:rPr>
            <w:rStyle w:val="Hyperlink"/>
            <w:rFonts w:ascii="Calibri" w:hAnsi="Calibri" w:cs="Calibri"/>
            <w:i/>
            <w:szCs w:val="20"/>
            <w:lang w:val="en"/>
          </w:rPr>
          <w:t>—</w:t>
        </w:r>
        <w:r w:rsidRPr="003E3458">
          <w:rPr>
            <w:rStyle w:val="Hyperlink"/>
            <w:rFonts w:ascii="Calibri" w:hAnsi="Calibri" w:cs="Calibri"/>
            <w:i/>
            <w:szCs w:val="20"/>
            <w:lang w:val="en"/>
          </w:rPr>
          <w:t>Participation Payments) Determination 2018</w:t>
        </w:r>
      </w:hyperlink>
      <w:r>
        <w:rPr>
          <w:rFonts w:ascii="Calibri" w:hAnsi="Calibri" w:cs="Calibri"/>
          <w:color w:val="111111"/>
          <w:lang w:val="en"/>
        </w:rPr>
        <w:t xml:space="preserve"> sets out a list of specific fact</w:t>
      </w:r>
      <w:r w:rsidR="00261CE4">
        <w:rPr>
          <w:rFonts w:ascii="Calibri" w:hAnsi="Calibri" w:cs="Calibri"/>
          <w:color w:val="111111"/>
          <w:lang w:val="en"/>
        </w:rPr>
        <w:t>ors relating to</w:t>
      </w:r>
      <w:r>
        <w:rPr>
          <w:rFonts w:ascii="Calibri" w:hAnsi="Calibri" w:cs="Calibri"/>
          <w:color w:val="111111"/>
          <w:lang w:val="en"/>
        </w:rPr>
        <w:t xml:space="preserve"> personal circumstances which </w:t>
      </w:r>
      <w:r w:rsidR="008C1D20">
        <w:rPr>
          <w:rFonts w:ascii="Calibri" w:hAnsi="Calibri" w:cs="Calibri"/>
          <w:color w:val="111111"/>
          <w:lang w:val="en"/>
        </w:rPr>
        <w:t>Services Australia</w:t>
      </w:r>
      <w:r>
        <w:rPr>
          <w:rFonts w:ascii="Calibri" w:hAnsi="Calibri" w:cs="Calibri"/>
          <w:color w:val="111111"/>
          <w:lang w:val="en"/>
        </w:rPr>
        <w:t xml:space="preserve"> must take into account when determining </w:t>
      </w:r>
      <w:r w:rsidR="00B00F95">
        <w:rPr>
          <w:rFonts w:ascii="Calibri" w:hAnsi="Calibri" w:cs="Calibri"/>
          <w:color w:val="111111"/>
          <w:lang w:val="en"/>
        </w:rPr>
        <w:t>R</w:t>
      </w:r>
      <w:r>
        <w:rPr>
          <w:rFonts w:ascii="Calibri" w:hAnsi="Calibri" w:cs="Calibri"/>
          <w:color w:val="111111"/>
          <w:lang w:val="en"/>
        </w:rPr>
        <w:t xml:space="preserve">easonable </w:t>
      </w:r>
      <w:r w:rsidR="00B00F95">
        <w:rPr>
          <w:rFonts w:ascii="Calibri" w:hAnsi="Calibri" w:cs="Calibri"/>
          <w:color w:val="111111"/>
          <w:lang w:val="en"/>
        </w:rPr>
        <w:t>E</w:t>
      </w:r>
      <w:r>
        <w:rPr>
          <w:rFonts w:ascii="Calibri" w:hAnsi="Calibri" w:cs="Calibri"/>
          <w:color w:val="111111"/>
          <w:lang w:val="en"/>
        </w:rPr>
        <w:t xml:space="preserve">xcuse, as well as factors </w:t>
      </w:r>
      <w:r w:rsidR="008C1D20">
        <w:rPr>
          <w:rFonts w:ascii="Calibri" w:hAnsi="Calibri" w:cs="Calibri"/>
          <w:color w:val="111111"/>
          <w:lang w:val="en"/>
        </w:rPr>
        <w:t>Services Australia</w:t>
      </w:r>
      <w:r>
        <w:rPr>
          <w:rFonts w:ascii="Calibri" w:hAnsi="Calibri" w:cs="Calibri"/>
          <w:color w:val="111111"/>
          <w:lang w:val="en"/>
        </w:rPr>
        <w:t xml:space="preserve"> </w:t>
      </w:r>
      <w:r w:rsidRPr="007065A2">
        <w:rPr>
          <w:rFonts w:ascii="Calibri" w:hAnsi="Calibri" w:cs="Calibri"/>
          <w:i/>
          <w:color w:val="111111"/>
          <w:lang w:val="en"/>
        </w:rPr>
        <w:t>must not</w:t>
      </w:r>
      <w:r>
        <w:rPr>
          <w:rFonts w:ascii="Calibri" w:hAnsi="Calibri" w:cs="Calibri"/>
          <w:color w:val="111111"/>
          <w:lang w:val="en"/>
        </w:rPr>
        <w:t xml:space="preserve"> consider, including drug or alcohol dependency if the job seeker</w:t>
      </w:r>
      <w:r w:rsidR="00261CE4">
        <w:rPr>
          <w:rFonts w:ascii="Calibri" w:hAnsi="Calibri" w:cs="Calibri"/>
          <w:color w:val="111111"/>
          <w:lang w:val="en"/>
        </w:rPr>
        <w:t>/participant</w:t>
      </w:r>
      <w:r>
        <w:rPr>
          <w:rFonts w:ascii="Calibri" w:hAnsi="Calibri" w:cs="Calibri"/>
          <w:color w:val="111111"/>
          <w:lang w:val="en"/>
        </w:rPr>
        <w:t xml:space="preserve"> has previously used drug or alcohol dependency as a </w:t>
      </w:r>
      <w:r w:rsidR="00B00F95">
        <w:rPr>
          <w:rFonts w:ascii="Calibri" w:hAnsi="Calibri" w:cs="Calibri"/>
          <w:color w:val="111111"/>
          <w:lang w:val="en"/>
        </w:rPr>
        <w:t>R</w:t>
      </w:r>
      <w:r>
        <w:rPr>
          <w:rFonts w:ascii="Calibri" w:hAnsi="Calibri" w:cs="Calibri"/>
          <w:color w:val="111111"/>
          <w:lang w:val="en"/>
        </w:rPr>
        <w:t xml:space="preserve">easonable </w:t>
      </w:r>
      <w:r w:rsidR="00B00F95">
        <w:rPr>
          <w:rFonts w:ascii="Calibri" w:hAnsi="Calibri" w:cs="Calibri"/>
          <w:color w:val="111111"/>
          <w:lang w:val="en"/>
        </w:rPr>
        <w:t>E</w:t>
      </w:r>
      <w:r>
        <w:rPr>
          <w:rFonts w:ascii="Calibri" w:hAnsi="Calibri" w:cs="Calibri"/>
          <w:color w:val="111111"/>
          <w:lang w:val="en"/>
        </w:rPr>
        <w:t>xcuse and refused or failed to part</w:t>
      </w:r>
      <w:r w:rsidR="00F52A81">
        <w:rPr>
          <w:rFonts w:ascii="Calibri" w:hAnsi="Calibri" w:cs="Calibri"/>
          <w:color w:val="111111"/>
          <w:lang w:val="en"/>
        </w:rPr>
        <w:t xml:space="preserve">icipate in available treatment. </w:t>
      </w:r>
      <w:r>
        <w:rPr>
          <w:rFonts w:ascii="Calibri" w:hAnsi="Calibri" w:cs="Calibri"/>
          <w:color w:val="111111"/>
          <w:lang w:val="en"/>
        </w:rPr>
        <w:t>R</w:t>
      </w:r>
      <w:r w:rsidRPr="00E059CF">
        <w:rPr>
          <w:rFonts w:ascii="Calibri" w:hAnsi="Calibri" w:cs="Calibri"/>
          <w:color w:val="111111"/>
          <w:lang w:val="en"/>
        </w:rPr>
        <w:t xml:space="preserve">egardless of any given reason, the </w:t>
      </w:r>
      <w:r w:rsidR="00261CE4">
        <w:rPr>
          <w:rFonts w:ascii="Calibri" w:hAnsi="Calibri" w:cs="Calibri"/>
          <w:color w:val="111111"/>
          <w:lang w:val="en"/>
        </w:rPr>
        <w:t xml:space="preserve">job seeker/participant </w:t>
      </w:r>
      <w:r w:rsidRPr="00E059CF">
        <w:rPr>
          <w:rFonts w:ascii="Calibri" w:hAnsi="Calibri" w:cs="Calibri"/>
          <w:color w:val="111111"/>
          <w:lang w:val="en"/>
        </w:rPr>
        <w:t xml:space="preserve">cannot be taken to have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xcuse for not attending</w:t>
      </w:r>
      <w:r>
        <w:rPr>
          <w:rFonts w:ascii="Calibri" w:hAnsi="Calibri" w:cs="Calibri"/>
          <w:color w:val="111111"/>
          <w:lang w:val="en"/>
        </w:rPr>
        <w:t xml:space="preserve"> an appointment or activity if: </w:t>
      </w:r>
      <w:r w:rsidRPr="00E059CF">
        <w:rPr>
          <w:rFonts w:ascii="Calibri" w:hAnsi="Calibri" w:cs="Calibri"/>
          <w:color w:val="111111"/>
          <w:lang w:val="en"/>
        </w:rPr>
        <w:t>it was reas</w:t>
      </w:r>
      <w:r w:rsidR="00261CE4">
        <w:rPr>
          <w:rFonts w:ascii="Calibri" w:hAnsi="Calibri" w:cs="Calibri"/>
          <w:color w:val="111111"/>
          <w:lang w:val="en"/>
        </w:rPr>
        <w:t xml:space="preserve">onable to expect the job seeker/participant </w:t>
      </w:r>
      <w:r w:rsidRPr="00E059CF">
        <w:rPr>
          <w:rFonts w:ascii="Calibri" w:hAnsi="Calibri" w:cs="Calibri"/>
          <w:color w:val="111111"/>
          <w:lang w:val="en"/>
        </w:rPr>
        <w:t xml:space="preserve">to have given prior notice of the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xcuse to the organisation which arranged t</w:t>
      </w:r>
      <w:r>
        <w:rPr>
          <w:rFonts w:ascii="Calibri" w:hAnsi="Calibri" w:cs="Calibri"/>
          <w:color w:val="111111"/>
          <w:lang w:val="en"/>
        </w:rPr>
        <w:t xml:space="preserve">he appointment or activity, and </w:t>
      </w:r>
      <w:r w:rsidR="00261CE4">
        <w:rPr>
          <w:rFonts w:ascii="Calibri" w:hAnsi="Calibri" w:cs="Calibri"/>
          <w:color w:val="111111"/>
          <w:lang w:val="en"/>
        </w:rPr>
        <w:t>they</w:t>
      </w:r>
      <w:r w:rsidRPr="00E059CF">
        <w:rPr>
          <w:rFonts w:ascii="Calibri" w:hAnsi="Calibri" w:cs="Calibri"/>
          <w:color w:val="111111"/>
          <w:lang w:val="en"/>
        </w:rPr>
        <w:t xml:space="preserve"> failed to do so.</w:t>
      </w:r>
    </w:p>
    <w:p w14:paraId="5B50CA69" w14:textId="5BD0275B" w:rsidR="00756257" w:rsidRDefault="00756257" w:rsidP="003E3458">
      <w:pPr>
        <w:pStyle w:val="Basic"/>
        <w:spacing w:before="240"/>
        <w:rPr>
          <w:rFonts w:ascii="Calibri" w:eastAsia="Calibri" w:hAnsi="Calibri" w:cs="Times New Roman"/>
        </w:rPr>
      </w:pPr>
      <w:r w:rsidRPr="00A9120E">
        <w:rPr>
          <w:rFonts w:ascii="Calibri" w:eastAsia="Calibri" w:hAnsi="Calibri" w:cs="Times New Roman"/>
          <w:b/>
        </w:rPr>
        <w:t>Re</w:t>
      </w:r>
      <w:r w:rsidR="005C3491">
        <w:rPr>
          <w:rFonts w:ascii="Calibri" w:eastAsia="Calibri" w:hAnsi="Calibri" w:cs="Times New Roman"/>
          <w:b/>
        </w:rPr>
        <w:t>-engagement</w:t>
      </w:r>
      <w:r w:rsidRPr="00A9120E">
        <w:rPr>
          <w:rFonts w:ascii="Calibri" w:eastAsia="Calibri" w:hAnsi="Calibri" w:cs="Times New Roman"/>
          <w:b/>
        </w:rPr>
        <w:t xml:space="preserve"> Requirement</w:t>
      </w:r>
      <w:r w:rsidR="009A1334">
        <w:rPr>
          <w:rFonts w:ascii="Calibri" w:eastAsia="Calibri" w:hAnsi="Calibri" w:cs="Times New Roman"/>
          <w:b/>
        </w:rPr>
        <w:t>—</w:t>
      </w:r>
      <w:r>
        <w:rPr>
          <w:rFonts w:ascii="Calibri" w:eastAsia="Calibri" w:hAnsi="Calibri" w:cs="Times New Roman"/>
        </w:rPr>
        <w:t xml:space="preserve">is the </w:t>
      </w:r>
      <w:r w:rsidR="00F22DA1">
        <w:rPr>
          <w:rFonts w:ascii="Calibri" w:eastAsia="Calibri" w:hAnsi="Calibri" w:cs="Times New Roman"/>
        </w:rPr>
        <w:t>M</w:t>
      </w:r>
      <w:r>
        <w:rPr>
          <w:rFonts w:ascii="Calibri" w:eastAsia="Calibri" w:hAnsi="Calibri" w:cs="Times New Roman"/>
        </w:rPr>
        <w:t xml:space="preserve">utual </w:t>
      </w:r>
      <w:r w:rsidR="00F22DA1">
        <w:rPr>
          <w:rFonts w:ascii="Calibri" w:eastAsia="Calibri" w:hAnsi="Calibri" w:cs="Times New Roman"/>
        </w:rPr>
        <w:t>O</w:t>
      </w:r>
      <w:r w:rsidR="000506DC">
        <w:rPr>
          <w:rFonts w:ascii="Calibri" w:eastAsia="Calibri" w:hAnsi="Calibri" w:cs="Times New Roman"/>
        </w:rPr>
        <w:t>bligation R</w:t>
      </w:r>
      <w:r>
        <w:rPr>
          <w:rFonts w:ascii="Calibri" w:eastAsia="Calibri" w:hAnsi="Calibri" w:cs="Times New Roman"/>
        </w:rPr>
        <w:t xml:space="preserve">equirement </w:t>
      </w:r>
      <w:r w:rsidRPr="00A9120E">
        <w:rPr>
          <w:rFonts w:ascii="Calibri" w:eastAsia="Calibri" w:hAnsi="Calibri" w:cs="Times New Roman"/>
        </w:rPr>
        <w:t>a job seeker</w:t>
      </w:r>
      <w:r w:rsidR="00261CE4">
        <w:rPr>
          <w:rFonts w:ascii="Calibri" w:eastAsia="Calibri" w:hAnsi="Calibri" w:cs="Times New Roman"/>
        </w:rPr>
        <w:t>/participant</w:t>
      </w:r>
      <w:r w:rsidRPr="00A9120E">
        <w:rPr>
          <w:rFonts w:ascii="Calibri" w:eastAsia="Calibri" w:hAnsi="Calibri" w:cs="Times New Roman"/>
        </w:rPr>
        <w:t xml:space="preserve"> must meet to end a</w:t>
      </w:r>
      <w:r>
        <w:rPr>
          <w:rFonts w:ascii="Calibri" w:eastAsia="Calibri" w:hAnsi="Calibri" w:cs="Times New Roman"/>
        </w:rPr>
        <w:t xml:space="preserve">n </w:t>
      </w:r>
      <w:r w:rsidR="001C0842">
        <w:rPr>
          <w:rFonts w:ascii="Calibri" w:eastAsia="Calibri" w:hAnsi="Calibri" w:cs="Times New Roman"/>
        </w:rPr>
        <w:t>Income Support Payment S</w:t>
      </w:r>
      <w:r>
        <w:rPr>
          <w:rFonts w:ascii="Calibri" w:eastAsia="Calibri" w:hAnsi="Calibri" w:cs="Times New Roman"/>
        </w:rPr>
        <w:t xml:space="preserve">uspension. </w:t>
      </w:r>
      <w:r w:rsidRPr="00A9120E">
        <w:rPr>
          <w:rFonts w:ascii="Calibri" w:eastAsia="Calibri" w:hAnsi="Calibri" w:cs="Times New Roman"/>
        </w:rPr>
        <w:t>Generally, job seekers</w:t>
      </w:r>
      <w:r w:rsidR="00261CE4">
        <w:rPr>
          <w:rFonts w:ascii="Calibri" w:eastAsia="Calibri" w:hAnsi="Calibri" w:cs="Times New Roman"/>
        </w:rPr>
        <w:t>/participants</w:t>
      </w:r>
      <w:r w:rsidRPr="00A9120E">
        <w:rPr>
          <w:rFonts w:ascii="Calibri" w:eastAsia="Calibri" w:hAnsi="Calibri" w:cs="Times New Roman"/>
        </w:rPr>
        <w:t xml:space="preserve"> who have committed a </w:t>
      </w:r>
      <w:r w:rsidR="00F22DA1">
        <w:rPr>
          <w:rFonts w:ascii="Calibri" w:eastAsia="Calibri" w:hAnsi="Calibri" w:cs="Times New Roman"/>
        </w:rPr>
        <w:t>M</w:t>
      </w:r>
      <w:r w:rsidRPr="00A9120E">
        <w:rPr>
          <w:rFonts w:ascii="Calibri" w:eastAsia="Calibri" w:hAnsi="Calibri" w:cs="Times New Roman"/>
        </w:rPr>
        <w:t xml:space="preserve">utual </w:t>
      </w:r>
      <w:r w:rsidR="00F22DA1">
        <w:rPr>
          <w:rFonts w:ascii="Calibri" w:eastAsia="Calibri" w:hAnsi="Calibri" w:cs="Times New Roman"/>
        </w:rPr>
        <w:t>O</w:t>
      </w:r>
      <w:r w:rsidRPr="00A9120E">
        <w:rPr>
          <w:rFonts w:ascii="Calibri" w:eastAsia="Calibri" w:hAnsi="Calibri" w:cs="Times New Roman"/>
        </w:rPr>
        <w:t xml:space="preserve">bligation </w:t>
      </w:r>
      <w:r w:rsidR="00F22DA1">
        <w:rPr>
          <w:rFonts w:ascii="Calibri" w:eastAsia="Calibri" w:hAnsi="Calibri" w:cs="Times New Roman"/>
        </w:rPr>
        <w:t>F</w:t>
      </w:r>
      <w:r w:rsidRPr="00A9120E">
        <w:rPr>
          <w:rFonts w:ascii="Calibri" w:eastAsia="Calibri" w:hAnsi="Calibri" w:cs="Times New Roman"/>
        </w:rPr>
        <w:t>ai</w:t>
      </w:r>
      <w:r w:rsidR="001C0842">
        <w:rPr>
          <w:rFonts w:ascii="Calibri" w:eastAsia="Calibri" w:hAnsi="Calibri" w:cs="Times New Roman"/>
        </w:rPr>
        <w:t xml:space="preserve">lure will be able to end their </w:t>
      </w:r>
      <w:r w:rsidR="004A2E02">
        <w:rPr>
          <w:rFonts w:ascii="Calibri" w:eastAsia="Calibri" w:hAnsi="Calibri" w:cs="Times New Roman"/>
        </w:rPr>
        <w:t>payment s</w:t>
      </w:r>
      <w:r w:rsidR="004A2E02" w:rsidRPr="00A9120E">
        <w:rPr>
          <w:rFonts w:ascii="Calibri" w:eastAsia="Calibri" w:hAnsi="Calibri" w:cs="Times New Roman"/>
        </w:rPr>
        <w:t xml:space="preserve">uspension </w:t>
      </w:r>
      <w:r w:rsidRPr="00A9120E">
        <w:rPr>
          <w:rFonts w:ascii="Calibri" w:eastAsia="Calibri" w:hAnsi="Calibri" w:cs="Times New Roman"/>
        </w:rPr>
        <w:t xml:space="preserve">once they contact their </w:t>
      </w:r>
      <w:r w:rsidR="005F677C">
        <w:rPr>
          <w:rFonts w:ascii="Calibri" w:eastAsia="Calibri" w:hAnsi="Calibri" w:cs="Times New Roman"/>
        </w:rPr>
        <w:t>E</w:t>
      </w:r>
      <w:r w:rsidRPr="00A9120E">
        <w:rPr>
          <w:rFonts w:ascii="Calibri" w:eastAsia="Calibri" w:hAnsi="Calibri" w:cs="Times New Roman"/>
        </w:rPr>
        <w:t xml:space="preserve">mployment </w:t>
      </w:r>
      <w:r w:rsidR="005F677C">
        <w:rPr>
          <w:rFonts w:ascii="Calibri" w:eastAsia="Calibri" w:hAnsi="Calibri" w:cs="Times New Roman"/>
        </w:rPr>
        <w:t>S</w:t>
      </w:r>
      <w:r w:rsidRPr="00A9120E">
        <w:rPr>
          <w:rFonts w:ascii="Calibri" w:eastAsia="Calibri" w:hAnsi="Calibri" w:cs="Times New Roman"/>
        </w:rPr>
        <w:t xml:space="preserve">ervices </w:t>
      </w:r>
      <w:r w:rsidR="005F677C">
        <w:rPr>
          <w:rFonts w:ascii="Calibri" w:eastAsia="Calibri" w:hAnsi="Calibri" w:cs="Times New Roman"/>
        </w:rPr>
        <w:t>P</w:t>
      </w:r>
      <w:r w:rsidRPr="00A9120E">
        <w:rPr>
          <w:rFonts w:ascii="Calibri" w:eastAsia="Calibri" w:hAnsi="Calibri" w:cs="Times New Roman"/>
        </w:rPr>
        <w:t xml:space="preserve">rovider and re-engage with their activity or attend an appointment. </w:t>
      </w:r>
      <w:r>
        <w:rPr>
          <w:rFonts w:ascii="Calibri" w:eastAsia="Calibri" w:hAnsi="Calibri" w:cs="Times New Roman"/>
        </w:rPr>
        <w:t>Additionally, if a</w:t>
      </w:r>
      <w:r w:rsidRPr="00861BE1">
        <w:rPr>
          <w:rFonts w:ascii="Calibri" w:eastAsia="Calibri" w:hAnsi="Calibri" w:cs="Times New Roman"/>
        </w:rPr>
        <w:t xml:space="preserve"> </w:t>
      </w:r>
      <w:r>
        <w:rPr>
          <w:rFonts w:ascii="Calibri" w:eastAsia="Calibri" w:hAnsi="Calibri" w:cs="Times New Roman"/>
        </w:rPr>
        <w:t>job seeker</w:t>
      </w:r>
      <w:r w:rsidR="00261CE4">
        <w:rPr>
          <w:rFonts w:ascii="Calibri" w:eastAsia="Calibri" w:hAnsi="Calibri" w:cs="Times New Roman"/>
        </w:rPr>
        <w:t>/participant</w:t>
      </w:r>
      <w:r>
        <w:rPr>
          <w:rFonts w:ascii="Calibri" w:eastAsia="Calibri" w:hAnsi="Calibri" w:cs="Times New Roman"/>
        </w:rPr>
        <w:t xml:space="preserve"> </w:t>
      </w:r>
      <w:r w:rsidRPr="00861BE1">
        <w:rPr>
          <w:rFonts w:ascii="Calibri" w:eastAsia="Calibri" w:hAnsi="Calibri" w:cs="Times New Roman"/>
        </w:rPr>
        <w:t xml:space="preserve">does not meet their </w:t>
      </w:r>
      <w:r w:rsidR="000F6119">
        <w:rPr>
          <w:rFonts w:ascii="Calibri" w:eastAsia="Calibri" w:hAnsi="Calibri" w:cs="Times New Roman"/>
        </w:rPr>
        <w:t>Re-engagement</w:t>
      </w:r>
      <w:r w:rsidR="000F6119" w:rsidRPr="00861BE1">
        <w:rPr>
          <w:rFonts w:ascii="Calibri" w:eastAsia="Calibri" w:hAnsi="Calibri" w:cs="Times New Roman"/>
        </w:rPr>
        <w:t xml:space="preserve"> </w:t>
      </w:r>
      <w:r w:rsidRPr="00861BE1">
        <w:rPr>
          <w:rFonts w:ascii="Calibri" w:eastAsia="Calibri" w:hAnsi="Calibri" w:cs="Times New Roman"/>
        </w:rPr>
        <w:t xml:space="preserve">Requirement within </w:t>
      </w:r>
      <w:r w:rsidR="005C3491">
        <w:rPr>
          <w:rFonts w:ascii="Calibri" w:eastAsia="Calibri" w:hAnsi="Calibri" w:cs="Times New Roman"/>
        </w:rPr>
        <w:t>four</w:t>
      </w:r>
      <w:r w:rsidRPr="00861BE1">
        <w:rPr>
          <w:rFonts w:ascii="Calibri" w:eastAsia="Calibri" w:hAnsi="Calibri" w:cs="Times New Roman"/>
        </w:rPr>
        <w:t xml:space="preserve"> week</w:t>
      </w:r>
      <w:r>
        <w:rPr>
          <w:rFonts w:ascii="Calibri" w:eastAsia="Calibri" w:hAnsi="Calibri" w:cs="Times New Roman"/>
        </w:rPr>
        <w:t>s</w:t>
      </w:r>
      <w:r w:rsidR="000506DC">
        <w:rPr>
          <w:rFonts w:ascii="Calibri" w:eastAsia="Calibri" w:hAnsi="Calibri" w:cs="Times New Roman"/>
        </w:rPr>
        <w:t xml:space="preserve"> of being notified of that R</w:t>
      </w:r>
      <w:r w:rsidR="00B53139">
        <w:rPr>
          <w:rFonts w:ascii="Calibri" w:eastAsia="Calibri" w:hAnsi="Calibri" w:cs="Times New Roman"/>
        </w:rPr>
        <w:t>equirement</w:t>
      </w:r>
      <w:r>
        <w:rPr>
          <w:rFonts w:ascii="Calibri" w:eastAsia="Calibri" w:hAnsi="Calibri" w:cs="Times New Roman"/>
        </w:rPr>
        <w:t xml:space="preserve">, </w:t>
      </w:r>
      <w:r w:rsidR="008C1D20">
        <w:rPr>
          <w:rFonts w:ascii="Calibri" w:eastAsia="Calibri" w:hAnsi="Calibri" w:cs="Times New Roman"/>
        </w:rPr>
        <w:t>Services Australia</w:t>
      </w:r>
      <w:r>
        <w:rPr>
          <w:rFonts w:ascii="Calibri" w:eastAsia="Calibri" w:hAnsi="Calibri" w:cs="Times New Roman"/>
        </w:rPr>
        <w:t xml:space="preserve"> w</w:t>
      </w:r>
      <w:r w:rsidR="00F52A81">
        <w:rPr>
          <w:rFonts w:ascii="Calibri" w:eastAsia="Calibri" w:hAnsi="Calibri" w:cs="Times New Roman"/>
        </w:rPr>
        <w:t xml:space="preserve">ill usually cancel their </w:t>
      </w:r>
      <w:r>
        <w:rPr>
          <w:rFonts w:ascii="Calibri" w:eastAsia="Calibri" w:hAnsi="Calibri" w:cs="Times New Roman"/>
        </w:rPr>
        <w:t>Payment.</w:t>
      </w:r>
    </w:p>
    <w:p w14:paraId="53D81C44" w14:textId="03AC7BB9" w:rsidR="00242690" w:rsidRPr="00242690" w:rsidRDefault="00167BFB" w:rsidP="00242690">
      <w:pPr>
        <w:pStyle w:val="Basic"/>
        <w:spacing w:before="240"/>
        <w:rPr>
          <w:rFonts w:ascii="Calibri" w:eastAsia="Calibri" w:hAnsi="Calibri" w:cs="Times New Roman"/>
        </w:rPr>
      </w:pPr>
      <w:r w:rsidRPr="00B5600D">
        <w:rPr>
          <w:rFonts w:ascii="Calibri" w:eastAsia="Calibri" w:hAnsi="Calibri" w:cs="Times New Roman"/>
          <w:b/>
        </w:rPr>
        <w:t>Resolution Time</w:t>
      </w:r>
      <w:r w:rsidR="00242690" w:rsidRPr="00B5600D">
        <w:rPr>
          <w:rFonts w:ascii="Calibri" w:eastAsia="Calibri" w:hAnsi="Calibri" w:cs="Times New Roman"/>
          <w:b/>
        </w:rPr>
        <w:t xml:space="preserve"> - </w:t>
      </w:r>
      <w:r w:rsidR="00242690">
        <w:rPr>
          <w:rFonts w:ascii="Calibri" w:eastAsia="Calibri" w:hAnsi="Calibri" w:cs="Times New Roman"/>
        </w:rPr>
        <w:t>f</w:t>
      </w:r>
      <w:r w:rsidR="00242690" w:rsidRPr="00242690">
        <w:rPr>
          <w:rFonts w:ascii="Calibri" w:eastAsia="Calibri" w:hAnsi="Calibri" w:cs="Times New Roman"/>
        </w:rPr>
        <w:t>rom 7 December 2020, payment suspensions are no longer immediate when a job seeker</w:t>
      </w:r>
      <w:r w:rsidR="00E97D2A" w:rsidRPr="00E97D2A">
        <w:rPr>
          <w:rFonts w:ascii="Calibri" w:eastAsia="Calibri" w:hAnsi="Calibri" w:cs="Times New Roman"/>
        </w:rPr>
        <w:t>/participant</w:t>
      </w:r>
      <w:r w:rsidR="00242690" w:rsidRPr="00242690">
        <w:rPr>
          <w:rFonts w:ascii="Calibri" w:eastAsia="Calibri" w:hAnsi="Calibri" w:cs="Times New Roman"/>
        </w:rPr>
        <w:t xml:space="preserve"> fails to meet a requirement. </w:t>
      </w:r>
      <w:r w:rsidR="004A2E02">
        <w:rPr>
          <w:rFonts w:ascii="Calibri" w:eastAsia="Calibri" w:hAnsi="Calibri" w:cs="Times New Roman"/>
        </w:rPr>
        <w:t>Job seekers</w:t>
      </w:r>
      <w:r w:rsidR="00E97D2A" w:rsidRPr="00E97D2A">
        <w:rPr>
          <w:rFonts w:ascii="Calibri" w:eastAsia="Calibri" w:hAnsi="Calibri" w:cs="Times New Roman"/>
        </w:rPr>
        <w:t>/participant</w:t>
      </w:r>
      <w:r w:rsidR="00242690" w:rsidRPr="00242690">
        <w:rPr>
          <w:rFonts w:ascii="Calibri" w:eastAsia="Calibri" w:hAnsi="Calibri" w:cs="Times New Roman"/>
        </w:rPr>
        <w:t xml:space="preserve"> now have two business days Resolution Time</w:t>
      </w:r>
      <w:r w:rsidR="00A75F51">
        <w:rPr>
          <w:rFonts w:ascii="Calibri" w:eastAsia="Calibri" w:hAnsi="Calibri" w:cs="Times New Roman"/>
        </w:rPr>
        <w:t>,</w:t>
      </w:r>
      <w:r w:rsidR="00242690" w:rsidRPr="00242690">
        <w:rPr>
          <w:rFonts w:ascii="Calibri" w:eastAsia="Calibri" w:hAnsi="Calibri" w:cs="Times New Roman"/>
        </w:rPr>
        <w:t xml:space="preserve"> to contact their provider to discuss and, if required, address the failure to avoid having their payment put on hold.</w:t>
      </w:r>
      <w:r w:rsidR="00242690">
        <w:rPr>
          <w:rFonts w:ascii="Calibri" w:eastAsia="Calibri" w:hAnsi="Calibri" w:cs="Times New Roman"/>
        </w:rPr>
        <w:t xml:space="preserve"> </w:t>
      </w:r>
    </w:p>
    <w:p w14:paraId="439BE9AE" w14:textId="496788F0" w:rsidR="00756257" w:rsidRDefault="00431FC4" w:rsidP="003E3458">
      <w:pPr>
        <w:pStyle w:val="Basic"/>
        <w:spacing w:before="240"/>
        <w:rPr>
          <w:rFonts w:ascii="Calibri" w:eastAsia="Calibri" w:hAnsi="Calibri" w:cs="Times New Roman"/>
        </w:rPr>
      </w:pPr>
      <w:r>
        <w:rPr>
          <w:rFonts w:ascii="Calibri" w:eastAsia="Calibri" w:hAnsi="Calibri" w:cs="Times New Roman"/>
          <w:b/>
          <w:bCs/>
        </w:rPr>
        <w:lastRenderedPageBreak/>
        <w:t>TCF</w:t>
      </w:r>
      <w:r w:rsidR="00623F43" w:rsidRPr="00242690">
        <w:rPr>
          <w:rFonts w:ascii="Calibri" w:eastAsia="Calibri" w:hAnsi="Calibri" w:cs="Times New Roman"/>
          <w:b/>
          <w:bCs/>
        </w:rPr>
        <w:t xml:space="preserve"> j</w:t>
      </w:r>
      <w:r w:rsidR="00756257" w:rsidRPr="00242690">
        <w:rPr>
          <w:rFonts w:ascii="Calibri" w:eastAsia="Calibri" w:hAnsi="Calibri" w:cs="Times New Roman"/>
          <w:b/>
          <w:bCs/>
        </w:rPr>
        <w:t>ob seekers</w:t>
      </w:r>
      <w:r w:rsidR="009F2186" w:rsidRPr="00242690">
        <w:rPr>
          <w:rFonts w:ascii="Calibri" w:eastAsia="Calibri" w:hAnsi="Calibri" w:cs="Times New Roman"/>
          <w:b/>
          <w:bCs/>
        </w:rPr>
        <w:t>/participants</w:t>
      </w:r>
      <w:r w:rsidR="009A1334" w:rsidRPr="00242690">
        <w:rPr>
          <w:rFonts w:ascii="Calibri" w:eastAsia="Calibri" w:hAnsi="Calibri" w:cs="Times New Roman"/>
          <w:b/>
          <w:bCs/>
        </w:rPr>
        <w:t>—</w:t>
      </w:r>
      <w:r w:rsidR="009F2186">
        <w:rPr>
          <w:rFonts w:ascii="Calibri" w:eastAsia="Calibri" w:hAnsi="Calibri" w:cs="Times New Roman"/>
        </w:rPr>
        <w:t xml:space="preserve">are </w:t>
      </w:r>
      <w:r w:rsidR="009F2186" w:rsidRPr="005C63EA">
        <w:rPr>
          <w:rFonts w:ascii="Calibri" w:eastAsia="Calibri" w:hAnsi="Calibri" w:cs="Times New Roman"/>
        </w:rPr>
        <w:t>job seekers</w:t>
      </w:r>
      <w:r w:rsidR="00E97D2A" w:rsidRPr="00E97D2A">
        <w:rPr>
          <w:rFonts w:ascii="Calibri" w:eastAsia="Calibri" w:hAnsi="Calibri" w:cs="Times New Roman"/>
        </w:rPr>
        <w:t>/participant</w:t>
      </w:r>
      <w:r w:rsidR="009F2186">
        <w:rPr>
          <w:rFonts w:ascii="Calibri" w:eastAsia="Calibri" w:hAnsi="Calibri" w:cs="Times New Roman"/>
        </w:rPr>
        <w:t xml:space="preserve"> commenced in </w:t>
      </w:r>
      <w:r w:rsidR="00FE0E56" w:rsidRPr="005F677C">
        <w:rPr>
          <w:rFonts w:ascii="Calibri" w:eastAsia="Calibri" w:hAnsi="Calibri" w:cs="Times New Roman"/>
        </w:rPr>
        <w:t>jobactive</w:t>
      </w:r>
      <w:r w:rsidR="009F2186">
        <w:rPr>
          <w:rFonts w:ascii="Calibri" w:eastAsia="Calibri" w:hAnsi="Calibri" w:cs="Times New Roman"/>
        </w:rPr>
        <w:t xml:space="preserve"> and Disability Employment Services, and participants commenced in ParentsNext, who were in one of</w:t>
      </w:r>
      <w:r w:rsidR="009F2186" w:rsidRPr="005C63EA">
        <w:rPr>
          <w:rFonts w:ascii="Calibri" w:eastAsia="Calibri" w:hAnsi="Calibri" w:cs="Times New Roman"/>
        </w:rPr>
        <w:t xml:space="preserve"> the </w:t>
      </w:r>
      <w:r>
        <w:rPr>
          <w:rFonts w:ascii="Calibri" w:eastAsia="Calibri" w:hAnsi="Calibri" w:cs="Times New Roman"/>
        </w:rPr>
        <w:t>TCF</w:t>
      </w:r>
      <w:r w:rsidR="009F2186">
        <w:rPr>
          <w:rFonts w:ascii="Calibri" w:eastAsia="Calibri" w:hAnsi="Calibri" w:cs="Times New Roman"/>
        </w:rPr>
        <w:t xml:space="preserve"> Zones at the end of the reference period (i.e. it excludes those serving a Non</w:t>
      </w:r>
      <w:r w:rsidR="002F52C6">
        <w:rPr>
          <w:rFonts w:ascii="Calibri" w:eastAsia="Calibri" w:hAnsi="Calibri" w:cs="Times New Roman"/>
        </w:rPr>
        <w:noBreakHyphen/>
      </w:r>
      <w:r w:rsidR="009F2186">
        <w:rPr>
          <w:rFonts w:ascii="Calibri" w:eastAsia="Calibri" w:hAnsi="Calibri" w:cs="Times New Roman"/>
        </w:rPr>
        <w:t>Payment/Preclusion Period at that date).</w:t>
      </w:r>
    </w:p>
    <w:p w14:paraId="46AD4FF2" w14:textId="3FE06742" w:rsidR="004E741E" w:rsidRPr="00756257" w:rsidRDefault="00431FC4" w:rsidP="003E3458">
      <w:pPr>
        <w:pStyle w:val="Basic"/>
        <w:spacing w:before="240"/>
        <w:rPr>
          <w:rFonts w:ascii="Calibri" w:eastAsia="Calibri" w:hAnsi="Calibri" w:cs="Times New Roman"/>
        </w:rPr>
      </w:pPr>
      <w:r>
        <w:rPr>
          <w:rFonts w:ascii="Calibri" w:eastAsia="Calibri" w:hAnsi="Calibri" w:cs="Times New Roman"/>
          <w:b/>
        </w:rPr>
        <w:t>TCF</w:t>
      </w:r>
      <w:r w:rsidR="004E741E">
        <w:rPr>
          <w:rFonts w:ascii="Calibri" w:eastAsia="Calibri" w:hAnsi="Calibri" w:cs="Times New Roman"/>
          <w:b/>
        </w:rPr>
        <w:t xml:space="preserve"> </w:t>
      </w:r>
      <w:r w:rsidR="004E741E" w:rsidRPr="00E27D77">
        <w:rPr>
          <w:rFonts w:ascii="Calibri" w:eastAsia="Calibri" w:hAnsi="Calibri" w:cs="Times New Roman"/>
          <w:b/>
        </w:rPr>
        <w:t>Zones</w:t>
      </w:r>
      <w:r w:rsidR="009A1334">
        <w:rPr>
          <w:rFonts w:ascii="Calibri" w:eastAsia="Calibri" w:hAnsi="Calibri" w:cs="Times New Roman"/>
          <w:b/>
        </w:rPr>
        <w:t>—</w:t>
      </w:r>
      <w:r w:rsidR="004E741E">
        <w:rPr>
          <w:rFonts w:ascii="Calibri" w:eastAsia="Calibri" w:hAnsi="Calibri" w:cs="Times New Roman"/>
        </w:rPr>
        <w:t xml:space="preserve">The </w:t>
      </w:r>
      <w:r>
        <w:rPr>
          <w:rFonts w:ascii="Calibri" w:eastAsia="Calibri" w:hAnsi="Calibri" w:cs="Times New Roman"/>
        </w:rPr>
        <w:t>TCF</w:t>
      </w:r>
      <w:r w:rsidR="004E741E">
        <w:rPr>
          <w:rFonts w:ascii="Calibri" w:eastAsia="Calibri" w:hAnsi="Calibri" w:cs="Times New Roman"/>
        </w:rPr>
        <w:t xml:space="preserve"> consists of three Zones: </w:t>
      </w:r>
      <w:proofErr w:type="gramStart"/>
      <w:r w:rsidR="004E741E">
        <w:rPr>
          <w:rFonts w:ascii="Calibri" w:eastAsia="Calibri" w:hAnsi="Calibri" w:cs="Times New Roman"/>
        </w:rPr>
        <w:t>the</w:t>
      </w:r>
      <w:proofErr w:type="gramEnd"/>
      <w:r w:rsidR="004E741E">
        <w:rPr>
          <w:rFonts w:ascii="Calibri" w:eastAsia="Calibri" w:hAnsi="Calibri" w:cs="Times New Roman"/>
        </w:rPr>
        <w:t xml:space="preserve"> Green Zone, Warning Zone and </w:t>
      </w:r>
      <w:r w:rsidR="004E741E" w:rsidRPr="00E27D77">
        <w:rPr>
          <w:rFonts w:ascii="Calibri" w:eastAsia="Calibri" w:hAnsi="Calibri" w:cs="Times New Roman"/>
        </w:rPr>
        <w:t xml:space="preserve">Penalty Zone </w:t>
      </w:r>
      <w:r w:rsidR="004E741E">
        <w:rPr>
          <w:rFonts w:ascii="Calibri" w:eastAsia="Calibri" w:hAnsi="Calibri" w:cs="Times New Roman"/>
        </w:rPr>
        <w:t xml:space="preserve">(each </w:t>
      </w:r>
      <w:r w:rsidR="004E741E" w:rsidRPr="00E27D77">
        <w:rPr>
          <w:rFonts w:ascii="Calibri" w:eastAsia="Calibri" w:hAnsi="Calibri" w:cs="Times New Roman"/>
        </w:rPr>
        <w:t xml:space="preserve">described </w:t>
      </w:r>
      <w:r w:rsidR="004E741E">
        <w:rPr>
          <w:rFonts w:ascii="Calibri" w:eastAsia="Calibri" w:hAnsi="Calibri" w:cs="Times New Roman"/>
        </w:rPr>
        <w:t>separately in</w:t>
      </w:r>
      <w:r w:rsidR="004E741E" w:rsidRPr="00E27D77">
        <w:rPr>
          <w:rFonts w:ascii="Calibri" w:eastAsia="Calibri" w:hAnsi="Calibri" w:cs="Times New Roman"/>
        </w:rPr>
        <w:t xml:space="preserve"> th</w:t>
      </w:r>
      <w:r w:rsidR="004E741E">
        <w:rPr>
          <w:rFonts w:ascii="Calibri" w:eastAsia="Calibri" w:hAnsi="Calibri" w:cs="Times New Roman"/>
        </w:rPr>
        <w:t>is G</w:t>
      </w:r>
      <w:r w:rsidR="004E741E" w:rsidRPr="00E27D77">
        <w:rPr>
          <w:rFonts w:ascii="Calibri" w:eastAsia="Calibri" w:hAnsi="Calibri" w:cs="Times New Roman"/>
        </w:rPr>
        <w:t>lossary</w:t>
      </w:r>
      <w:r w:rsidR="004E741E">
        <w:rPr>
          <w:rFonts w:ascii="Calibri" w:eastAsia="Calibri" w:hAnsi="Calibri" w:cs="Times New Roman"/>
        </w:rPr>
        <w:t>)</w:t>
      </w:r>
      <w:r w:rsidR="004E741E" w:rsidRPr="00E27D77">
        <w:rPr>
          <w:rFonts w:ascii="Calibri" w:eastAsia="Calibri" w:hAnsi="Calibri" w:cs="Times New Roman"/>
        </w:rPr>
        <w:t xml:space="preserve">. </w:t>
      </w:r>
    </w:p>
    <w:p w14:paraId="2A4D7B6C" w14:textId="14F7BF37" w:rsidR="004E741E" w:rsidRDefault="004E741E" w:rsidP="003E3458">
      <w:pPr>
        <w:pStyle w:val="Basic"/>
        <w:spacing w:before="240"/>
        <w:rPr>
          <w:rFonts w:ascii="Calibri" w:eastAsia="Calibri" w:hAnsi="Calibri" w:cs="Times New Roman"/>
        </w:rPr>
      </w:pPr>
      <w:r w:rsidRPr="00F33B10">
        <w:rPr>
          <w:rFonts w:ascii="Calibri" w:eastAsia="Calibri" w:hAnsi="Calibri" w:cs="Times New Roman"/>
          <w:b/>
        </w:rPr>
        <w:t>Unemployment Failure</w:t>
      </w:r>
      <w:r w:rsidR="009A1334">
        <w:rPr>
          <w:rFonts w:ascii="Calibri" w:eastAsia="Calibri" w:hAnsi="Calibri" w:cs="Times New Roman"/>
        </w:rPr>
        <w:t>—</w:t>
      </w:r>
      <w:r w:rsidRPr="00F33B10">
        <w:rPr>
          <w:rFonts w:ascii="Calibri" w:eastAsia="Calibri" w:hAnsi="Calibri" w:cs="Times New Roman"/>
        </w:rPr>
        <w:t>An Unemployment Failure occurs where a job seeker</w:t>
      </w:r>
      <w:r w:rsidR="001A1716">
        <w:rPr>
          <w:rFonts w:ascii="Calibri" w:eastAsia="Calibri" w:hAnsi="Calibri" w:cs="Times New Roman"/>
        </w:rPr>
        <w:t>/participant</w:t>
      </w:r>
      <w:r w:rsidRPr="00F33B10">
        <w:rPr>
          <w:rFonts w:ascii="Calibri" w:eastAsia="Calibri" w:hAnsi="Calibri" w:cs="Times New Roman"/>
        </w:rPr>
        <w:t xml:space="preserve"> voluntarily leaves a suitable job </w:t>
      </w:r>
      <w:r>
        <w:rPr>
          <w:rFonts w:ascii="Calibri" w:eastAsia="Calibri" w:hAnsi="Calibri" w:cs="Times New Roman"/>
        </w:rPr>
        <w:t>(</w:t>
      </w:r>
      <w:r w:rsidRPr="00B00F95">
        <w:rPr>
          <w:rFonts w:ascii="Calibri" w:eastAsia="Calibri" w:hAnsi="Calibri" w:cs="Times New Roman"/>
          <w:i/>
        </w:rPr>
        <w:t>i.e. voluntary unemployment</w:t>
      </w:r>
      <w:r>
        <w:rPr>
          <w:rFonts w:ascii="Calibri" w:eastAsia="Calibri" w:hAnsi="Calibri" w:cs="Times New Roman"/>
        </w:rPr>
        <w:t xml:space="preserve">), </w:t>
      </w:r>
      <w:r w:rsidRPr="00F33B10">
        <w:rPr>
          <w:rFonts w:ascii="Calibri" w:eastAsia="Calibri" w:hAnsi="Calibri" w:cs="Times New Roman"/>
        </w:rPr>
        <w:t xml:space="preserve">or where they have been </w:t>
      </w:r>
      <w:r w:rsidRPr="00B00F95">
        <w:rPr>
          <w:rFonts w:ascii="Calibri" w:eastAsia="Calibri" w:hAnsi="Calibri" w:cs="Times New Roman"/>
          <w:i/>
        </w:rPr>
        <w:t>dismissed due to misconduct</w:t>
      </w:r>
      <w:r>
        <w:rPr>
          <w:rFonts w:ascii="Calibri" w:eastAsia="Calibri" w:hAnsi="Calibri" w:cs="Times New Roman"/>
        </w:rPr>
        <w:t xml:space="preserve"> </w:t>
      </w:r>
      <w:r w:rsidRPr="00F33B10">
        <w:rPr>
          <w:rFonts w:ascii="Calibri" w:eastAsia="Calibri" w:hAnsi="Calibri" w:cs="Times New Roman"/>
        </w:rPr>
        <w:t xml:space="preserve">from a suitable job. </w:t>
      </w:r>
      <w:r>
        <w:rPr>
          <w:rFonts w:ascii="Calibri" w:eastAsia="Calibri" w:hAnsi="Calibri" w:cs="Times New Roman"/>
        </w:rPr>
        <w:t>The penalty for job seekers</w:t>
      </w:r>
      <w:r w:rsidR="001A1716">
        <w:rPr>
          <w:rFonts w:ascii="Calibri" w:eastAsia="Calibri" w:hAnsi="Calibri" w:cs="Times New Roman"/>
        </w:rPr>
        <w:t>/participants</w:t>
      </w:r>
      <w:r>
        <w:rPr>
          <w:rFonts w:ascii="Calibri" w:eastAsia="Calibri" w:hAnsi="Calibri" w:cs="Times New Roman"/>
        </w:rPr>
        <w:t xml:space="preserve"> (in any zone) who commit</w:t>
      </w:r>
      <w:r w:rsidRPr="00F33B10">
        <w:rPr>
          <w:rFonts w:ascii="Calibri" w:eastAsia="Calibri" w:hAnsi="Calibri" w:cs="Times New Roman"/>
        </w:rPr>
        <w:t xml:space="preserve"> </w:t>
      </w:r>
      <w:r>
        <w:rPr>
          <w:rFonts w:ascii="Calibri" w:eastAsia="Calibri" w:hAnsi="Calibri" w:cs="Times New Roman"/>
        </w:rPr>
        <w:t xml:space="preserve">an Unemployment Failure is to have their Income Support Payment </w:t>
      </w:r>
      <w:r w:rsidRPr="00F33B10">
        <w:rPr>
          <w:rFonts w:ascii="Calibri" w:eastAsia="Calibri" w:hAnsi="Calibri" w:cs="Times New Roman"/>
        </w:rPr>
        <w:t xml:space="preserve">cancelled and </w:t>
      </w:r>
      <w:r>
        <w:rPr>
          <w:rFonts w:ascii="Calibri" w:eastAsia="Calibri" w:hAnsi="Calibri" w:cs="Times New Roman"/>
        </w:rPr>
        <w:t>serve a four-week Non-Payment/Preclusion Period (six-weeks if</w:t>
      </w:r>
      <w:r w:rsidRPr="00AF67FC">
        <w:rPr>
          <w:rFonts w:ascii="Calibri" w:eastAsia="Calibri" w:hAnsi="Calibri" w:cs="Times New Roman"/>
        </w:rPr>
        <w:t xml:space="preserve"> the job seeker</w:t>
      </w:r>
      <w:r w:rsidR="001A1716">
        <w:rPr>
          <w:rFonts w:ascii="Calibri" w:eastAsia="Calibri" w:hAnsi="Calibri" w:cs="Times New Roman"/>
        </w:rPr>
        <w:t>/participant</w:t>
      </w:r>
      <w:r w:rsidRPr="00AF67FC">
        <w:rPr>
          <w:rFonts w:ascii="Calibri" w:eastAsia="Calibri" w:hAnsi="Calibri" w:cs="Times New Roman"/>
        </w:rPr>
        <w:t xml:space="preserve"> has received financial relocation assistance to take up a job and then commits an Unemployment </w:t>
      </w:r>
      <w:r>
        <w:rPr>
          <w:rFonts w:ascii="Calibri" w:eastAsia="Calibri" w:hAnsi="Calibri" w:cs="Times New Roman"/>
        </w:rPr>
        <w:t>F</w:t>
      </w:r>
      <w:r w:rsidRPr="00AF67FC">
        <w:rPr>
          <w:rFonts w:ascii="Calibri" w:eastAsia="Calibri" w:hAnsi="Calibri" w:cs="Times New Roman"/>
        </w:rPr>
        <w:t>ailure</w:t>
      </w:r>
      <w:r>
        <w:rPr>
          <w:rFonts w:ascii="Calibri" w:eastAsia="Calibri" w:hAnsi="Calibri" w:cs="Times New Roman"/>
        </w:rPr>
        <w:t xml:space="preserve">). For further information on Unemployment Failures, please refer to the </w:t>
      </w:r>
      <w:hyperlink r:id="rId21" w:history="1">
        <w:r w:rsidRPr="003E3458">
          <w:rPr>
            <w:rStyle w:val="Hyperlink"/>
            <w:rFonts w:ascii="Calibri" w:eastAsia="Calibri" w:hAnsi="Calibri" w:cs="Times New Roman"/>
            <w:szCs w:val="20"/>
          </w:rPr>
          <w:t>Guide to Social Security Law</w:t>
        </w:r>
      </w:hyperlink>
      <w:r w:rsidRPr="003E3458">
        <w:rPr>
          <w:rFonts w:ascii="Calibri" w:eastAsia="Calibri" w:hAnsi="Calibri" w:cs="Times New Roman"/>
        </w:rPr>
        <w:t>.</w:t>
      </w:r>
    </w:p>
    <w:p w14:paraId="2FE47845" w14:textId="509CBFAA" w:rsidR="00E6766C" w:rsidRPr="00752C69" w:rsidRDefault="007A2E50" w:rsidP="00E6766C">
      <w:pPr>
        <w:pStyle w:val="Basic"/>
        <w:spacing w:before="0" w:after="60"/>
        <w:jc w:val="left"/>
        <w:rPr>
          <w:color w:val="FF0000"/>
          <w:sz w:val="20"/>
        </w:rPr>
      </w:pPr>
      <w:r>
        <w:rPr>
          <w:rFonts w:eastAsia="Calibri" w:cs="Times New Roman"/>
          <w:b/>
        </w:rPr>
        <w:t>Valid Reason</w:t>
      </w:r>
      <w:r w:rsidR="009A1334">
        <w:rPr>
          <w:rFonts w:eastAsia="Calibri" w:cs="Times New Roman"/>
          <w:b/>
        </w:rPr>
        <w:t>—</w:t>
      </w:r>
      <w:r w:rsidR="0040295A" w:rsidRPr="0040295A">
        <w:rPr>
          <w:rFonts w:eastAsia="Calibri" w:cs="Times New Roman"/>
        </w:rPr>
        <w:t>The reason a job seeker</w:t>
      </w:r>
      <w:r w:rsidR="00261CE4">
        <w:rPr>
          <w:rFonts w:eastAsia="Calibri" w:cs="Times New Roman"/>
        </w:rPr>
        <w:t>/participant</w:t>
      </w:r>
      <w:r w:rsidR="0040295A" w:rsidRPr="0040295A">
        <w:rPr>
          <w:rFonts w:eastAsia="Calibri" w:cs="Times New Roman"/>
        </w:rPr>
        <w:t xml:space="preserve"> gives after a Mutual Obligation Failure for their non-compliance and their in</w:t>
      </w:r>
      <w:r w:rsidR="0040295A">
        <w:rPr>
          <w:rFonts w:eastAsia="Calibri" w:cs="Times New Roman"/>
        </w:rPr>
        <w:t xml:space="preserve">ability to give prior notice, which is accepted by their </w:t>
      </w:r>
      <w:r w:rsidR="00C02042">
        <w:rPr>
          <w:rFonts w:eastAsia="Calibri" w:cs="Times New Roman"/>
        </w:rPr>
        <w:t>Employment Services P</w:t>
      </w:r>
      <w:r w:rsidR="0040295A">
        <w:rPr>
          <w:rFonts w:eastAsia="Calibri" w:cs="Times New Roman"/>
        </w:rPr>
        <w:t>rovider.</w:t>
      </w:r>
      <w:r w:rsidR="00E6766C">
        <w:rPr>
          <w:rFonts w:eastAsia="Calibri" w:cs="Times New Roman"/>
        </w:rPr>
        <w:t xml:space="preserve"> </w:t>
      </w:r>
    </w:p>
    <w:p w14:paraId="7F25ECC5" w14:textId="72D2E720" w:rsidR="00756257" w:rsidRPr="004A20A8" w:rsidRDefault="00756257" w:rsidP="003E3458">
      <w:pPr>
        <w:pStyle w:val="Basic"/>
        <w:spacing w:before="240"/>
      </w:pPr>
      <w:r>
        <w:rPr>
          <w:rFonts w:eastAsia="Calibri" w:cs="Times New Roman"/>
          <w:b/>
        </w:rPr>
        <w:t>Warning Zone</w:t>
      </w:r>
      <w:r w:rsidR="009A1334">
        <w:rPr>
          <w:rFonts w:eastAsia="Calibri" w:cs="Times New Roman"/>
          <w:b/>
        </w:rPr>
        <w:t>—</w:t>
      </w:r>
      <w:r w:rsidRPr="004A20A8">
        <w:rPr>
          <w:rFonts w:eastAsia="Calibri" w:cs="Times New Roman"/>
        </w:rPr>
        <w:t>If a job seeker</w:t>
      </w:r>
      <w:r w:rsidR="00261CE4">
        <w:rPr>
          <w:rFonts w:eastAsia="Calibri" w:cs="Times New Roman"/>
        </w:rPr>
        <w:t>/participant</w:t>
      </w:r>
      <w:r w:rsidRPr="004A20A8">
        <w:rPr>
          <w:rFonts w:eastAsia="Calibri" w:cs="Times New Roman"/>
        </w:rPr>
        <w:t xml:space="preserve"> </w:t>
      </w:r>
      <w:r w:rsidR="00261CE4">
        <w:rPr>
          <w:rFonts w:eastAsia="Calibri" w:cs="Times New Roman"/>
        </w:rPr>
        <w:t>in the Green Z</w:t>
      </w:r>
      <w:r>
        <w:rPr>
          <w:rFonts w:eastAsia="Calibri" w:cs="Times New Roman"/>
        </w:rPr>
        <w:t xml:space="preserve">one </w:t>
      </w:r>
      <w:r w:rsidRPr="004A20A8">
        <w:rPr>
          <w:rFonts w:eastAsia="Calibri" w:cs="Times New Roman"/>
        </w:rPr>
        <w:t xml:space="preserve">commits a </w:t>
      </w:r>
      <w:r w:rsidR="00F22DA1">
        <w:rPr>
          <w:rFonts w:eastAsia="Calibri" w:cs="Times New Roman"/>
        </w:rPr>
        <w:t>M</w:t>
      </w:r>
      <w:r w:rsidRPr="004A20A8">
        <w:rPr>
          <w:rFonts w:eastAsia="Calibri" w:cs="Times New Roman"/>
        </w:rPr>
        <w:t xml:space="preserve">utual </w:t>
      </w:r>
      <w:r w:rsidR="00F22DA1">
        <w:rPr>
          <w:rFonts w:eastAsia="Calibri" w:cs="Times New Roman"/>
        </w:rPr>
        <w:t>O</w:t>
      </w:r>
      <w:r w:rsidRPr="004A20A8">
        <w:rPr>
          <w:rFonts w:eastAsia="Calibri" w:cs="Times New Roman"/>
        </w:rPr>
        <w:t xml:space="preserve">bligation </w:t>
      </w:r>
      <w:r w:rsidR="00F22DA1">
        <w:rPr>
          <w:rFonts w:eastAsia="Calibri" w:cs="Times New Roman"/>
        </w:rPr>
        <w:t>F</w:t>
      </w:r>
      <w:r w:rsidRPr="004A20A8">
        <w:rPr>
          <w:rFonts w:eastAsia="Calibri" w:cs="Times New Roman"/>
        </w:rPr>
        <w:t>ai</w:t>
      </w:r>
      <w:r w:rsidR="00261CE4">
        <w:rPr>
          <w:rFonts w:eastAsia="Calibri" w:cs="Times New Roman"/>
        </w:rPr>
        <w:t>lure without a Valid R</w:t>
      </w:r>
      <w:r w:rsidRPr="004A20A8">
        <w:rPr>
          <w:rFonts w:eastAsia="Calibri" w:cs="Times New Roman"/>
        </w:rPr>
        <w:t>eas</w:t>
      </w:r>
      <w:r w:rsidR="00261CE4">
        <w:rPr>
          <w:rFonts w:eastAsia="Calibri" w:cs="Times New Roman"/>
        </w:rPr>
        <w:t>on they will accrue a D</w:t>
      </w:r>
      <w:r>
        <w:rPr>
          <w:rFonts w:eastAsia="Calibri" w:cs="Times New Roman"/>
        </w:rPr>
        <w:t xml:space="preserve">emerit, and </w:t>
      </w:r>
      <w:r w:rsidRPr="004A20A8">
        <w:rPr>
          <w:rFonts w:eastAsia="Calibri" w:cs="Times New Roman"/>
        </w:rPr>
        <w:t>in addition to hav</w:t>
      </w:r>
      <w:r>
        <w:rPr>
          <w:rFonts w:eastAsia="Calibri" w:cs="Times New Roman"/>
        </w:rPr>
        <w:t xml:space="preserve">ing their payment suspended will </w:t>
      </w:r>
      <w:r w:rsidRPr="004A20A8">
        <w:rPr>
          <w:rFonts w:eastAsia="Calibri" w:cs="Times New Roman"/>
        </w:rPr>
        <w:t>enter the War</w:t>
      </w:r>
      <w:r w:rsidR="00623F43">
        <w:rPr>
          <w:rFonts w:eastAsia="Calibri" w:cs="Times New Roman"/>
        </w:rPr>
        <w:t>ning Zone. In this phase, each F</w:t>
      </w:r>
      <w:r w:rsidRPr="004A20A8">
        <w:rPr>
          <w:rFonts w:eastAsia="Calibri" w:cs="Times New Roman"/>
        </w:rPr>
        <w:t>ailure t</w:t>
      </w:r>
      <w:r w:rsidR="000506DC">
        <w:rPr>
          <w:rFonts w:eastAsia="Calibri" w:cs="Times New Roman"/>
        </w:rPr>
        <w:t>o meet a R</w:t>
      </w:r>
      <w:r w:rsidR="001C0842">
        <w:rPr>
          <w:rFonts w:eastAsia="Calibri" w:cs="Times New Roman"/>
        </w:rPr>
        <w:t>equirement will result in a P</w:t>
      </w:r>
      <w:r w:rsidRPr="004A20A8">
        <w:rPr>
          <w:rFonts w:eastAsia="Calibri" w:cs="Times New Roman"/>
        </w:rPr>
        <w:t>ayme</w:t>
      </w:r>
      <w:r w:rsidR="001C0842">
        <w:rPr>
          <w:rFonts w:eastAsia="Calibri" w:cs="Times New Roman"/>
        </w:rPr>
        <w:t>nt S</w:t>
      </w:r>
      <w:r w:rsidR="00261CE4">
        <w:rPr>
          <w:rFonts w:eastAsia="Calibri" w:cs="Times New Roman"/>
        </w:rPr>
        <w:t>uspension and accrual of a D</w:t>
      </w:r>
      <w:r w:rsidRPr="004A20A8">
        <w:rPr>
          <w:rFonts w:eastAsia="Calibri" w:cs="Times New Roman"/>
        </w:rPr>
        <w:t xml:space="preserve">emerit if there is no valid reason. No </w:t>
      </w:r>
      <w:r w:rsidR="00F22DA1">
        <w:rPr>
          <w:rFonts w:eastAsia="Calibri" w:cs="Times New Roman"/>
        </w:rPr>
        <w:t>F</w:t>
      </w:r>
      <w:r w:rsidRPr="004A20A8">
        <w:rPr>
          <w:rFonts w:eastAsia="Calibri" w:cs="Times New Roman"/>
        </w:rPr>
        <w:t xml:space="preserve">inancial </w:t>
      </w:r>
      <w:r w:rsidR="00F22DA1">
        <w:rPr>
          <w:rFonts w:eastAsia="Calibri" w:cs="Times New Roman"/>
        </w:rPr>
        <w:t>P</w:t>
      </w:r>
      <w:r w:rsidRPr="004A20A8">
        <w:rPr>
          <w:rFonts w:eastAsia="Calibri" w:cs="Times New Roman"/>
        </w:rPr>
        <w:t>enalties will apply to the job seeker</w:t>
      </w:r>
      <w:r w:rsidR="00261CE4">
        <w:rPr>
          <w:rFonts w:eastAsia="Calibri" w:cs="Times New Roman"/>
        </w:rPr>
        <w:t>/participant in this phase, except for Work Refusal or U</w:t>
      </w:r>
      <w:r w:rsidR="00623F43">
        <w:rPr>
          <w:rFonts w:eastAsia="Calibri" w:cs="Times New Roman"/>
        </w:rPr>
        <w:t>nemployment F</w:t>
      </w:r>
      <w:r w:rsidRPr="004A20A8">
        <w:rPr>
          <w:rFonts w:eastAsia="Calibri" w:cs="Times New Roman"/>
        </w:rPr>
        <w:t xml:space="preserve">ailures. </w:t>
      </w:r>
      <w:r w:rsidRPr="004A20A8">
        <w:t>Job seekers</w:t>
      </w:r>
      <w:r w:rsidR="00261CE4">
        <w:t>/participants</w:t>
      </w:r>
      <w:r w:rsidRPr="004A20A8">
        <w:t xml:space="preserve"> </w:t>
      </w:r>
      <w:r w:rsidR="00261CE4">
        <w:t>in the Warning Z</w:t>
      </w:r>
      <w:r>
        <w:t xml:space="preserve">one </w:t>
      </w:r>
      <w:r w:rsidRPr="004A20A8">
        <w:t>will be required to participate in capability reviews once they have accrued three and five Demerits in a six-</w:t>
      </w:r>
      <w:r w:rsidR="00261CE4">
        <w:t xml:space="preserve">active </w:t>
      </w:r>
      <w:r w:rsidRPr="004A20A8">
        <w:t xml:space="preserve">month period: at three Demerits, they will attend a Capability Interview with their Provider; at five, they will participate in a Capability Assessment with </w:t>
      </w:r>
      <w:r w:rsidR="008C1D20">
        <w:t>Services Australia</w:t>
      </w:r>
      <w:r w:rsidRPr="004A20A8">
        <w:t>. Job seekers</w:t>
      </w:r>
      <w:r w:rsidR="00E97D2A" w:rsidRPr="00E97D2A">
        <w:t>/participant</w:t>
      </w:r>
      <w:r w:rsidR="00E97D2A">
        <w:t>s</w:t>
      </w:r>
      <w:r w:rsidRPr="004A20A8">
        <w:t xml:space="preserve"> may also be fast-tracked to the relevant review for </w:t>
      </w:r>
      <w:r w:rsidR="00623F43">
        <w:t>Job Interview and Job Referral F</w:t>
      </w:r>
      <w:r w:rsidRPr="004A20A8">
        <w:t xml:space="preserve">ailures. The purpose of capability reviews is to </w:t>
      </w:r>
      <w:r w:rsidR="00261CE4">
        <w:t>evaluate whether the Job Plan is appropriate to the job seeker’s/participant’s</w:t>
      </w:r>
      <w:r w:rsidRPr="004A20A8">
        <w:t xml:space="preserve"> personal circumstances and level of capability. </w:t>
      </w:r>
    </w:p>
    <w:p w14:paraId="3273C7B2" w14:textId="718B84BA" w:rsidR="00756257" w:rsidRDefault="00756257" w:rsidP="003E3458">
      <w:pPr>
        <w:pStyle w:val="Basic"/>
        <w:spacing w:before="240"/>
        <w:rPr>
          <w:rFonts w:ascii="Calibri" w:eastAsia="Calibri" w:hAnsi="Calibri" w:cs="Times New Roman"/>
        </w:rPr>
      </w:pPr>
      <w:r w:rsidRPr="00F33B10">
        <w:rPr>
          <w:rFonts w:ascii="Calibri" w:eastAsia="Calibri" w:hAnsi="Calibri" w:cs="Times New Roman"/>
          <w:b/>
        </w:rPr>
        <w:t>Work Refusal Failure</w:t>
      </w:r>
      <w:r w:rsidR="009A1334">
        <w:rPr>
          <w:rFonts w:ascii="Calibri" w:eastAsia="Calibri" w:hAnsi="Calibri" w:cs="Times New Roman"/>
        </w:rPr>
        <w:t>—</w:t>
      </w:r>
      <w:r w:rsidRPr="00F33B10">
        <w:rPr>
          <w:rFonts w:ascii="Calibri" w:eastAsia="Calibri" w:hAnsi="Calibri" w:cs="Times New Roman"/>
        </w:rPr>
        <w:t>A Work Refusal Failure occurs where a job seeker</w:t>
      </w:r>
      <w:r w:rsidR="001A1716">
        <w:rPr>
          <w:rFonts w:ascii="Calibri" w:eastAsia="Calibri" w:hAnsi="Calibri" w:cs="Times New Roman"/>
        </w:rPr>
        <w:t>/participant</w:t>
      </w:r>
      <w:r w:rsidRPr="00F33B10">
        <w:rPr>
          <w:rFonts w:ascii="Calibri" w:eastAsia="Calibri" w:hAnsi="Calibri" w:cs="Times New Roman"/>
        </w:rPr>
        <w:t xml:space="preserve"> </w:t>
      </w:r>
      <w:r w:rsidRPr="00B00F95">
        <w:rPr>
          <w:rFonts w:ascii="Calibri" w:eastAsia="Calibri" w:hAnsi="Calibri" w:cs="Times New Roman"/>
          <w:i/>
        </w:rPr>
        <w:t>fails to accept a suitable job</w:t>
      </w:r>
      <w:r w:rsidRPr="00F33B10">
        <w:rPr>
          <w:rFonts w:ascii="Calibri" w:eastAsia="Calibri" w:hAnsi="Calibri" w:cs="Times New Roman"/>
        </w:rPr>
        <w:t xml:space="preserve"> </w:t>
      </w:r>
      <w:r w:rsidRPr="00B00F95">
        <w:rPr>
          <w:rFonts w:ascii="Calibri" w:eastAsia="Calibri" w:hAnsi="Calibri" w:cs="Times New Roman"/>
        </w:rPr>
        <w:t>or</w:t>
      </w:r>
      <w:r w:rsidRPr="00B00F95">
        <w:rPr>
          <w:rFonts w:ascii="Calibri" w:eastAsia="Calibri" w:hAnsi="Calibri" w:cs="Times New Roman"/>
          <w:i/>
        </w:rPr>
        <w:t xml:space="preserve"> fails to commence a suitable jo</w:t>
      </w:r>
      <w:r w:rsidR="00092A03" w:rsidRPr="00B00F95">
        <w:rPr>
          <w:rFonts w:ascii="Calibri" w:eastAsia="Calibri" w:hAnsi="Calibri" w:cs="Times New Roman"/>
          <w:i/>
        </w:rPr>
        <w:t>b</w:t>
      </w:r>
      <w:r w:rsidRPr="00F33B10">
        <w:rPr>
          <w:rFonts w:ascii="Calibri" w:eastAsia="Calibri" w:hAnsi="Calibri" w:cs="Times New Roman"/>
        </w:rPr>
        <w:t xml:space="preserve">. </w:t>
      </w:r>
      <w:r>
        <w:rPr>
          <w:rFonts w:ascii="Calibri" w:eastAsia="Calibri" w:hAnsi="Calibri" w:cs="Times New Roman"/>
        </w:rPr>
        <w:t>Job seekers</w:t>
      </w:r>
      <w:r w:rsidR="001A1716">
        <w:rPr>
          <w:rFonts w:ascii="Calibri" w:eastAsia="Calibri" w:hAnsi="Calibri" w:cs="Times New Roman"/>
        </w:rPr>
        <w:t>/participants</w:t>
      </w:r>
      <w:r w:rsidR="00261CE4">
        <w:rPr>
          <w:rFonts w:ascii="Calibri" w:eastAsia="Calibri" w:hAnsi="Calibri" w:cs="Times New Roman"/>
        </w:rPr>
        <w:t xml:space="preserve"> (in any Z</w:t>
      </w:r>
      <w:r>
        <w:rPr>
          <w:rFonts w:ascii="Calibri" w:eastAsia="Calibri" w:hAnsi="Calibri" w:cs="Times New Roman"/>
        </w:rPr>
        <w:t>one) who commit</w:t>
      </w:r>
      <w:r w:rsidRPr="00F33B10">
        <w:rPr>
          <w:rFonts w:ascii="Calibri" w:eastAsia="Calibri" w:hAnsi="Calibri" w:cs="Times New Roman"/>
        </w:rPr>
        <w:t xml:space="preserve"> </w:t>
      </w:r>
      <w:r>
        <w:rPr>
          <w:rFonts w:ascii="Calibri" w:eastAsia="Calibri" w:hAnsi="Calibri" w:cs="Times New Roman"/>
        </w:rPr>
        <w:t xml:space="preserve">a Work Refusal Failure without a </w:t>
      </w:r>
      <w:r w:rsidR="00B00F95">
        <w:rPr>
          <w:rFonts w:ascii="Calibri" w:eastAsia="Calibri" w:hAnsi="Calibri" w:cs="Times New Roman"/>
        </w:rPr>
        <w:t>R</w:t>
      </w:r>
      <w:r>
        <w:rPr>
          <w:rFonts w:ascii="Calibri" w:eastAsia="Calibri" w:hAnsi="Calibri" w:cs="Times New Roman"/>
        </w:rPr>
        <w:t xml:space="preserve">easonable </w:t>
      </w:r>
      <w:r w:rsidR="00B00F95">
        <w:rPr>
          <w:rFonts w:ascii="Calibri" w:eastAsia="Calibri" w:hAnsi="Calibri" w:cs="Times New Roman"/>
        </w:rPr>
        <w:t>E</w:t>
      </w:r>
      <w:r>
        <w:rPr>
          <w:rFonts w:ascii="Calibri" w:eastAsia="Calibri" w:hAnsi="Calibri" w:cs="Times New Roman"/>
        </w:rPr>
        <w:t xml:space="preserve">xcuse will have their Income Support Payment </w:t>
      </w:r>
      <w:r w:rsidRPr="00F33B10">
        <w:rPr>
          <w:rFonts w:ascii="Calibri" w:eastAsia="Calibri" w:hAnsi="Calibri" w:cs="Times New Roman"/>
        </w:rPr>
        <w:t>cancelled and they</w:t>
      </w:r>
      <w:r w:rsidR="00261CE4">
        <w:rPr>
          <w:rFonts w:ascii="Calibri" w:eastAsia="Calibri" w:hAnsi="Calibri" w:cs="Times New Roman"/>
        </w:rPr>
        <w:t xml:space="preserve"> will serve a four-week Non-Payment/Preclusion P</w:t>
      </w:r>
      <w:r>
        <w:rPr>
          <w:rFonts w:ascii="Calibri" w:eastAsia="Calibri" w:hAnsi="Calibri" w:cs="Times New Roman"/>
        </w:rPr>
        <w:t>eriod.</w:t>
      </w:r>
      <w:r w:rsidR="00092A03">
        <w:rPr>
          <w:rFonts w:ascii="Calibri" w:eastAsia="Calibri" w:hAnsi="Calibri" w:cs="Times New Roman"/>
        </w:rPr>
        <w:t xml:space="preserve"> For further information on Work Refusal Failures, please refer to the </w:t>
      </w:r>
      <w:hyperlink r:id="rId22" w:history="1">
        <w:r w:rsidR="00092A03" w:rsidRPr="002F52C6">
          <w:rPr>
            <w:rStyle w:val="Hyperlink"/>
            <w:rFonts w:ascii="Calibri" w:eastAsia="Calibri" w:hAnsi="Calibri" w:cs="Times New Roman"/>
            <w:szCs w:val="20"/>
          </w:rPr>
          <w:t>Guide to Social Security Law</w:t>
        </w:r>
      </w:hyperlink>
      <w:r w:rsidR="00092A03">
        <w:rPr>
          <w:rFonts w:ascii="Calibri" w:eastAsia="Calibri" w:hAnsi="Calibri" w:cs="Times New Roman"/>
        </w:rPr>
        <w:t>.</w:t>
      </w:r>
    </w:p>
    <w:sectPr w:rsidR="00756257" w:rsidSect="005F677C">
      <w:type w:val="continuous"/>
      <w:pgSz w:w="16838" w:h="11906" w:orient="landscape"/>
      <w:pgMar w:top="1247" w:right="1440" w:bottom="130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FEEAA" w14:textId="77777777" w:rsidR="00B40A3D" w:rsidRDefault="00B40A3D" w:rsidP="00614142">
      <w:pPr>
        <w:spacing w:after="0" w:line="240" w:lineRule="auto"/>
      </w:pPr>
      <w:r>
        <w:separator/>
      </w:r>
    </w:p>
  </w:endnote>
  <w:endnote w:type="continuationSeparator" w:id="0">
    <w:p w14:paraId="5AB9164A" w14:textId="77777777" w:rsidR="00B40A3D" w:rsidRDefault="00B40A3D" w:rsidP="0061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053896"/>
      <w:docPartObj>
        <w:docPartGallery w:val="Page Numbers (Bottom of Page)"/>
        <w:docPartUnique/>
      </w:docPartObj>
    </w:sdtPr>
    <w:sdtEndPr>
      <w:rPr>
        <w:noProof/>
      </w:rPr>
    </w:sdtEndPr>
    <w:sdtContent>
      <w:p w14:paraId="794A2335" w14:textId="4742A95C" w:rsidR="00F0192D" w:rsidRDefault="00F0192D">
        <w:pPr>
          <w:pStyle w:val="Footer"/>
          <w:jc w:val="right"/>
        </w:pPr>
        <w:r>
          <w:fldChar w:fldCharType="begin"/>
        </w:r>
        <w:r>
          <w:instrText xml:space="preserve"> PAGE   \* MERGEFORMAT </w:instrText>
        </w:r>
        <w:r>
          <w:fldChar w:fldCharType="separate"/>
        </w:r>
        <w:r w:rsidR="00F66791">
          <w:rPr>
            <w:noProof/>
          </w:rPr>
          <w:t>1</w:t>
        </w:r>
        <w:r>
          <w:rPr>
            <w:noProof/>
          </w:rPr>
          <w:fldChar w:fldCharType="end"/>
        </w:r>
      </w:p>
    </w:sdtContent>
  </w:sdt>
  <w:p w14:paraId="2C359952" w14:textId="77777777" w:rsidR="00F0192D" w:rsidRDefault="00F0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78341" w14:textId="77777777" w:rsidR="00B40A3D" w:rsidRDefault="00B40A3D" w:rsidP="00614142">
      <w:pPr>
        <w:spacing w:after="0" w:line="240" w:lineRule="auto"/>
      </w:pPr>
      <w:r>
        <w:separator/>
      </w:r>
    </w:p>
  </w:footnote>
  <w:footnote w:type="continuationSeparator" w:id="0">
    <w:p w14:paraId="07865DCF" w14:textId="77777777" w:rsidR="00B40A3D" w:rsidRDefault="00B40A3D" w:rsidP="00614142">
      <w:pPr>
        <w:spacing w:after="0" w:line="240" w:lineRule="auto"/>
      </w:pPr>
      <w:r>
        <w:continuationSeparator/>
      </w:r>
    </w:p>
  </w:footnote>
  <w:footnote w:id="1">
    <w:p w14:paraId="2D5BD466" w14:textId="7FA2B62B" w:rsidR="00F0192D" w:rsidRDefault="00F0192D">
      <w:pPr>
        <w:pStyle w:val="FootnoteText"/>
      </w:pPr>
      <w:r>
        <w:rPr>
          <w:rStyle w:val="FootnoteReference"/>
        </w:rPr>
        <w:footnoteRef/>
      </w:r>
      <w:r>
        <w:t xml:space="preserve"> </w:t>
      </w:r>
      <w:r w:rsidRPr="003E3458">
        <w:t>Due to rounding, percentages in tables in this report may not always add up</w:t>
      </w:r>
      <w:r>
        <w:t xml:space="preserve"> to 100%.</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5DF1" w14:textId="55774855" w:rsidR="00F0192D" w:rsidRPr="00244022" w:rsidRDefault="00F0192D" w:rsidP="00503943">
    <w:pPr>
      <w:pStyle w:val="Header"/>
      <w:spacing w:before="100" w:beforeAutospacing="1"/>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64D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C28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300B3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5677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98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A06C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A8BD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FA7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EC0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BCF7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7CDF"/>
    <w:multiLevelType w:val="hybridMultilevel"/>
    <w:tmpl w:val="80245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04150B9"/>
    <w:multiLevelType w:val="hybridMultilevel"/>
    <w:tmpl w:val="34949E94"/>
    <w:lvl w:ilvl="0" w:tplc="A134EA8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6F6850"/>
    <w:multiLevelType w:val="hybridMultilevel"/>
    <w:tmpl w:val="2E4A4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367D125C"/>
    <w:multiLevelType w:val="hybridMultilevel"/>
    <w:tmpl w:val="FE3AB130"/>
    <w:lvl w:ilvl="0" w:tplc="A134EA8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3F0F757A"/>
    <w:multiLevelType w:val="hybridMultilevel"/>
    <w:tmpl w:val="B3F8D3E0"/>
    <w:lvl w:ilvl="0" w:tplc="F0D4B00A">
      <w:start w:val="1"/>
      <w:numFmt w:val="bullet"/>
      <w:lvlText w:val=""/>
      <w:lvlJc w:val="left"/>
      <w:pPr>
        <w:ind w:left="720" w:hanging="360"/>
      </w:pPr>
      <w:rPr>
        <w:rFonts w:ascii="Symbol" w:hAnsi="Symbol" w:hint="default"/>
      </w:rPr>
    </w:lvl>
    <w:lvl w:ilvl="1" w:tplc="14D0BB24">
      <w:start w:val="1"/>
      <w:numFmt w:val="bullet"/>
      <w:lvlText w:val="o"/>
      <w:lvlJc w:val="left"/>
      <w:pPr>
        <w:ind w:left="1440" w:hanging="360"/>
      </w:pPr>
      <w:rPr>
        <w:rFonts w:ascii="Courier New" w:hAnsi="Courier New" w:cs="Courier New" w:hint="default"/>
      </w:rPr>
    </w:lvl>
    <w:lvl w:ilvl="2" w:tplc="0AEE9BE8">
      <w:start w:val="1"/>
      <w:numFmt w:val="bullet"/>
      <w:lvlText w:val=""/>
      <w:lvlJc w:val="left"/>
      <w:pPr>
        <w:ind w:left="2160" w:hanging="360"/>
      </w:pPr>
      <w:rPr>
        <w:rFonts w:ascii="Wingdings" w:hAnsi="Wingdings" w:hint="default"/>
      </w:rPr>
    </w:lvl>
    <w:lvl w:ilvl="3" w:tplc="A0D44C5C" w:tentative="1">
      <w:start w:val="1"/>
      <w:numFmt w:val="bullet"/>
      <w:lvlText w:val=""/>
      <w:lvlJc w:val="left"/>
      <w:pPr>
        <w:ind w:left="2880" w:hanging="360"/>
      </w:pPr>
      <w:rPr>
        <w:rFonts w:ascii="Symbol" w:hAnsi="Symbol" w:hint="default"/>
      </w:rPr>
    </w:lvl>
    <w:lvl w:ilvl="4" w:tplc="D06A1024" w:tentative="1">
      <w:start w:val="1"/>
      <w:numFmt w:val="bullet"/>
      <w:lvlText w:val="o"/>
      <w:lvlJc w:val="left"/>
      <w:pPr>
        <w:ind w:left="3600" w:hanging="360"/>
      </w:pPr>
      <w:rPr>
        <w:rFonts w:ascii="Courier New" w:hAnsi="Courier New" w:cs="Courier New" w:hint="default"/>
      </w:rPr>
    </w:lvl>
    <w:lvl w:ilvl="5" w:tplc="81DAFE92" w:tentative="1">
      <w:start w:val="1"/>
      <w:numFmt w:val="bullet"/>
      <w:lvlText w:val=""/>
      <w:lvlJc w:val="left"/>
      <w:pPr>
        <w:ind w:left="4320" w:hanging="360"/>
      </w:pPr>
      <w:rPr>
        <w:rFonts w:ascii="Wingdings" w:hAnsi="Wingdings" w:hint="default"/>
      </w:rPr>
    </w:lvl>
    <w:lvl w:ilvl="6" w:tplc="AFE0C30C" w:tentative="1">
      <w:start w:val="1"/>
      <w:numFmt w:val="bullet"/>
      <w:lvlText w:val=""/>
      <w:lvlJc w:val="left"/>
      <w:pPr>
        <w:ind w:left="5040" w:hanging="360"/>
      </w:pPr>
      <w:rPr>
        <w:rFonts w:ascii="Symbol" w:hAnsi="Symbol" w:hint="default"/>
      </w:rPr>
    </w:lvl>
    <w:lvl w:ilvl="7" w:tplc="4A422C44" w:tentative="1">
      <w:start w:val="1"/>
      <w:numFmt w:val="bullet"/>
      <w:lvlText w:val="o"/>
      <w:lvlJc w:val="left"/>
      <w:pPr>
        <w:ind w:left="5760" w:hanging="360"/>
      </w:pPr>
      <w:rPr>
        <w:rFonts w:ascii="Courier New" w:hAnsi="Courier New" w:cs="Courier New" w:hint="default"/>
      </w:rPr>
    </w:lvl>
    <w:lvl w:ilvl="8" w:tplc="74B6EE88" w:tentative="1">
      <w:start w:val="1"/>
      <w:numFmt w:val="bullet"/>
      <w:lvlText w:val=""/>
      <w:lvlJc w:val="left"/>
      <w:pPr>
        <w:ind w:left="6480" w:hanging="360"/>
      </w:pPr>
      <w:rPr>
        <w:rFonts w:ascii="Wingdings" w:hAnsi="Wingdings" w:hint="default"/>
      </w:rPr>
    </w:lvl>
  </w:abstractNum>
  <w:abstractNum w:abstractNumId="17" w15:restartNumberingAfterBreak="0">
    <w:nsid w:val="4CEB2581"/>
    <w:multiLevelType w:val="hybridMultilevel"/>
    <w:tmpl w:val="70D297CC"/>
    <w:lvl w:ilvl="0" w:tplc="2236C33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F968BA"/>
    <w:multiLevelType w:val="hybridMultilevel"/>
    <w:tmpl w:val="E034C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AD0EA2"/>
    <w:multiLevelType w:val="hybridMultilevel"/>
    <w:tmpl w:val="176C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EE68FC"/>
    <w:multiLevelType w:val="hybridMultilevel"/>
    <w:tmpl w:val="D6E6EBDE"/>
    <w:lvl w:ilvl="0" w:tplc="39389D36">
      <w:start w:val="1"/>
      <w:numFmt w:val="bullet"/>
      <w:lvlText w:val=""/>
      <w:lvlJc w:val="left"/>
      <w:pPr>
        <w:ind w:left="1434" w:hanging="360"/>
      </w:pPr>
      <w:rPr>
        <w:rFonts w:ascii="Symbol" w:hAnsi="Symbol" w:hint="default"/>
        <w:sz w:val="28"/>
      </w:rPr>
    </w:lvl>
    <w:lvl w:ilvl="1" w:tplc="98F45A10">
      <w:start w:val="1"/>
      <w:numFmt w:val="bullet"/>
      <w:lvlText w:val="o"/>
      <w:lvlJc w:val="left"/>
      <w:pPr>
        <w:ind w:left="2154" w:hanging="360"/>
      </w:pPr>
      <w:rPr>
        <w:rFonts w:ascii="Courier New" w:hAnsi="Courier New" w:cs="Courier New" w:hint="default"/>
      </w:rPr>
    </w:lvl>
    <w:lvl w:ilvl="2" w:tplc="B330E578">
      <w:start w:val="1"/>
      <w:numFmt w:val="bullet"/>
      <w:lvlText w:val=""/>
      <w:lvlJc w:val="left"/>
      <w:pPr>
        <w:ind w:left="2874" w:hanging="360"/>
      </w:pPr>
      <w:rPr>
        <w:rFonts w:ascii="Wingdings" w:hAnsi="Wingdings" w:hint="default"/>
      </w:rPr>
    </w:lvl>
    <w:lvl w:ilvl="3" w:tplc="CB089FFC" w:tentative="1">
      <w:start w:val="1"/>
      <w:numFmt w:val="bullet"/>
      <w:lvlText w:val=""/>
      <w:lvlJc w:val="left"/>
      <w:pPr>
        <w:ind w:left="3594" w:hanging="360"/>
      </w:pPr>
      <w:rPr>
        <w:rFonts w:ascii="Symbol" w:hAnsi="Symbol" w:hint="default"/>
      </w:rPr>
    </w:lvl>
    <w:lvl w:ilvl="4" w:tplc="2F787814" w:tentative="1">
      <w:start w:val="1"/>
      <w:numFmt w:val="bullet"/>
      <w:lvlText w:val="o"/>
      <w:lvlJc w:val="left"/>
      <w:pPr>
        <w:ind w:left="4314" w:hanging="360"/>
      </w:pPr>
      <w:rPr>
        <w:rFonts w:ascii="Courier New" w:hAnsi="Courier New" w:cs="Courier New" w:hint="default"/>
      </w:rPr>
    </w:lvl>
    <w:lvl w:ilvl="5" w:tplc="10C83662" w:tentative="1">
      <w:start w:val="1"/>
      <w:numFmt w:val="bullet"/>
      <w:lvlText w:val=""/>
      <w:lvlJc w:val="left"/>
      <w:pPr>
        <w:ind w:left="5034" w:hanging="360"/>
      </w:pPr>
      <w:rPr>
        <w:rFonts w:ascii="Wingdings" w:hAnsi="Wingdings" w:hint="default"/>
      </w:rPr>
    </w:lvl>
    <w:lvl w:ilvl="6" w:tplc="C6AAFF44" w:tentative="1">
      <w:start w:val="1"/>
      <w:numFmt w:val="bullet"/>
      <w:lvlText w:val=""/>
      <w:lvlJc w:val="left"/>
      <w:pPr>
        <w:ind w:left="5754" w:hanging="360"/>
      </w:pPr>
      <w:rPr>
        <w:rFonts w:ascii="Symbol" w:hAnsi="Symbol" w:hint="default"/>
      </w:rPr>
    </w:lvl>
    <w:lvl w:ilvl="7" w:tplc="932EC02C" w:tentative="1">
      <w:start w:val="1"/>
      <w:numFmt w:val="bullet"/>
      <w:lvlText w:val="o"/>
      <w:lvlJc w:val="left"/>
      <w:pPr>
        <w:ind w:left="6474" w:hanging="360"/>
      </w:pPr>
      <w:rPr>
        <w:rFonts w:ascii="Courier New" w:hAnsi="Courier New" w:cs="Courier New" w:hint="default"/>
      </w:rPr>
    </w:lvl>
    <w:lvl w:ilvl="8" w:tplc="D5BAF1EA" w:tentative="1">
      <w:start w:val="1"/>
      <w:numFmt w:val="bullet"/>
      <w:lvlText w:val=""/>
      <w:lvlJc w:val="left"/>
      <w:pPr>
        <w:ind w:left="7194" w:hanging="360"/>
      </w:pPr>
      <w:rPr>
        <w:rFonts w:ascii="Wingdings" w:hAnsi="Wingdings" w:hint="default"/>
      </w:rPr>
    </w:lvl>
  </w:abstractNum>
  <w:abstractNum w:abstractNumId="21"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1"/>
  </w:num>
  <w:num w:numId="4">
    <w:abstractNumId w:val="9"/>
  </w:num>
  <w:num w:numId="5">
    <w:abstractNumId w:val="21"/>
  </w:num>
  <w:num w:numId="6">
    <w:abstractNumId w:val="8"/>
  </w:num>
  <w:num w:numId="7">
    <w:abstractNumId w:val="15"/>
  </w:num>
  <w:num w:numId="8">
    <w:abstractNumId w:val="7"/>
  </w:num>
  <w:num w:numId="9">
    <w:abstractNumId w:val="21"/>
  </w:num>
  <w:num w:numId="10">
    <w:abstractNumId w:val="6"/>
  </w:num>
  <w:num w:numId="11">
    <w:abstractNumId w:val="21"/>
  </w:num>
  <w:num w:numId="12">
    <w:abstractNumId w:val="5"/>
  </w:num>
  <w:num w:numId="13">
    <w:abstractNumId w:val="21"/>
  </w:num>
  <w:num w:numId="14">
    <w:abstractNumId w:val="4"/>
  </w:num>
  <w:num w:numId="15">
    <w:abstractNumId w:val="21"/>
  </w:num>
  <w:num w:numId="16">
    <w:abstractNumId w:val="3"/>
  </w:num>
  <w:num w:numId="17">
    <w:abstractNumId w:val="15"/>
  </w:num>
  <w:num w:numId="18">
    <w:abstractNumId w:val="2"/>
  </w:num>
  <w:num w:numId="19">
    <w:abstractNumId w:val="15"/>
  </w:num>
  <w:num w:numId="20">
    <w:abstractNumId w:val="1"/>
  </w:num>
  <w:num w:numId="21">
    <w:abstractNumId w:val="15"/>
  </w:num>
  <w:num w:numId="22">
    <w:abstractNumId w:val="0"/>
  </w:num>
  <w:num w:numId="23">
    <w:abstractNumId w:val="15"/>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1"/>
  </w:num>
  <w:num w:numId="27">
    <w:abstractNumId w:val="15"/>
  </w:num>
  <w:num w:numId="28">
    <w:abstractNumId w:val="17"/>
  </w:num>
  <w:num w:numId="29">
    <w:abstractNumId w:val="10"/>
  </w:num>
  <w:num w:numId="30">
    <w:abstractNumId w:val="13"/>
  </w:num>
  <w:num w:numId="31">
    <w:abstractNumId w:val="19"/>
  </w:num>
  <w:num w:numId="32">
    <w:abstractNumId w:val="11"/>
  </w:num>
  <w:num w:numId="33">
    <w:abstractNumId w:val="14"/>
  </w:num>
  <w:num w:numId="34">
    <w:abstractNumId w:val="18"/>
  </w:num>
  <w:num w:numId="35">
    <w:abstractNumId w:val="12"/>
  </w:num>
  <w:num w:numId="36">
    <w:abstractNumId w:val="1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B8"/>
    <w:rsid w:val="00001148"/>
    <w:rsid w:val="00001C44"/>
    <w:rsid w:val="00001D70"/>
    <w:rsid w:val="00004420"/>
    <w:rsid w:val="000056E6"/>
    <w:rsid w:val="00007E4C"/>
    <w:rsid w:val="000147F9"/>
    <w:rsid w:val="0001499B"/>
    <w:rsid w:val="000172D1"/>
    <w:rsid w:val="00025520"/>
    <w:rsid w:val="000303B6"/>
    <w:rsid w:val="00030847"/>
    <w:rsid w:val="0003550C"/>
    <w:rsid w:val="00041544"/>
    <w:rsid w:val="00042AAD"/>
    <w:rsid w:val="00043982"/>
    <w:rsid w:val="000439BF"/>
    <w:rsid w:val="000455A5"/>
    <w:rsid w:val="00046330"/>
    <w:rsid w:val="000506DC"/>
    <w:rsid w:val="00066B53"/>
    <w:rsid w:val="000708D9"/>
    <w:rsid w:val="00071DAE"/>
    <w:rsid w:val="00071EDE"/>
    <w:rsid w:val="00074BE3"/>
    <w:rsid w:val="00075701"/>
    <w:rsid w:val="000774CA"/>
    <w:rsid w:val="00080450"/>
    <w:rsid w:val="00081943"/>
    <w:rsid w:val="00092283"/>
    <w:rsid w:val="00092A03"/>
    <w:rsid w:val="0009482B"/>
    <w:rsid w:val="000A1D24"/>
    <w:rsid w:val="000A2070"/>
    <w:rsid w:val="000A2682"/>
    <w:rsid w:val="000A7A0F"/>
    <w:rsid w:val="000B0E69"/>
    <w:rsid w:val="000B17C9"/>
    <w:rsid w:val="000B287E"/>
    <w:rsid w:val="000B3FF4"/>
    <w:rsid w:val="000B59C4"/>
    <w:rsid w:val="000B5B73"/>
    <w:rsid w:val="000B7D1D"/>
    <w:rsid w:val="000C0249"/>
    <w:rsid w:val="000C3874"/>
    <w:rsid w:val="000C493A"/>
    <w:rsid w:val="000C4AEA"/>
    <w:rsid w:val="000C6A24"/>
    <w:rsid w:val="000C6F52"/>
    <w:rsid w:val="000C7AD2"/>
    <w:rsid w:val="000D2990"/>
    <w:rsid w:val="000D51D0"/>
    <w:rsid w:val="000D6652"/>
    <w:rsid w:val="000E0020"/>
    <w:rsid w:val="000E1E09"/>
    <w:rsid w:val="000E6B58"/>
    <w:rsid w:val="000F0736"/>
    <w:rsid w:val="000F2E2E"/>
    <w:rsid w:val="000F2EAE"/>
    <w:rsid w:val="000F47F8"/>
    <w:rsid w:val="000F6119"/>
    <w:rsid w:val="000F7FDA"/>
    <w:rsid w:val="00100900"/>
    <w:rsid w:val="001023F7"/>
    <w:rsid w:val="0010611C"/>
    <w:rsid w:val="00107DBD"/>
    <w:rsid w:val="001146DE"/>
    <w:rsid w:val="00114DE4"/>
    <w:rsid w:val="00115382"/>
    <w:rsid w:val="00115DDA"/>
    <w:rsid w:val="0011701D"/>
    <w:rsid w:val="001178EE"/>
    <w:rsid w:val="00125244"/>
    <w:rsid w:val="00125D90"/>
    <w:rsid w:val="0013095B"/>
    <w:rsid w:val="00131B0A"/>
    <w:rsid w:val="00134396"/>
    <w:rsid w:val="00137482"/>
    <w:rsid w:val="00142952"/>
    <w:rsid w:val="00142A42"/>
    <w:rsid w:val="001546EC"/>
    <w:rsid w:val="001564D4"/>
    <w:rsid w:val="00157E90"/>
    <w:rsid w:val="00162ECB"/>
    <w:rsid w:val="00165404"/>
    <w:rsid w:val="00167BFB"/>
    <w:rsid w:val="0017310A"/>
    <w:rsid w:val="0017680B"/>
    <w:rsid w:val="001800BA"/>
    <w:rsid w:val="00186CAA"/>
    <w:rsid w:val="00186F6A"/>
    <w:rsid w:val="00191D1E"/>
    <w:rsid w:val="00194E31"/>
    <w:rsid w:val="00195123"/>
    <w:rsid w:val="001A1716"/>
    <w:rsid w:val="001A46FE"/>
    <w:rsid w:val="001A49D8"/>
    <w:rsid w:val="001A4CE7"/>
    <w:rsid w:val="001B2F8B"/>
    <w:rsid w:val="001B40EB"/>
    <w:rsid w:val="001B4273"/>
    <w:rsid w:val="001B446D"/>
    <w:rsid w:val="001B7142"/>
    <w:rsid w:val="001B75E7"/>
    <w:rsid w:val="001B7CCA"/>
    <w:rsid w:val="001C0842"/>
    <w:rsid w:val="001C0BB8"/>
    <w:rsid w:val="001C0C55"/>
    <w:rsid w:val="001C0ECC"/>
    <w:rsid w:val="001C373B"/>
    <w:rsid w:val="001C6103"/>
    <w:rsid w:val="001C7E13"/>
    <w:rsid w:val="001D19B4"/>
    <w:rsid w:val="001D3644"/>
    <w:rsid w:val="001D3978"/>
    <w:rsid w:val="001D3E26"/>
    <w:rsid w:val="001D3EB5"/>
    <w:rsid w:val="001D6773"/>
    <w:rsid w:val="001E14BB"/>
    <w:rsid w:val="001E18C2"/>
    <w:rsid w:val="001E5024"/>
    <w:rsid w:val="001E64CC"/>
    <w:rsid w:val="001E7DAE"/>
    <w:rsid w:val="001F0198"/>
    <w:rsid w:val="001F0D89"/>
    <w:rsid w:val="001F135B"/>
    <w:rsid w:val="001F39CE"/>
    <w:rsid w:val="002018A4"/>
    <w:rsid w:val="00207DA9"/>
    <w:rsid w:val="0021243E"/>
    <w:rsid w:val="00212590"/>
    <w:rsid w:val="00214E5A"/>
    <w:rsid w:val="0022049A"/>
    <w:rsid w:val="00233EB4"/>
    <w:rsid w:val="00237E0B"/>
    <w:rsid w:val="002405DF"/>
    <w:rsid w:val="0024084B"/>
    <w:rsid w:val="00242690"/>
    <w:rsid w:val="00243AC6"/>
    <w:rsid w:val="00244022"/>
    <w:rsid w:val="00245FEA"/>
    <w:rsid w:val="00254617"/>
    <w:rsid w:val="00256BFA"/>
    <w:rsid w:val="00256D0E"/>
    <w:rsid w:val="00261CE4"/>
    <w:rsid w:val="00262CCF"/>
    <w:rsid w:val="00263960"/>
    <w:rsid w:val="0026633F"/>
    <w:rsid w:val="0027205C"/>
    <w:rsid w:val="002741C8"/>
    <w:rsid w:val="0027512B"/>
    <w:rsid w:val="00275351"/>
    <w:rsid w:val="00286203"/>
    <w:rsid w:val="0028777D"/>
    <w:rsid w:val="00291D7B"/>
    <w:rsid w:val="002922E2"/>
    <w:rsid w:val="00292F03"/>
    <w:rsid w:val="002937A7"/>
    <w:rsid w:val="0029524F"/>
    <w:rsid w:val="002964E5"/>
    <w:rsid w:val="00297538"/>
    <w:rsid w:val="00297B68"/>
    <w:rsid w:val="00297D2A"/>
    <w:rsid w:val="002A1129"/>
    <w:rsid w:val="002A1C42"/>
    <w:rsid w:val="002B212D"/>
    <w:rsid w:val="002B3396"/>
    <w:rsid w:val="002B5240"/>
    <w:rsid w:val="002C1171"/>
    <w:rsid w:val="002C2F57"/>
    <w:rsid w:val="002C4C1B"/>
    <w:rsid w:val="002C68CC"/>
    <w:rsid w:val="002D7724"/>
    <w:rsid w:val="002D7EE2"/>
    <w:rsid w:val="002E25CB"/>
    <w:rsid w:val="002E5837"/>
    <w:rsid w:val="002F1FEE"/>
    <w:rsid w:val="002F29B0"/>
    <w:rsid w:val="002F424C"/>
    <w:rsid w:val="002F52C6"/>
    <w:rsid w:val="00310182"/>
    <w:rsid w:val="0031334C"/>
    <w:rsid w:val="003138C9"/>
    <w:rsid w:val="0031394C"/>
    <w:rsid w:val="00321D21"/>
    <w:rsid w:val="003220FF"/>
    <w:rsid w:val="003233A9"/>
    <w:rsid w:val="00324440"/>
    <w:rsid w:val="003318F1"/>
    <w:rsid w:val="00335CDD"/>
    <w:rsid w:val="0033639B"/>
    <w:rsid w:val="00337B75"/>
    <w:rsid w:val="00341C06"/>
    <w:rsid w:val="003446B9"/>
    <w:rsid w:val="003446E9"/>
    <w:rsid w:val="003457EC"/>
    <w:rsid w:val="003511B8"/>
    <w:rsid w:val="00354B46"/>
    <w:rsid w:val="0035594E"/>
    <w:rsid w:val="0035690E"/>
    <w:rsid w:val="003570D1"/>
    <w:rsid w:val="00357F8D"/>
    <w:rsid w:val="00362134"/>
    <w:rsid w:val="0036380D"/>
    <w:rsid w:val="00363F37"/>
    <w:rsid w:val="003720BD"/>
    <w:rsid w:val="00375293"/>
    <w:rsid w:val="003752F0"/>
    <w:rsid w:val="0037695F"/>
    <w:rsid w:val="00381C0D"/>
    <w:rsid w:val="00384E9F"/>
    <w:rsid w:val="003852D0"/>
    <w:rsid w:val="0039456A"/>
    <w:rsid w:val="003979DE"/>
    <w:rsid w:val="00397C09"/>
    <w:rsid w:val="003A42EA"/>
    <w:rsid w:val="003A5982"/>
    <w:rsid w:val="003A5EC5"/>
    <w:rsid w:val="003B0658"/>
    <w:rsid w:val="003B3287"/>
    <w:rsid w:val="003B65AD"/>
    <w:rsid w:val="003B6DFB"/>
    <w:rsid w:val="003C0F88"/>
    <w:rsid w:val="003C40BB"/>
    <w:rsid w:val="003C4DBD"/>
    <w:rsid w:val="003C5B53"/>
    <w:rsid w:val="003D18E8"/>
    <w:rsid w:val="003D2322"/>
    <w:rsid w:val="003D75D5"/>
    <w:rsid w:val="003E1BF1"/>
    <w:rsid w:val="003E2617"/>
    <w:rsid w:val="003E26C5"/>
    <w:rsid w:val="003E323A"/>
    <w:rsid w:val="003E3458"/>
    <w:rsid w:val="003F04BC"/>
    <w:rsid w:val="003F236F"/>
    <w:rsid w:val="003F23A9"/>
    <w:rsid w:val="003F6F61"/>
    <w:rsid w:val="003F768E"/>
    <w:rsid w:val="0040001E"/>
    <w:rsid w:val="00400520"/>
    <w:rsid w:val="0040295A"/>
    <w:rsid w:val="00406117"/>
    <w:rsid w:val="00407C12"/>
    <w:rsid w:val="00410493"/>
    <w:rsid w:val="00413DFF"/>
    <w:rsid w:val="00417170"/>
    <w:rsid w:val="0041723D"/>
    <w:rsid w:val="00422A68"/>
    <w:rsid w:val="00425542"/>
    <w:rsid w:val="004258E0"/>
    <w:rsid w:val="00426E36"/>
    <w:rsid w:val="004302F1"/>
    <w:rsid w:val="00431FC4"/>
    <w:rsid w:val="004340CA"/>
    <w:rsid w:val="004342E5"/>
    <w:rsid w:val="00440C9E"/>
    <w:rsid w:val="0044238D"/>
    <w:rsid w:val="004428C1"/>
    <w:rsid w:val="00446046"/>
    <w:rsid w:val="00447188"/>
    <w:rsid w:val="00454C54"/>
    <w:rsid w:val="00462C4A"/>
    <w:rsid w:val="004635C7"/>
    <w:rsid w:val="0046481A"/>
    <w:rsid w:val="00465D5E"/>
    <w:rsid w:val="00466B49"/>
    <w:rsid w:val="00466E07"/>
    <w:rsid w:val="004731A1"/>
    <w:rsid w:val="004744D8"/>
    <w:rsid w:val="004774B7"/>
    <w:rsid w:val="00477DC1"/>
    <w:rsid w:val="00480BED"/>
    <w:rsid w:val="00481494"/>
    <w:rsid w:val="004814C7"/>
    <w:rsid w:val="0048293A"/>
    <w:rsid w:val="00492D2B"/>
    <w:rsid w:val="00495B2E"/>
    <w:rsid w:val="00496FA8"/>
    <w:rsid w:val="004A13D6"/>
    <w:rsid w:val="004A2A36"/>
    <w:rsid w:val="004A2E02"/>
    <w:rsid w:val="004B5052"/>
    <w:rsid w:val="004C0E60"/>
    <w:rsid w:val="004C4E97"/>
    <w:rsid w:val="004C7B6D"/>
    <w:rsid w:val="004D1625"/>
    <w:rsid w:val="004D43FD"/>
    <w:rsid w:val="004D5A0D"/>
    <w:rsid w:val="004D5A2E"/>
    <w:rsid w:val="004D76B4"/>
    <w:rsid w:val="004E2280"/>
    <w:rsid w:val="004E34B2"/>
    <w:rsid w:val="004E409B"/>
    <w:rsid w:val="004E6A0D"/>
    <w:rsid w:val="004E6CA9"/>
    <w:rsid w:val="004E741E"/>
    <w:rsid w:val="004F0017"/>
    <w:rsid w:val="004F2D02"/>
    <w:rsid w:val="004F4A7B"/>
    <w:rsid w:val="00503943"/>
    <w:rsid w:val="00507899"/>
    <w:rsid w:val="0051335D"/>
    <w:rsid w:val="00514B14"/>
    <w:rsid w:val="00516F0F"/>
    <w:rsid w:val="00523062"/>
    <w:rsid w:val="00523F60"/>
    <w:rsid w:val="00524828"/>
    <w:rsid w:val="0053153E"/>
    <w:rsid w:val="00531713"/>
    <w:rsid w:val="00537D33"/>
    <w:rsid w:val="00540EDF"/>
    <w:rsid w:val="005431A2"/>
    <w:rsid w:val="00543F02"/>
    <w:rsid w:val="005464DA"/>
    <w:rsid w:val="00550812"/>
    <w:rsid w:val="00554F2F"/>
    <w:rsid w:val="0055689D"/>
    <w:rsid w:val="00557DD4"/>
    <w:rsid w:val="0056133F"/>
    <w:rsid w:val="00561819"/>
    <w:rsid w:val="00562C64"/>
    <w:rsid w:val="00564FE0"/>
    <w:rsid w:val="005670B0"/>
    <w:rsid w:val="0057735C"/>
    <w:rsid w:val="005815C1"/>
    <w:rsid w:val="0058215C"/>
    <w:rsid w:val="00582A0C"/>
    <w:rsid w:val="005857E5"/>
    <w:rsid w:val="005909B8"/>
    <w:rsid w:val="0059242E"/>
    <w:rsid w:val="005A3823"/>
    <w:rsid w:val="005B0EC4"/>
    <w:rsid w:val="005B0F1B"/>
    <w:rsid w:val="005C1D69"/>
    <w:rsid w:val="005C3491"/>
    <w:rsid w:val="005C3761"/>
    <w:rsid w:val="005C44EF"/>
    <w:rsid w:val="005D02F4"/>
    <w:rsid w:val="005D337D"/>
    <w:rsid w:val="005D5476"/>
    <w:rsid w:val="005E3542"/>
    <w:rsid w:val="005E38BD"/>
    <w:rsid w:val="005E3CF9"/>
    <w:rsid w:val="005E72B7"/>
    <w:rsid w:val="005F2A5A"/>
    <w:rsid w:val="005F2D5A"/>
    <w:rsid w:val="005F2DDB"/>
    <w:rsid w:val="005F4584"/>
    <w:rsid w:val="005F4ECE"/>
    <w:rsid w:val="005F677C"/>
    <w:rsid w:val="00605A11"/>
    <w:rsid w:val="00605E31"/>
    <w:rsid w:val="00610355"/>
    <w:rsid w:val="006112B8"/>
    <w:rsid w:val="00614142"/>
    <w:rsid w:val="00614A87"/>
    <w:rsid w:val="00616757"/>
    <w:rsid w:val="006222FD"/>
    <w:rsid w:val="00623F43"/>
    <w:rsid w:val="00625DF9"/>
    <w:rsid w:val="0062769C"/>
    <w:rsid w:val="006317B0"/>
    <w:rsid w:val="00634294"/>
    <w:rsid w:val="0063596C"/>
    <w:rsid w:val="00635996"/>
    <w:rsid w:val="0063711A"/>
    <w:rsid w:val="006404E9"/>
    <w:rsid w:val="00644B57"/>
    <w:rsid w:val="00645EA6"/>
    <w:rsid w:val="00645F00"/>
    <w:rsid w:val="00651E76"/>
    <w:rsid w:val="00652BA2"/>
    <w:rsid w:val="006552EC"/>
    <w:rsid w:val="00655B24"/>
    <w:rsid w:val="00660A41"/>
    <w:rsid w:val="006652E0"/>
    <w:rsid w:val="00672157"/>
    <w:rsid w:val="00677A66"/>
    <w:rsid w:val="00680861"/>
    <w:rsid w:val="00685CF5"/>
    <w:rsid w:val="00686B24"/>
    <w:rsid w:val="00686F58"/>
    <w:rsid w:val="00690A17"/>
    <w:rsid w:val="00690CBD"/>
    <w:rsid w:val="00690D85"/>
    <w:rsid w:val="00693019"/>
    <w:rsid w:val="00693C1C"/>
    <w:rsid w:val="0069670B"/>
    <w:rsid w:val="006A414A"/>
    <w:rsid w:val="006A769F"/>
    <w:rsid w:val="006B1192"/>
    <w:rsid w:val="006C12DE"/>
    <w:rsid w:val="006C3A13"/>
    <w:rsid w:val="006C3A1B"/>
    <w:rsid w:val="006C749C"/>
    <w:rsid w:val="006D2F9F"/>
    <w:rsid w:val="006D6DEE"/>
    <w:rsid w:val="006D7758"/>
    <w:rsid w:val="006E688D"/>
    <w:rsid w:val="006F2049"/>
    <w:rsid w:val="006F3646"/>
    <w:rsid w:val="006F627C"/>
    <w:rsid w:val="00703B58"/>
    <w:rsid w:val="007046EB"/>
    <w:rsid w:val="007047BF"/>
    <w:rsid w:val="00706347"/>
    <w:rsid w:val="00707E61"/>
    <w:rsid w:val="00711C5C"/>
    <w:rsid w:val="00711E73"/>
    <w:rsid w:val="00716F4F"/>
    <w:rsid w:val="00720B38"/>
    <w:rsid w:val="00722AA2"/>
    <w:rsid w:val="00730471"/>
    <w:rsid w:val="00736D01"/>
    <w:rsid w:val="00737D06"/>
    <w:rsid w:val="007464BA"/>
    <w:rsid w:val="00746984"/>
    <w:rsid w:val="00752C69"/>
    <w:rsid w:val="00754A95"/>
    <w:rsid w:val="00756257"/>
    <w:rsid w:val="00757405"/>
    <w:rsid w:val="0075790E"/>
    <w:rsid w:val="00765DE7"/>
    <w:rsid w:val="00767338"/>
    <w:rsid w:val="00771865"/>
    <w:rsid w:val="007733EF"/>
    <w:rsid w:val="00773E82"/>
    <w:rsid w:val="007758B6"/>
    <w:rsid w:val="007762E1"/>
    <w:rsid w:val="007825B9"/>
    <w:rsid w:val="007836EC"/>
    <w:rsid w:val="00783EBF"/>
    <w:rsid w:val="00784002"/>
    <w:rsid w:val="00784A5F"/>
    <w:rsid w:val="00785E9E"/>
    <w:rsid w:val="007921CC"/>
    <w:rsid w:val="00792B90"/>
    <w:rsid w:val="007A2E50"/>
    <w:rsid w:val="007A4107"/>
    <w:rsid w:val="007A45BA"/>
    <w:rsid w:val="007A642F"/>
    <w:rsid w:val="007B1365"/>
    <w:rsid w:val="007B1F37"/>
    <w:rsid w:val="007B70BB"/>
    <w:rsid w:val="007B7E4E"/>
    <w:rsid w:val="007C4329"/>
    <w:rsid w:val="007C5D09"/>
    <w:rsid w:val="007C5F9E"/>
    <w:rsid w:val="007C6CB7"/>
    <w:rsid w:val="007D0C11"/>
    <w:rsid w:val="007D5A58"/>
    <w:rsid w:val="007D63DB"/>
    <w:rsid w:val="007E20DB"/>
    <w:rsid w:val="007E32AC"/>
    <w:rsid w:val="007E3DD9"/>
    <w:rsid w:val="007E5A28"/>
    <w:rsid w:val="007E7610"/>
    <w:rsid w:val="007E7CD1"/>
    <w:rsid w:val="007F3E58"/>
    <w:rsid w:val="007F45CF"/>
    <w:rsid w:val="007F4666"/>
    <w:rsid w:val="007F5EE1"/>
    <w:rsid w:val="007F7684"/>
    <w:rsid w:val="008007FF"/>
    <w:rsid w:val="008029EC"/>
    <w:rsid w:val="00802B05"/>
    <w:rsid w:val="008049EA"/>
    <w:rsid w:val="008069B8"/>
    <w:rsid w:val="00813374"/>
    <w:rsid w:val="00813D7C"/>
    <w:rsid w:val="00815C34"/>
    <w:rsid w:val="008177BB"/>
    <w:rsid w:val="00817E5E"/>
    <w:rsid w:val="00822A2B"/>
    <w:rsid w:val="00823E4D"/>
    <w:rsid w:val="0082577C"/>
    <w:rsid w:val="00827B30"/>
    <w:rsid w:val="008319C3"/>
    <w:rsid w:val="00832451"/>
    <w:rsid w:val="00832CB2"/>
    <w:rsid w:val="00833213"/>
    <w:rsid w:val="00834F4C"/>
    <w:rsid w:val="00836F9A"/>
    <w:rsid w:val="008410A1"/>
    <w:rsid w:val="008427C5"/>
    <w:rsid w:val="00842BB8"/>
    <w:rsid w:val="00854DA6"/>
    <w:rsid w:val="008601B1"/>
    <w:rsid w:val="0086098A"/>
    <w:rsid w:val="008609F2"/>
    <w:rsid w:val="00860E19"/>
    <w:rsid w:val="00864B13"/>
    <w:rsid w:val="00865165"/>
    <w:rsid w:val="008700AA"/>
    <w:rsid w:val="00871F57"/>
    <w:rsid w:val="00874C3A"/>
    <w:rsid w:val="0087737C"/>
    <w:rsid w:val="00880AD0"/>
    <w:rsid w:val="0088458D"/>
    <w:rsid w:val="00884644"/>
    <w:rsid w:val="00884F5B"/>
    <w:rsid w:val="00893B8C"/>
    <w:rsid w:val="00894054"/>
    <w:rsid w:val="00895213"/>
    <w:rsid w:val="00897DB6"/>
    <w:rsid w:val="008A06AC"/>
    <w:rsid w:val="008A46EE"/>
    <w:rsid w:val="008B12B9"/>
    <w:rsid w:val="008B686C"/>
    <w:rsid w:val="008B6981"/>
    <w:rsid w:val="008C1D20"/>
    <w:rsid w:val="008C2814"/>
    <w:rsid w:val="008C32DA"/>
    <w:rsid w:val="008C6934"/>
    <w:rsid w:val="008D09BB"/>
    <w:rsid w:val="008D1A07"/>
    <w:rsid w:val="008D2FB4"/>
    <w:rsid w:val="008D532D"/>
    <w:rsid w:val="008D662D"/>
    <w:rsid w:val="008E19AA"/>
    <w:rsid w:val="008E34E0"/>
    <w:rsid w:val="008E3A75"/>
    <w:rsid w:val="008E44FB"/>
    <w:rsid w:val="008E4713"/>
    <w:rsid w:val="008F3A67"/>
    <w:rsid w:val="008F5BD8"/>
    <w:rsid w:val="0090100A"/>
    <w:rsid w:val="00903F06"/>
    <w:rsid w:val="00904908"/>
    <w:rsid w:val="00911419"/>
    <w:rsid w:val="009114B0"/>
    <w:rsid w:val="00912C29"/>
    <w:rsid w:val="00914E93"/>
    <w:rsid w:val="00915E44"/>
    <w:rsid w:val="009161BD"/>
    <w:rsid w:val="00916FF6"/>
    <w:rsid w:val="00924267"/>
    <w:rsid w:val="009248E3"/>
    <w:rsid w:val="00927835"/>
    <w:rsid w:val="009325B4"/>
    <w:rsid w:val="0093465A"/>
    <w:rsid w:val="00937283"/>
    <w:rsid w:val="00943258"/>
    <w:rsid w:val="0094335A"/>
    <w:rsid w:val="00944CB3"/>
    <w:rsid w:val="00946014"/>
    <w:rsid w:val="0094786A"/>
    <w:rsid w:val="00947EEB"/>
    <w:rsid w:val="00950B45"/>
    <w:rsid w:val="00954909"/>
    <w:rsid w:val="009571DD"/>
    <w:rsid w:val="00957821"/>
    <w:rsid w:val="00960B69"/>
    <w:rsid w:val="00960C4D"/>
    <w:rsid w:val="009619FB"/>
    <w:rsid w:val="009671F4"/>
    <w:rsid w:val="00972D0C"/>
    <w:rsid w:val="00972F24"/>
    <w:rsid w:val="00976273"/>
    <w:rsid w:val="009816B4"/>
    <w:rsid w:val="009821F9"/>
    <w:rsid w:val="00982F88"/>
    <w:rsid w:val="0098621D"/>
    <w:rsid w:val="00991624"/>
    <w:rsid w:val="00995845"/>
    <w:rsid w:val="00996CAE"/>
    <w:rsid w:val="009A1334"/>
    <w:rsid w:val="009A3279"/>
    <w:rsid w:val="009B45F1"/>
    <w:rsid w:val="009B6286"/>
    <w:rsid w:val="009B79EF"/>
    <w:rsid w:val="009C04B8"/>
    <w:rsid w:val="009C0B71"/>
    <w:rsid w:val="009C1849"/>
    <w:rsid w:val="009C37D9"/>
    <w:rsid w:val="009C4EE5"/>
    <w:rsid w:val="009C514E"/>
    <w:rsid w:val="009C5DC5"/>
    <w:rsid w:val="009D0D2E"/>
    <w:rsid w:val="009D17C9"/>
    <w:rsid w:val="009D2680"/>
    <w:rsid w:val="009D7A68"/>
    <w:rsid w:val="009E4046"/>
    <w:rsid w:val="009E6701"/>
    <w:rsid w:val="009F2186"/>
    <w:rsid w:val="009F4C42"/>
    <w:rsid w:val="00A110CD"/>
    <w:rsid w:val="00A11922"/>
    <w:rsid w:val="00A127EB"/>
    <w:rsid w:val="00A13BBE"/>
    <w:rsid w:val="00A13E58"/>
    <w:rsid w:val="00A14623"/>
    <w:rsid w:val="00A15858"/>
    <w:rsid w:val="00A21BB3"/>
    <w:rsid w:val="00A255C1"/>
    <w:rsid w:val="00A25F93"/>
    <w:rsid w:val="00A35D0A"/>
    <w:rsid w:val="00A36E0D"/>
    <w:rsid w:val="00A418BD"/>
    <w:rsid w:val="00A41CEF"/>
    <w:rsid w:val="00A43B84"/>
    <w:rsid w:val="00A50D30"/>
    <w:rsid w:val="00A53287"/>
    <w:rsid w:val="00A56219"/>
    <w:rsid w:val="00A60A25"/>
    <w:rsid w:val="00A73F26"/>
    <w:rsid w:val="00A75F51"/>
    <w:rsid w:val="00A7712B"/>
    <w:rsid w:val="00A81390"/>
    <w:rsid w:val="00A842D9"/>
    <w:rsid w:val="00A86BDC"/>
    <w:rsid w:val="00A90D7B"/>
    <w:rsid w:val="00A95841"/>
    <w:rsid w:val="00A959B1"/>
    <w:rsid w:val="00A9694B"/>
    <w:rsid w:val="00AA153A"/>
    <w:rsid w:val="00AA3E52"/>
    <w:rsid w:val="00AA495A"/>
    <w:rsid w:val="00AB1E42"/>
    <w:rsid w:val="00AB581C"/>
    <w:rsid w:val="00AB58B5"/>
    <w:rsid w:val="00AB7986"/>
    <w:rsid w:val="00AC0C80"/>
    <w:rsid w:val="00AC3398"/>
    <w:rsid w:val="00AC3FD7"/>
    <w:rsid w:val="00AC401A"/>
    <w:rsid w:val="00AC55EB"/>
    <w:rsid w:val="00AC633F"/>
    <w:rsid w:val="00AC7AA2"/>
    <w:rsid w:val="00AD32C0"/>
    <w:rsid w:val="00AD511B"/>
    <w:rsid w:val="00AE2502"/>
    <w:rsid w:val="00AE7008"/>
    <w:rsid w:val="00AF51A5"/>
    <w:rsid w:val="00AF5EA7"/>
    <w:rsid w:val="00B00F95"/>
    <w:rsid w:val="00B041F1"/>
    <w:rsid w:val="00B11D58"/>
    <w:rsid w:val="00B15CAE"/>
    <w:rsid w:val="00B277BF"/>
    <w:rsid w:val="00B30BDB"/>
    <w:rsid w:val="00B35499"/>
    <w:rsid w:val="00B35B8D"/>
    <w:rsid w:val="00B40A3D"/>
    <w:rsid w:val="00B42434"/>
    <w:rsid w:val="00B47E79"/>
    <w:rsid w:val="00B50EED"/>
    <w:rsid w:val="00B51C51"/>
    <w:rsid w:val="00B51F82"/>
    <w:rsid w:val="00B53139"/>
    <w:rsid w:val="00B559D5"/>
    <w:rsid w:val="00B5600D"/>
    <w:rsid w:val="00B56D37"/>
    <w:rsid w:val="00B579C9"/>
    <w:rsid w:val="00B6539B"/>
    <w:rsid w:val="00B6609A"/>
    <w:rsid w:val="00B72231"/>
    <w:rsid w:val="00B75482"/>
    <w:rsid w:val="00B757E0"/>
    <w:rsid w:val="00B75EA2"/>
    <w:rsid w:val="00B76169"/>
    <w:rsid w:val="00B8012C"/>
    <w:rsid w:val="00B830D9"/>
    <w:rsid w:val="00B85643"/>
    <w:rsid w:val="00B85C19"/>
    <w:rsid w:val="00B85EFC"/>
    <w:rsid w:val="00B86744"/>
    <w:rsid w:val="00B87161"/>
    <w:rsid w:val="00B874DC"/>
    <w:rsid w:val="00B91EA5"/>
    <w:rsid w:val="00B9243F"/>
    <w:rsid w:val="00B970A9"/>
    <w:rsid w:val="00B97713"/>
    <w:rsid w:val="00BA3411"/>
    <w:rsid w:val="00BA3AE8"/>
    <w:rsid w:val="00BA512F"/>
    <w:rsid w:val="00BA7345"/>
    <w:rsid w:val="00BB567E"/>
    <w:rsid w:val="00BB660B"/>
    <w:rsid w:val="00BB68A5"/>
    <w:rsid w:val="00BC0AE1"/>
    <w:rsid w:val="00BC3B53"/>
    <w:rsid w:val="00BC536E"/>
    <w:rsid w:val="00BC5458"/>
    <w:rsid w:val="00BC638B"/>
    <w:rsid w:val="00BC6BE4"/>
    <w:rsid w:val="00BD164B"/>
    <w:rsid w:val="00BD1DDD"/>
    <w:rsid w:val="00BD6A65"/>
    <w:rsid w:val="00BE0F8F"/>
    <w:rsid w:val="00BE1519"/>
    <w:rsid w:val="00BF019A"/>
    <w:rsid w:val="00BF02DD"/>
    <w:rsid w:val="00BF1E02"/>
    <w:rsid w:val="00BF7D5A"/>
    <w:rsid w:val="00C017FE"/>
    <w:rsid w:val="00C02042"/>
    <w:rsid w:val="00C052AA"/>
    <w:rsid w:val="00C06241"/>
    <w:rsid w:val="00C1417D"/>
    <w:rsid w:val="00C204F5"/>
    <w:rsid w:val="00C21390"/>
    <w:rsid w:val="00C226C5"/>
    <w:rsid w:val="00C238D2"/>
    <w:rsid w:val="00C241E1"/>
    <w:rsid w:val="00C34F7D"/>
    <w:rsid w:val="00C35A9B"/>
    <w:rsid w:val="00C37AD1"/>
    <w:rsid w:val="00C41B50"/>
    <w:rsid w:val="00C41DA0"/>
    <w:rsid w:val="00C43CE3"/>
    <w:rsid w:val="00C4510D"/>
    <w:rsid w:val="00C46300"/>
    <w:rsid w:val="00C558E2"/>
    <w:rsid w:val="00C6004F"/>
    <w:rsid w:val="00C62CD0"/>
    <w:rsid w:val="00C63A12"/>
    <w:rsid w:val="00C72F22"/>
    <w:rsid w:val="00C765C7"/>
    <w:rsid w:val="00C80457"/>
    <w:rsid w:val="00C825C8"/>
    <w:rsid w:val="00C85045"/>
    <w:rsid w:val="00C92C01"/>
    <w:rsid w:val="00C9398C"/>
    <w:rsid w:val="00C94384"/>
    <w:rsid w:val="00C95DF5"/>
    <w:rsid w:val="00C97A39"/>
    <w:rsid w:val="00CB0230"/>
    <w:rsid w:val="00CB14B2"/>
    <w:rsid w:val="00CB3899"/>
    <w:rsid w:val="00CB4DB4"/>
    <w:rsid w:val="00CB5137"/>
    <w:rsid w:val="00CB687A"/>
    <w:rsid w:val="00CC045B"/>
    <w:rsid w:val="00CC4110"/>
    <w:rsid w:val="00CD19E4"/>
    <w:rsid w:val="00CD4529"/>
    <w:rsid w:val="00CD7213"/>
    <w:rsid w:val="00CD7DB8"/>
    <w:rsid w:val="00CE53BD"/>
    <w:rsid w:val="00CE630E"/>
    <w:rsid w:val="00CE6EAE"/>
    <w:rsid w:val="00CE7546"/>
    <w:rsid w:val="00CF0048"/>
    <w:rsid w:val="00CF1A53"/>
    <w:rsid w:val="00D000FB"/>
    <w:rsid w:val="00D02C13"/>
    <w:rsid w:val="00D04DC6"/>
    <w:rsid w:val="00D0599C"/>
    <w:rsid w:val="00D05A8C"/>
    <w:rsid w:val="00D06D06"/>
    <w:rsid w:val="00D20CB9"/>
    <w:rsid w:val="00D21252"/>
    <w:rsid w:val="00D23A5C"/>
    <w:rsid w:val="00D324D2"/>
    <w:rsid w:val="00D33AEF"/>
    <w:rsid w:val="00D341F4"/>
    <w:rsid w:val="00D34249"/>
    <w:rsid w:val="00D40449"/>
    <w:rsid w:val="00D54EAF"/>
    <w:rsid w:val="00D56E8A"/>
    <w:rsid w:val="00D741DD"/>
    <w:rsid w:val="00D86974"/>
    <w:rsid w:val="00D90579"/>
    <w:rsid w:val="00D9060E"/>
    <w:rsid w:val="00D92320"/>
    <w:rsid w:val="00D924E4"/>
    <w:rsid w:val="00D9343A"/>
    <w:rsid w:val="00D935B9"/>
    <w:rsid w:val="00D9548D"/>
    <w:rsid w:val="00D9578F"/>
    <w:rsid w:val="00D96D8A"/>
    <w:rsid w:val="00D97607"/>
    <w:rsid w:val="00DA1D3B"/>
    <w:rsid w:val="00DA43EF"/>
    <w:rsid w:val="00DB021B"/>
    <w:rsid w:val="00DB133E"/>
    <w:rsid w:val="00DB6F6D"/>
    <w:rsid w:val="00DB7A2C"/>
    <w:rsid w:val="00DC0776"/>
    <w:rsid w:val="00DC178D"/>
    <w:rsid w:val="00DC354A"/>
    <w:rsid w:val="00DC3608"/>
    <w:rsid w:val="00DC566C"/>
    <w:rsid w:val="00DD0245"/>
    <w:rsid w:val="00DD4272"/>
    <w:rsid w:val="00DD50CE"/>
    <w:rsid w:val="00DD6C12"/>
    <w:rsid w:val="00DD783B"/>
    <w:rsid w:val="00DF196B"/>
    <w:rsid w:val="00DF279D"/>
    <w:rsid w:val="00DF5824"/>
    <w:rsid w:val="00DF78AC"/>
    <w:rsid w:val="00E00E57"/>
    <w:rsid w:val="00E012B3"/>
    <w:rsid w:val="00E0344E"/>
    <w:rsid w:val="00E04B86"/>
    <w:rsid w:val="00E056C3"/>
    <w:rsid w:val="00E11BFF"/>
    <w:rsid w:val="00E1214F"/>
    <w:rsid w:val="00E13000"/>
    <w:rsid w:val="00E165CB"/>
    <w:rsid w:val="00E17425"/>
    <w:rsid w:val="00E17F0E"/>
    <w:rsid w:val="00E201C3"/>
    <w:rsid w:val="00E24D8E"/>
    <w:rsid w:val="00E27951"/>
    <w:rsid w:val="00E315BA"/>
    <w:rsid w:val="00E31BC7"/>
    <w:rsid w:val="00E31DE0"/>
    <w:rsid w:val="00E360C6"/>
    <w:rsid w:val="00E36D44"/>
    <w:rsid w:val="00E40C23"/>
    <w:rsid w:val="00E43744"/>
    <w:rsid w:val="00E4633B"/>
    <w:rsid w:val="00E46B8A"/>
    <w:rsid w:val="00E521B0"/>
    <w:rsid w:val="00E543C1"/>
    <w:rsid w:val="00E566FB"/>
    <w:rsid w:val="00E57481"/>
    <w:rsid w:val="00E578E1"/>
    <w:rsid w:val="00E600DB"/>
    <w:rsid w:val="00E615F1"/>
    <w:rsid w:val="00E6766C"/>
    <w:rsid w:val="00E70DF0"/>
    <w:rsid w:val="00E7141C"/>
    <w:rsid w:val="00E71913"/>
    <w:rsid w:val="00E804F3"/>
    <w:rsid w:val="00E80736"/>
    <w:rsid w:val="00E807B5"/>
    <w:rsid w:val="00E86CAB"/>
    <w:rsid w:val="00E8741A"/>
    <w:rsid w:val="00E87D36"/>
    <w:rsid w:val="00E911B6"/>
    <w:rsid w:val="00E94EC8"/>
    <w:rsid w:val="00E95B91"/>
    <w:rsid w:val="00E97D2A"/>
    <w:rsid w:val="00EA3F9D"/>
    <w:rsid w:val="00EA6C3D"/>
    <w:rsid w:val="00EB143D"/>
    <w:rsid w:val="00EB2A50"/>
    <w:rsid w:val="00EC1739"/>
    <w:rsid w:val="00EC3AC6"/>
    <w:rsid w:val="00EC628E"/>
    <w:rsid w:val="00EC6A6B"/>
    <w:rsid w:val="00EC7704"/>
    <w:rsid w:val="00ED08E8"/>
    <w:rsid w:val="00ED3565"/>
    <w:rsid w:val="00ED4F76"/>
    <w:rsid w:val="00ED51AD"/>
    <w:rsid w:val="00EE2CCF"/>
    <w:rsid w:val="00EE2DDB"/>
    <w:rsid w:val="00EE3830"/>
    <w:rsid w:val="00EF0518"/>
    <w:rsid w:val="00EF42FB"/>
    <w:rsid w:val="00EF5D91"/>
    <w:rsid w:val="00F004B2"/>
    <w:rsid w:val="00F0192D"/>
    <w:rsid w:val="00F038D5"/>
    <w:rsid w:val="00F104BA"/>
    <w:rsid w:val="00F13C3A"/>
    <w:rsid w:val="00F15983"/>
    <w:rsid w:val="00F15D61"/>
    <w:rsid w:val="00F165F8"/>
    <w:rsid w:val="00F20FA6"/>
    <w:rsid w:val="00F22395"/>
    <w:rsid w:val="00F22DA1"/>
    <w:rsid w:val="00F24F70"/>
    <w:rsid w:val="00F311A9"/>
    <w:rsid w:val="00F31BB3"/>
    <w:rsid w:val="00F32543"/>
    <w:rsid w:val="00F332B6"/>
    <w:rsid w:val="00F37665"/>
    <w:rsid w:val="00F41CCF"/>
    <w:rsid w:val="00F43925"/>
    <w:rsid w:val="00F47AA1"/>
    <w:rsid w:val="00F47C7F"/>
    <w:rsid w:val="00F52A81"/>
    <w:rsid w:val="00F52B20"/>
    <w:rsid w:val="00F53381"/>
    <w:rsid w:val="00F551D9"/>
    <w:rsid w:val="00F55D1B"/>
    <w:rsid w:val="00F55D6E"/>
    <w:rsid w:val="00F628E3"/>
    <w:rsid w:val="00F65B4C"/>
    <w:rsid w:val="00F665F2"/>
    <w:rsid w:val="00F66791"/>
    <w:rsid w:val="00F66E5E"/>
    <w:rsid w:val="00F702BC"/>
    <w:rsid w:val="00F73BC2"/>
    <w:rsid w:val="00F73DB1"/>
    <w:rsid w:val="00F73EEB"/>
    <w:rsid w:val="00F73F6E"/>
    <w:rsid w:val="00F75564"/>
    <w:rsid w:val="00F75F18"/>
    <w:rsid w:val="00F832A8"/>
    <w:rsid w:val="00F86FC9"/>
    <w:rsid w:val="00F90372"/>
    <w:rsid w:val="00FA0196"/>
    <w:rsid w:val="00FA6A6B"/>
    <w:rsid w:val="00FB2058"/>
    <w:rsid w:val="00FB3560"/>
    <w:rsid w:val="00FB7A22"/>
    <w:rsid w:val="00FC00CA"/>
    <w:rsid w:val="00FC34D5"/>
    <w:rsid w:val="00FC3557"/>
    <w:rsid w:val="00FC6FB2"/>
    <w:rsid w:val="00FD2BFC"/>
    <w:rsid w:val="00FD39CB"/>
    <w:rsid w:val="00FD4E18"/>
    <w:rsid w:val="00FD6C19"/>
    <w:rsid w:val="00FE0E56"/>
    <w:rsid w:val="00FE1C6E"/>
    <w:rsid w:val="00FE5C33"/>
    <w:rsid w:val="00FF0AA3"/>
    <w:rsid w:val="00FF1A6C"/>
    <w:rsid w:val="00FF35CE"/>
    <w:rsid w:val="00FF3FFF"/>
    <w:rsid w:val="00FF5D4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86C48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4" w:qFormat="1"/>
    <w:lsdException w:name="Title" w:uiPriority="0" w:qFormat="1"/>
    <w:lsdException w:name="Closing" w:semiHidden="1" w:unhideWhenUsed="1"/>
    <w:lsdException w:name="Signature" w:semiHidden="1" w:unhideWhenUsed="1"/>
    <w:lsdException w:name="Default Paragraph Font" w:uiPriority="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8"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69B8"/>
    <w:rPr>
      <w:rFonts w:eastAsiaTheme="minorEastAsia"/>
      <w:lang w:eastAsia="en-AU"/>
    </w:rPr>
  </w:style>
  <w:style w:type="paragraph" w:styleId="Heading1">
    <w:name w:val="heading 1"/>
    <w:basedOn w:val="Normal"/>
    <w:next w:val="Normal"/>
    <w:link w:val="Heading1Char"/>
    <w:uiPriority w:val="2"/>
    <w:qFormat/>
    <w:rsid w:val="001B40EB"/>
    <w:pPr>
      <w:spacing w:before="240" w:line="240" w:lineRule="auto"/>
      <w:outlineLvl w:val="0"/>
    </w:pPr>
    <w:rPr>
      <w:rFonts w:ascii="Calibri" w:eastAsiaTheme="majorEastAsia" w:hAnsi="Calibri" w:cstheme="majorBidi"/>
      <w:b/>
      <w:bCs/>
      <w:sz w:val="28"/>
      <w:szCs w:val="32"/>
    </w:rPr>
  </w:style>
  <w:style w:type="paragraph" w:styleId="Heading2">
    <w:name w:val="heading 2"/>
    <w:basedOn w:val="Normal"/>
    <w:next w:val="Normal"/>
    <w:link w:val="Heading2Char"/>
    <w:uiPriority w:val="2"/>
    <w:qFormat/>
    <w:rsid w:val="003E3458"/>
    <w:pPr>
      <w:spacing w:before="240" w:after="120" w:line="240" w:lineRule="auto"/>
      <w:outlineLvl w:val="1"/>
    </w:pPr>
    <w:rPr>
      <w:rFonts w:ascii="Calibri" w:eastAsiaTheme="majorEastAsia" w:hAnsi="Calibri" w:cstheme="majorBidi"/>
      <w:b/>
      <w:bCs/>
      <w:szCs w:val="26"/>
    </w:rPr>
  </w:style>
  <w:style w:type="paragraph" w:styleId="Heading3">
    <w:name w:val="heading 3"/>
    <w:basedOn w:val="Normal"/>
    <w:next w:val="Normal"/>
    <w:link w:val="Heading3Char"/>
    <w:uiPriority w:val="2"/>
    <w:qFormat/>
    <w:rsid w:val="00EE3830"/>
    <w:pPr>
      <w:spacing w:before="240" w:after="0"/>
      <w:outlineLvl w:val="2"/>
    </w:pPr>
    <w:rPr>
      <w:rFonts w:ascii="Calibri" w:eastAsiaTheme="majorEastAsia" w:hAnsi="Calibri" w:cstheme="majorBidi"/>
      <w:b/>
      <w:bCs/>
      <w:sz w:val="24"/>
    </w:rPr>
  </w:style>
  <w:style w:type="paragraph" w:styleId="Heading4">
    <w:name w:val="heading 4"/>
    <w:basedOn w:val="Normal"/>
    <w:next w:val="Normal"/>
    <w:link w:val="Heading4Char"/>
    <w:uiPriority w:val="2"/>
    <w:qFormat/>
    <w:rsid w:val="00EE3830"/>
    <w:pPr>
      <w:spacing w:before="240" w:after="0"/>
      <w:outlineLvl w:val="3"/>
    </w:pPr>
    <w:rPr>
      <w:rFonts w:ascii="Calibri" w:eastAsiaTheme="majorEastAsia" w:hAnsi="Calibri" w:cstheme="majorBidi"/>
      <w:b/>
      <w:bCs/>
      <w:iCs/>
    </w:rPr>
  </w:style>
  <w:style w:type="paragraph" w:styleId="Heading5">
    <w:name w:val="heading 5"/>
    <w:basedOn w:val="Normal"/>
    <w:next w:val="Normal"/>
    <w:link w:val="Heading5Char"/>
    <w:uiPriority w:val="2"/>
    <w:qFormat/>
    <w:rsid w:val="00EE3830"/>
    <w:pPr>
      <w:spacing w:before="200" w:after="0"/>
      <w:outlineLvl w:val="4"/>
    </w:pPr>
    <w:rPr>
      <w:rFonts w:ascii="Calibri" w:eastAsiaTheme="majorEastAsia" w:hAnsi="Calibri" w:cstheme="majorBidi"/>
      <w:b/>
      <w:bCs/>
      <w:color w:val="00746B"/>
    </w:rPr>
  </w:style>
  <w:style w:type="paragraph" w:styleId="Heading6">
    <w:name w:val="heading 6"/>
    <w:basedOn w:val="Normal"/>
    <w:next w:val="Normal"/>
    <w:link w:val="Heading6Char"/>
    <w:uiPriority w:val="2"/>
    <w:qFormat/>
    <w:rsid w:val="00EE3830"/>
    <w:pPr>
      <w:spacing w:before="200" w:after="0"/>
      <w:outlineLvl w:val="5"/>
    </w:pPr>
    <w:rPr>
      <w:rFonts w:ascii="Calibri" w:eastAsiaTheme="majorEastAsia" w:hAnsi="Calibri" w:cstheme="majorBidi"/>
      <w:b/>
      <w:bCs/>
      <w:iCs/>
      <w:color w:val="757575"/>
    </w:rPr>
  </w:style>
  <w:style w:type="paragraph" w:styleId="Heading7">
    <w:name w:val="heading 7"/>
    <w:basedOn w:val="Normal"/>
    <w:next w:val="Normal"/>
    <w:link w:val="Heading7Char"/>
    <w:uiPriority w:val="9"/>
    <w:semiHidden/>
    <w:unhideWhenUsed/>
    <w:rsid w:val="00EE3830"/>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EE383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E383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JobsTable">
    <w:name w:val="Jobs Table"/>
    <w:basedOn w:val="TableNormal"/>
    <w:uiPriority w:val="99"/>
    <w:rsid w:val="00EE3830"/>
    <w:pPr>
      <w:spacing w:after="0" w:line="240" w:lineRule="auto"/>
    </w:pPr>
    <w:rPr>
      <w:rFonts w:eastAsiaTheme="minorEastAsia"/>
    </w:rPr>
    <w:tblPr>
      <w:tblBorders>
        <w:bottom w:val="single" w:sz="4" w:space="0" w:color="323E4F" w:themeColor="text2" w:themeShade="BF"/>
      </w:tblBorders>
    </w:tblPr>
    <w:tblStylePr w:type="firstRow">
      <w:pPr>
        <w:jc w:val="left"/>
      </w:pPr>
      <w:rPr>
        <w:rFonts w:ascii="Calibri" w:hAnsi="Calibri"/>
        <w:b w:val="0"/>
        <w:color w:val="E7E6E6" w:themeColor="background2"/>
        <w:sz w:val="22"/>
      </w:rPr>
      <w:tblPr/>
      <w:tcPr>
        <w:shd w:val="clear" w:color="auto" w:fill="323E4F" w:themeFill="text2" w:themeFillShade="BF"/>
      </w:tcPr>
    </w:tblStylePr>
    <w:tblStylePr w:type="firstCol">
      <w:rPr>
        <w:b/>
      </w:rPr>
    </w:tblStylePr>
  </w:style>
  <w:style w:type="table" w:customStyle="1" w:styleId="DEEWRTable">
    <w:name w:val="DEEWR Table"/>
    <w:basedOn w:val="TableNormal"/>
    <w:uiPriority w:val="99"/>
    <w:rsid w:val="00EE3830"/>
    <w:pPr>
      <w:spacing w:after="0" w:line="240" w:lineRule="auto"/>
    </w:pPr>
    <w:rPr>
      <w:rFonts w:eastAsiaTheme="minorEastAsia"/>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7E6E6"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EE3830"/>
    <w:pPr>
      <w:autoSpaceDE w:val="0"/>
      <w:autoSpaceDN w:val="0"/>
      <w:adjustRightInd w:val="0"/>
      <w:spacing w:after="0" w:line="240" w:lineRule="auto"/>
    </w:pPr>
    <w:rPr>
      <w:rFonts w:ascii="Calibri" w:hAnsi="Calibri" w:cs="Calibri"/>
      <w:color w:val="000000"/>
      <w:sz w:val="24"/>
      <w:szCs w:val="24"/>
    </w:rPr>
  </w:style>
  <w:style w:type="paragraph" w:customStyle="1" w:styleId="numberedpara">
    <w:name w:val="numbered para"/>
    <w:basedOn w:val="Normal"/>
    <w:rsid w:val="00EE3830"/>
    <w:pPr>
      <w:numPr>
        <w:numId w:val="24"/>
      </w:numPr>
      <w:spacing w:after="0" w:line="240" w:lineRule="auto"/>
    </w:pPr>
    <w:rPr>
      <w:rFonts w:ascii="Calibri" w:eastAsiaTheme="minorHAnsi" w:hAnsi="Calibri" w:cs="Calibri"/>
    </w:rPr>
  </w:style>
  <w:style w:type="paragraph" w:customStyle="1" w:styleId="Source">
    <w:name w:val="Source"/>
    <w:basedOn w:val="Normal"/>
    <w:uiPriority w:val="9"/>
    <w:qFormat/>
    <w:rsid w:val="00EE3830"/>
    <w:rPr>
      <w:rFonts w:cstheme="minorHAnsi"/>
      <w:sz w:val="18"/>
      <w:szCs w:val="20"/>
    </w:rPr>
  </w:style>
  <w:style w:type="paragraph" w:customStyle="1" w:styleId="DeleteText">
    <w:name w:val="Delete Text"/>
    <w:basedOn w:val="Normal"/>
    <w:rsid w:val="00EE3830"/>
    <w:rPr>
      <w:color w:val="00746B"/>
    </w:rPr>
  </w:style>
  <w:style w:type="numbering" w:customStyle="1" w:styleId="NumberedList">
    <w:name w:val="Numbered List"/>
    <w:uiPriority w:val="99"/>
    <w:rsid w:val="00EE3830"/>
    <w:pPr>
      <w:numPr>
        <w:numId w:val="2"/>
      </w:numPr>
    </w:pPr>
  </w:style>
  <w:style w:type="numbering" w:customStyle="1" w:styleId="BulletList">
    <w:name w:val="Bullet List"/>
    <w:uiPriority w:val="99"/>
    <w:rsid w:val="00EE3830"/>
    <w:pPr>
      <w:numPr>
        <w:numId w:val="3"/>
      </w:numPr>
    </w:pPr>
  </w:style>
  <w:style w:type="character" w:customStyle="1" w:styleId="Heading1Char">
    <w:name w:val="Heading 1 Char"/>
    <w:basedOn w:val="DefaultParagraphFont"/>
    <w:link w:val="Heading1"/>
    <w:uiPriority w:val="2"/>
    <w:rsid w:val="001B40EB"/>
    <w:rPr>
      <w:rFonts w:ascii="Calibri" w:eastAsiaTheme="majorEastAsia" w:hAnsi="Calibri" w:cstheme="majorBidi"/>
      <w:b/>
      <w:bCs/>
      <w:sz w:val="28"/>
      <w:szCs w:val="32"/>
      <w:lang w:eastAsia="en-AU"/>
    </w:rPr>
  </w:style>
  <w:style w:type="character" w:customStyle="1" w:styleId="Heading2Char">
    <w:name w:val="Heading 2 Char"/>
    <w:basedOn w:val="DefaultParagraphFont"/>
    <w:link w:val="Heading2"/>
    <w:uiPriority w:val="2"/>
    <w:rsid w:val="003E3458"/>
    <w:rPr>
      <w:rFonts w:ascii="Calibri" w:eastAsiaTheme="majorEastAsia" w:hAnsi="Calibri" w:cstheme="majorBidi"/>
      <w:b/>
      <w:bCs/>
      <w:szCs w:val="26"/>
      <w:lang w:eastAsia="en-AU"/>
    </w:rPr>
  </w:style>
  <w:style w:type="character" w:customStyle="1" w:styleId="Heading3Char">
    <w:name w:val="Heading 3 Char"/>
    <w:basedOn w:val="DefaultParagraphFont"/>
    <w:link w:val="Heading3"/>
    <w:uiPriority w:val="2"/>
    <w:rsid w:val="00EE3830"/>
    <w:rPr>
      <w:rFonts w:ascii="Calibri" w:eastAsiaTheme="majorEastAsia" w:hAnsi="Calibri" w:cstheme="majorBidi"/>
      <w:b/>
      <w:bCs/>
      <w:sz w:val="24"/>
      <w:lang w:eastAsia="en-US"/>
    </w:rPr>
  </w:style>
  <w:style w:type="character" w:customStyle="1" w:styleId="Heading4Char">
    <w:name w:val="Heading 4 Char"/>
    <w:basedOn w:val="DefaultParagraphFont"/>
    <w:link w:val="Heading4"/>
    <w:uiPriority w:val="2"/>
    <w:rsid w:val="00EE3830"/>
    <w:rPr>
      <w:rFonts w:ascii="Calibri" w:eastAsiaTheme="majorEastAsia" w:hAnsi="Calibri" w:cstheme="majorBidi"/>
      <w:b/>
      <w:bCs/>
      <w:iCs/>
      <w:lang w:eastAsia="en-US"/>
    </w:rPr>
  </w:style>
  <w:style w:type="character" w:customStyle="1" w:styleId="Heading5Char">
    <w:name w:val="Heading 5 Char"/>
    <w:basedOn w:val="DefaultParagraphFont"/>
    <w:link w:val="Heading5"/>
    <w:uiPriority w:val="2"/>
    <w:rsid w:val="00EE3830"/>
    <w:rPr>
      <w:rFonts w:ascii="Calibri" w:eastAsiaTheme="majorEastAsia" w:hAnsi="Calibri" w:cstheme="majorBidi"/>
      <w:b/>
      <w:bCs/>
      <w:color w:val="00746B"/>
      <w:lang w:eastAsia="en-US"/>
    </w:rPr>
  </w:style>
  <w:style w:type="character" w:customStyle="1" w:styleId="Heading6Char">
    <w:name w:val="Heading 6 Char"/>
    <w:basedOn w:val="DefaultParagraphFont"/>
    <w:link w:val="Heading6"/>
    <w:uiPriority w:val="2"/>
    <w:rsid w:val="00EE3830"/>
    <w:rPr>
      <w:rFonts w:ascii="Calibri" w:eastAsiaTheme="majorEastAsia" w:hAnsi="Calibri" w:cstheme="majorBidi"/>
      <w:b/>
      <w:bCs/>
      <w:iCs/>
      <w:color w:val="757575"/>
      <w:lang w:eastAsia="en-US"/>
    </w:rPr>
  </w:style>
  <w:style w:type="character" w:customStyle="1" w:styleId="Heading7Char">
    <w:name w:val="Heading 7 Char"/>
    <w:basedOn w:val="DefaultParagraphFont"/>
    <w:link w:val="Heading7"/>
    <w:uiPriority w:val="9"/>
    <w:semiHidden/>
    <w:rsid w:val="00EE3830"/>
    <w:rPr>
      <w:rFonts w:ascii="Calibri" w:eastAsiaTheme="majorEastAsia" w:hAnsi="Calibri" w:cstheme="majorBidi"/>
      <w:iCs/>
      <w:sz w:val="20"/>
      <w:lang w:eastAsia="en-US"/>
    </w:rPr>
  </w:style>
  <w:style w:type="character" w:customStyle="1" w:styleId="Heading8Char">
    <w:name w:val="Heading 8 Char"/>
    <w:basedOn w:val="DefaultParagraphFont"/>
    <w:link w:val="Heading8"/>
    <w:uiPriority w:val="9"/>
    <w:semiHidden/>
    <w:rsid w:val="00EE3830"/>
    <w:rPr>
      <w:rFonts w:asciiTheme="majorHAnsi" w:eastAsiaTheme="majorEastAsia" w:hAnsiTheme="majorHAnsi" w:cstheme="majorBidi"/>
      <w:sz w:val="20"/>
      <w:szCs w:val="20"/>
      <w:lang w:eastAsia="en-US"/>
    </w:rPr>
  </w:style>
  <w:style w:type="character" w:customStyle="1" w:styleId="Heading9Char">
    <w:name w:val="Heading 9 Char"/>
    <w:basedOn w:val="DefaultParagraphFont"/>
    <w:link w:val="Heading9"/>
    <w:uiPriority w:val="9"/>
    <w:semiHidden/>
    <w:rsid w:val="00EE3830"/>
    <w:rPr>
      <w:rFonts w:asciiTheme="majorHAnsi" w:eastAsiaTheme="majorEastAsia" w:hAnsiTheme="majorHAnsi" w:cstheme="majorBidi"/>
      <w:i/>
      <w:iCs/>
      <w:spacing w:val="5"/>
      <w:sz w:val="20"/>
      <w:szCs w:val="20"/>
      <w:lang w:eastAsia="en-US"/>
    </w:rPr>
  </w:style>
  <w:style w:type="paragraph" w:styleId="TOC1">
    <w:name w:val="toc 1"/>
    <w:basedOn w:val="Normal"/>
    <w:next w:val="Normal"/>
    <w:autoRedefine/>
    <w:uiPriority w:val="39"/>
    <w:unhideWhenUsed/>
    <w:rsid w:val="002F52C6"/>
    <w:pPr>
      <w:tabs>
        <w:tab w:val="left" w:leader="dot" w:pos="13608"/>
      </w:tabs>
      <w:spacing w:before="120" w:after="0"/>
    </w:pPr>
    <w:rPr>
      <w:b/>
    </w:rPr>
  </w:style>
  <w:style w:type="paragraph" w:styleId="TOC2">
    <w:name w:val="toc 2"/>
    <w:basedOn w:val="Normal"/>
    <w:next w:val="Normal"/>
    <w:autoRedefine/>
    <w:uiPriority w:val="39"/>
    <w:unhideWhenUsed/>
    <w:rsid w:val="002F52C6"/>
    <w:pPr>
      <w:tabs>
        <w:tab w:val="left" w:leader="dot" w:pos="13608"/>
      </w:tabs>
      <w:spacing w:after="100"/>
      <w:ind w:left="284"/>
    </w:pPr>
  </w:style>
  <w:style w:type="paragraph" w:styleId="TOC3">
    <w:name w:val="toc 3"/>
    <w:basedOn w:val="Normal"/>
    <w:next w:val="Normal"/>
    <w:autoRedefine/>
    <w:uiPriority w:val="39"/>
    <w:unhideWhenUsed/>
    <w:rsid w:val="00EE3830"/>
    <w:pPr>
      <w:spacing w:after="100"/>
      <w:ind w:left="440"/>
    </w:pPr>
  </w:style>
  <w:style w:type="paragraph" w:styleId="Header">
    <w:name w:val="header"/>
    <w:basedOn w:val="Normal"/>
    <w:link w:val="HeaderChar"/>
    <w:uiPriority w:val="99"/>
    <w:unhideWhenUsed/>
    <w:rsid w:val="00EE3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830"/>
    <w:rPr>
      <w:rFonts w:eastAsiaTheme="minorEastAsia"/>
      <w:lang w:eastAsia="en-US"/>
    </w:rPr>
  </w:style>
  <w:style w:type="paragraph" w:styleId="Footer">
    <w:name w:val="footer"/>
    <w:basedOn w:val="Normal"/>
    <w:link w:val="FooterChar"/>
    <w:uiPriority w:val="99"/>
    <w:unhideWhenUsed/>
    <w:rsid w:val="00EE3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830"/>
    <w:rPr>
      <w:rFonts w:eastAsiaTheme="minorEastAsia"/>
      <w:lang w:eastAsia="en-US"/>
    </w:rPr>
  </w:style>
  <w:style w:type="paragraph" w:styleId="Caption">
    <w:name w:val="caption"/>
    <w:basedOn w:val="Heading4"/>
    <w:next w:val="Normal"/>
    <w:uiPriority w:val="35"/>
    <w:qFormat/>
    <w:rsid w:val="008069B8"/>
    <w:rPr>
      <w:b w:val="0"/>
    </w:rPr>
  </w:style>
  <w:style w:type="paragraph" w:styleId="List">
    <w:name w:val="List"/>
    <w:basedOn w:val="Normal"/>
    <w:uiPriority w:val="99"/>
    <w:unhideWhenUsed/>
    <w:rsid w:val="00EE3830"/>
    <w:pPr>
      <w:ind w:left="283" w:hanging="283"/>
      <w:contextualSpacing/>
    </w:pPr>
  </w:style>
  <w:style w:type="paragraph" w:styleId="ListBullet">
    <w:name w:val="List Bullet"/>
    <w:basedOn w:val="Normal"/>
    <w:uiPriority w:val="99"/>
    <w:unhideWhenUsed/>
    <w:rsid w:val="00EE3830"/>
    <w:pPr>
      <w:numPr>
        <w:numId w:val="26"/>
      </w:numPr>
      <w:contextualSpacing/>
    </w:pPr>
  </w:style>
  <w:style w:type="paragraph" w:styleId="ListNumber">
    <w:name w:val="List Number"/>
    <w:basedOn w:val="Normal"/>
    <w:uiPriority w:val="99"/>
    <w:unhideWhenUsed/>
    <w:rsid w:val="00E807B5"/>
    <w:pPr>
      <w:numPr>
        <w:numId w:val="27"/>
      </w:numPr>
      <w:contextualSpacing/>
    </w:pPr>
  </w:style>
  <w:style w:type="paragraph" w:styleId="List2">
    <w:name w:val="List 2"/>
    <w:basedOn w:val="Normal"/>
    <w:uiPriority w:val="99"/>
    <w:unhideWhenUsed/>
    <w:rsid w:val="00EE3830"/>
    <w:pPr>
      <w:ind w:left="566" w:hanging="283"/>
      <w:contextualSpacing/>
    </w:pPr>
  </w:style>
  <w:style w:type="paragraph" w:styleId="List3">
    <w:name w:val="List 3"/>
    <w:basedOn w:val="Normal"/>
    <w:uiPriority w:val="99"/>
    <w:unhideWhenUsed/>
    <w:rsid w:val="00EE3830"/>
    <w:pPr>
      <w:ind w:left="849" w:hanging="283"/>
      <w:contextualSpacing/>
    </w:pPr>
  </w:style>
  <w:style w:type="paragraph" w:styleId="List4">
    <w:name w:val="List 4"/>
    <w:basedOn w:val="Normal"/>
    <w:uiPriority w:val="99"/>
    <w:unhideWhenUsed/>
    <w:rsid w:val="00EE3830"/>
    <w:pPr>
      <w:ind w:left="1132" w:hanging="283"/>
      <w:contextualSpacing/>
    </w:pPr>
  </w:style>
  <w:style w:type="paragraph" w:styleId="List5">
    <w:name w:val="List 5"/>
    <w:basedOn w:val="Normal"/>
    <w:uiPriority w:val="99"/>
    <w:unhideWhenUsed/>
    <w:rsid w:val="00EE3830"/>
    <w:pPr>
      <w:ind w:left="1415" w:hanging="283"/>
      <w:contextualSpacing/>
    </w:pPr>
  </w:style>
  <w:style w:type="paragraph" w:styleId="ListBullet2">
    <w:name w:val="List Bullet 2"/>
    <w:basedOn w:val="Normal"/>
    <w:uiPriority w:val="99"/>
    <w:unhideWhenUsed/>
    <w:rsid w:val="00EE3830"/>
    <w:pPr>
      <w:numPr>
        <w:ilvl w:val="1"/>
        <w:numId w:val="26"/>
      </w:numPr>
      <w:contextualSpacing/>
    </w:pPr>
  </w:style>
  <w:style w:type="paragraph" w:styleId="ListBullet3">
    <w:name w:val="List Bullet 3"/>
    <w:basedOn w:val="Normal"/>
    <w:uiPriority w:val="99"/>
    <w:unhideWhenUsed/>
    <w:rsid w:val="00EE3830"/>
    <w:pPr>
      <w:numPr>
        <w:ilvl w:val="2"/>
        <w:numId w:val="26"/>
      </w:numPr>
      <w:contextualSpacing/>
    </w:pPr>
  </w:style>
  <w:style w:type="paragraph" w:styleId="ListBullet4">
    <w:name w:val="List Bullet 4"/>
    <w:basedOn w:val="Normal"/>
    <w:uiPriority w:val="99"/>
    <w:unhideWhenUsed/>
    <w:rsid w:val="00EE3830"/>
    <w:pPr>
      <w:numPr>
        <w:ilvl w:val="3"/>
        <w:numId w:val="26"/>
      </w:numPr>
      <w:contextualSpacing/>
    </w:pPr>
  </w:style>
  <w:style w:type="paragraph" w:styleId="ListBullet5">
    <w:name w:val="List Bullet 5"/>
    <w:basedOn w:val="Normal"/>
    <w:uiPriority w:val="99"/>
    <w:unhideWhenUsed/>
    <w:rsid w:val="00EE3830"/>
    <w:pPr>
      <w:numPr>
        <w:ilvl w:val="4"/>
        <w:numId w:val="26"/>
      </w:numPr>
      <w:contextualSpacing/>
    </w:pPr>
  </w:style>
  <w:style w:type="paragraph" w:styleId="ListNumber2">
    <w:name w:val="List Number 2"/>
    <w:basedOn w:val="Normal"/>
    <w:uiPriority w:val="99"/>
    <w:unhideWhenUsed/>
    <w:rsid w:val="00E807B5"/>
    <w:pPr>
      <w:numPr>
        <w:ilvl w:val="1"/>
        <w:numId w:val="27"/>
      </w:numPr>
      <w:tabs>
        <w:tab w:val="left" w:pos="1134"/>
      </w:tabs>
      <w:contextualSpacing/>
    </w:pPr>
  </w:style>
  <w:style w:type="paragraph" w:styleId="ListNumber3">
    <w:name w:val="List Number 3"/>
    <w:basedOn w:val="Normal"/>
    <w:uiPriority w:val="99"/>
    <w:unhideWhenUsed/>
    <w:rsid w:val="00E807B5"/>
    <w:pPr>
      <w:numPr>
        <w:ilvl w:val="2"/>
        <w:numId w:val="27"/>
      </w:numPr>
      <w:contextualSpacing/>
    </w:pPr>
  </w:style>
  <w:style w:type="paragraph" w:styleId="ListNumber4">
    <w:name w:val="List Number 4"/>
    <w:basedOn w:val="Normal"/>
    <w:uiPriority w:val="99"/>
    <w:unhideWhenUsed/>
    <w:qFormat/>
    <w:rsid w:val="00E807B5"/>
    <w:pPr>
      <w:numPr>
        <w:ilvl w:val="3"/>
        <w:numId w:val="27"/>
      </w:numPr>
      <w:contextualSpacing/>
    </w:pPr>
  </w:style>
  <w:style w:type="paragraph" w:styleId="ListNumber5">
    <w:name w:val="List Number 5"/>
    <w:basedOn w:val="Normal"/>
    <w:uiPriority w:val="99"/>
    <w:unhideWhenUsed/>
    <w:rsid w:val="00E807B5"/>
    <w:pPr>
      <w:numPr>
        <w:ilvl w:val="4"/>
        <w:numId w:val="27"/>
      </w:numPr>
      <w:contextualSpacing/>
    </w:pPr>
  </w:style>
  <w:style w:type="paragraph" w:styleId="Title">
    <w:name w:val="Title"/>
    <w:basedOn w:val="Normal"/>
    <w:next w:val="Normal"/>
    <w:link w:val="TitleChar"/>
    <w:qFormat/>
    <w:rsid w:val="001B40EB"/>
    <w:pPr>
      <w:spacing w:line="240" w:lineRule="auto"/>
      <w:contextualSpacing/>
    </w:pPr>
    <w:rPr>
      <w:rFonts w:asciiTheme="majorHAnsi" w:eastAsiaTheme="majorEastAsia" w:hAnsiTheme="majorHAnsi" w:cstheme="majorHAnsi"/>
      <w:b/>
      <w:spacing w:val="5"/>
      <w:sz w:val="28"/>
      <w:szCs w:val="60"/>
      <w:lang w:eastAsia="en-US"/>
    </w:rPr>
  </w:style>
  <w:style w:type="character" w:customStyle="1" w:styleId="TitleChar">
    <w:name w:val="Title Char"/>
    <w:basedOn w:val="DefaultParagraphFont"/>
    <w:link w:val="Title"/>
    <w:rsid w:val="001B40EB"/>
    <w:rPr>
      <w:rFonts w:asciiTheme="majorHAnsi" w:eastAsiaTheme="majorEastAsia" w:hAnsiTheme="majorHAnsi" w:cstheme="majorHAnsi"/>
      <w:b/>
      <w:spacing w:val="5"/>
      <w:sz w:val="28"/>
      <w:szCs w:val="60"/>
    </w:rPr>
  </w:style>
  <w:style w:type="paragraph" w:styleId="BodyText">
    <w:name w:val="Body Text"/>
    <w:basedOn w:val="Normal"/>
    <w:link w:val="BodyTextChar"/>
    <w:rsid w:val="00EE3830"/>
    <w:pPr>
      <w:spacing w:line="240" w:lineRule="auto"/>
    </w:pPr>
    <w:rPr>
      <w:rFonts w:eastAsia="Times New Roman" w:cs="Times New Roman"/>
      <w:szCs w:val="24"/>
    </w:rPr>
  </w:style>
  <w:style w:type="character" w:customStyle="1" w:styleId="BodyTextChar">
    <w:name w:val="Body Text Char"/>
    <w:basedOn w:val="DefaultParagraphFont"/>
    <w:link w:val="BodyText"/>
    <w:rsid w:val="00EE3830"/>
    <w:rPr>
      <w:rFonts w:cs="Times New Roman"/>
      <w:szCs w:val="24"/>
    </w:rPr>
  </w:style>
  <w:style w:type="paragraph" w:styleId="Subtitle">
    <w:name w:val="Subtitle"/>
    <w:basedOn w:val="Normal"/>
    <w:next w:val="Normal"/>
    <w:link w:val="SubtitleChar"/>
    <w:uiPriority w:val="1"/>
    <w:qFormat/>
    <w:rsid w:val="00E807B5"/>
    <w:pPr>
      <w:spacing w:after="360"/>
    </w:pPr>
    <w:rPr>
      <w:rFonts w:ascii="Calibri" w:eastAsiaTheme="majorEastAsia" w:hAnsi="Calibri" w:cstheme="majorBidi"/>
      <w:iCs/>
      <w:color w:val="145187"/>
      <w:spacing w:val="13"/>
      <w:sz w:val="40"/>
      <w:szCs w:val="40"/>
    </w:rPr>
  </w:style>
  <w:style w:type="character" w:customStyle="1" w:styleId="SubtitleChar">
    <w:name w:val="Subtitle Char"/>
    <w:basedOn w:val="DefaultParagraphFont"/>
    <w:link w:val="Subtitle"/>
    <w:uiPriority w:val="1"/>
    <w:rsid w:val="00E807B5"/>
    <w:rPr>
      <w:rFonts w:ascii="Calibri" w:eastAsiaTheme="majorEastAsia" w:hAnsi="Calibri" w:cstheme="majorBidi"/>
      <w:iCs/>
      <w:color w:val="145187"/>
      <w:spacing w:val="13"/>
      <w:sz w:val="40"/>
      <w:szCs w:val="40"/>
    </w:rPr>
  </w:style>
  <w:style w:type="character" w:styleId="Hyperlink">
    <w:name w:val="Hyperlink"/>
    <w:basedOn w:val="DefaultParagraphFont"/>
    <w:uiPriority w:val="99"/>
    <w:unhideWhenUsed/>
    <w:qFormat/>
    <w:rsid w:val="00EE3830"/>
    <w:rPr>
      <w:color w:val="0563C1" w:themeColor="hyperlink"/>
      <w:u w:val="single"/>
    </w:rPr>
  </w:style>
  <w:style w:type="character" w:styleId="Strong">
    <w:name w:val="Strong"/>
    <w:uiPriority w:val="8"/>
    <w:qFormat/>
    <w:rsid w:val="00EE3830"/>
    <w:rPr>
      <w:b/>
      <w:bCs/>
    </w:rPr>
  </w:style>
  <w:style w:type="character" w:styleId="Emphasis">
    <w:name w:val="Emphasis"/>
    <w:uiPriority w:val="8"/>
    <w:qFormat/>
    <w:rsid w:val="00EE3830"/>
    <w:rPr>
      <w:b w:val="0"/>
      <w:bCs/>
      <w:i/>
      <w:iCs/>
      <w:spacing w:val="10"/>
      <w:bdr w:val="none" w:sz="0" w:space="0" w:color="auto"/>
      <w:shd w:val="clear" w:color="auto" w:fill="auto"/>
    </w:rPr>
  </w:style>
  <w:style w:type="paragraph" w:styleId="BalloonText">
    <w:name w:val="Balloon Text"/>
    <w:basedOn w:val="Normal"/>
    <w:link w:val="BalloonTextChar"/>
    <w:uiPriority w:val="99"/>
    <w:unhideWhenUsed/>
    <w:rsid w:val="00EE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E3830"/>
    <w:rPr>
      <w:rFonts w:ascii="Tahoma" w:eastAsiaTheme="minorEastAsia" w:hAnsi="Tahoma" w:cs="Tahoma"/>
      <w:sz w:val="16"/>
      <w:szCs w:val="16"/>
      <w:lang w:eastAsia="en-US"/>
    </w:rPr>
  </w:style>
  <w:style w:type="table" w:styleId="TableGrid">
    <w:name w:val="Table Grid"/>
    <w:basedOn w:val="TableNormal"/>
    <w:uiPriority w:val="39"/>
    <w:rsid w:val="00EE383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3830"/>
    <w:rPr>
      <w:color w:val="808080"/>
    </w:rPr>
  </w:style>
  <w:style w:type="paragraph" w:styleId="NoSpacing">
    <w:name w:val="No Spacing"/>
    <w:basedOn w:val="Normal"/>
    <w:link w:val="NoSpacingChar"/>
    <w:uiPriority w:val="1"/>
    <w:rsid w:val="00EE3830"/>
    <w:pPr>
      <w:spacing w:after="0" w:line="240" w:lineRule="auto"/>
    </w:pPr>
  </w:style>
  <w:style w:type="character" w:customStyle="1" w:styleId="NoSpacingChar">
    <w:name w:val="No Spacing Char"/>
    <w:basedOn w:val="DefaultParagraphFont"/>
    <w:link w:val="NoSpacing"/>
    <w:uiPriority w:val="1"/>
    <w:rsid w:val="00EE3830"/>
    <w:rPr>
      <w:rFonts w:eastAsiaTheme="minorEastAsia"/>
      <w:lang w:eastAsia="en-US"/>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EE3830"/>
    <w:pPr>
      <w:ind w:left="720"/>
      <w:contextualSpacing/>
    </w:pPr>
  </w:style>
  <w:style w:type="paragraph" w:styleId="Quote">
    <w:name w:val="Quote"/>
    <w:basedOn w:val="Normal"/>
    <w:next w:val="Normal"/>
    <w:link w:val="QuoteChar"/>
    <w:uiPriority w:val="29"/>
    <w:qFormat/>
    <w:rsid w:val="00EE3830"/>
    <w:pPr>
      <w:ind w:left="369" w:right="369"/>
    </w:pPr>
    <w:rPr>
      <w:i/>
      <w:iCs/>
    </w:rPr>
  </w:style>
  <w:style w:type="character" w:customStyle="1" w:styleId="QuoteChar">
    <w:name w:val="Quote Char"/>
    <w:basedOn w:val="DefaultParagraphFont"/>
    <w:link w:val="Quote"/>
    <w:uiPriority w:val="29"/>
    <w:rsid w:val="00EE3830"/>
    <w:rPr>
      <w:rFonts w:eastAsiaTheme="minorEastAsia"/>
      <w:i/>
      <w:iCs/>
      <w:lang w:eastAsia="en-US"/>
    </w:rPr>
  </w:style>
  <w:style w:type="paragraph" w:styleId="IntenseQuote">
    <w:name w:val="Intense Quote"/>
    <w:basedOn w:val="Normal"/>
    <w:next w:val="Normal"/>
    <w:link w:val="IntenseQuoteChar"/>
    <w:uiPriority w:val="30"/>
    <w:rsid w:val="00EE383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3830"/>
    <w:rPr>
      <w:rFonts w:eastAsiaTheme="minorEastAsia"/>
      <w:b/>
      <w:bCs/>
      <w:i/>
      <w:iCs/>
      <w:lang w:eastAsia="en-US"/>
    </w:rPr>
  </w:style>
  <w:style w:type="character" w:styleId="SubtleEmphasis">
    <w:name w:val="Subtle Emphasis"/>
    <w:uiPriority w:val="19"/>
    <w:rsid w:val="00EE3830"/>
    <w:rPr>
      <w:i/>
      <w:iCs/>
    </w:rPr>
  </w:style>
  <w:style w:type="character" w:styleId="IntenseEmphasis">
    <w:name w:val="Intense Emphasis"/>
    <w:uiPriority w:val="21"/>
    <w:rsid w:val="00EE3830"/>
    <w:rPr>
      <w:b/>
      <w:bCs/>
      <w:i/>
    </w:rPr>
  </w:style>
  <w:style w:type="character" w:styleId="SubtleReference">
    <w:name w:val="Subtle Reference"/>
    <w:uiPriority w:val="31"/>
    <w:rsid w:val="00EE3830"/>
    <w:rPr>
      <w:smallCaps/>
    </w:rPr>
  </w:style>
  <w:style w:type="character" w:styleId="IntenseReference">
    <w:name w:val="Intense Reference"/>
    <w:uiPriority w:val="32"/>
    <w:rsid w:val="00EE3830"/>
    <w:rPr>
      <w:smallCaps/>
      <w:spacing w:val="5"/>
      <w:u w:val="single"/>
    </w:rPr>
  </w:style>
  <w:style w:type="character" w:styleId="BookTitle">
    <w:name w:val="Book Title"/>
    <w:uiPriority w:val="33"/>
    <w:rsid w:val="00EE3830"/>
    <w:rPr>
      <w:i/>
      <w:iCs/>
      <w:caps w:val="0"/>
      <w:smallCaps w:val="0"/>
      <w:spacing w:val="5"/>
    </w:rPr>
  </w:style>
  <w:style w:type="paragraph" w:styleId="TOCHeading">
    <w:name w:val="TOC Heading"/>
    <w:next w:val="Normal"/>
    <w:uiPriority w:val="39"/>
    <w:unhideWhenUsed/>
    <w:qFormat/>
    <w:rsid w:val="001B40EB"/>
    <w:rPr>
      <w:rFonts w:asciiTheme="majorHAnsi" w:eastAsiaTheme="majorEastAsia" w:hAnsiTheme="majorHAnsi" w:cstheme="majorBidi"/>
      <w:bCs/>
      <w:sz w:val="28"/>
      <w:szCs w:val="32"/>
      <w:lang w:eastAsia="en-AU" w:bidi="en-US"/>
    </w:rPr>
  </w:style>
  <w:style w:type="table" w:styleId="ListTable3-Accent1">
    <w:name w:val="List Table 3 Accent 1"/>
    <w:basedOn w:val="TableNormal"/>
    <w:uiPriority w:val="48"/>
    <w:rsid w:val="00EE3830"/>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ootnoteText">
    <w:name w:val="footnote text"/>
    <w:basedOn w:val="Normal"/>
    <w:link w:val="FootnoteTextChar"/>
    <w:uiPriority w:val="99"/>
    <w:qFormat/>
    <w:rsid w:val="00C85045"/>
    <w:pPr>
      <w:spacing w:before="120" w:after="0" w:line="240" w:lineRule="auto"/>
    </w:pPr>
    <w:rPr>
      <w:sz w:val="20"/>
      <w:szCs w:val="20"/>
    </w:rPr>
  </w:style>
  <w:style w:type="character" w:customStyle="1" w:styleId="FootnoteTextChar">
    <w:name w:val="Footnote Text Char"/>
    <w:basedOn w:val="DefaultParagraphFont"/>
    <w:link w:val="FootnoteText"/>
    <w:uiPriority w:val="99"/>
    <w:rsid w:val="00C85045"/>
    <w:rPr>
      <w:rFonts w:eastAsiaTheme="minorEastAsia"/>
      <w:sz w:val="20"/>
      <w:szCs w:val="20"/>
      <w:lang w:eastAsia="en-AU"/>
    </w:rPr>
  </w:style>
  <w:style w:type="paragraph" w:customStyle="1" w:styleId="Tableheader">
    <w:name w:val="Table header"/>
    <w:basedOn w:val="Normal"/>
    <w:link w:val="TableheaderChar"/>
    <w:qFormat/>
    <w:rsid w:val="00C85045"/>
    <w:pPr>
      <w:spacing w:before="80" w:after="80" w:line="240" w:lineRule="auto"/>
      <w:jc w:val="center"/>
    </w:pPr>
    <w:rPr>
      <w:b/>
      <w:sz w:val="20"/>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sid w:val="0010611C"/>
    <w:rPr>
      <w:rFonts w:eastAsiaTheme="minorEastAsia"/>
      <w:lang w:eastAsia="en-AU"/>
    </w:rPr>
  </w:style>
  <w:style w:type="character" w:customStyle="1" w:styleId="TableheaderChar">
    <w:name w:val="Table header Char"/>
    <w:basedOn w:val="DefaultParagraphFont"/>
    <w:link w:val="Tableheader"/>
    <w:rsid w:val="00C85045"/>
    <w:rPr>
      <w:rFonts w:eastAsiaTheme="minorEastAsia"/>
      <w:b/>
      <w:sz w:val="20"/>
      <w:lang w:eastAsia="en-AU"/>
    </w:rPr>
  </w:style>
  <w:style w:type="table" w:customStyle="1" w:styleId="CenterAlignTable">
    <w:name w:val="Center Align Table"/>
    <w:basedOn w:val="TableNormal"/>
    <w:uiPriority w:val="99"/>
    <w:rsid w:val="00131B0A"/>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paragraph" w:styleId="NormalWeb">
    <w:name w:val="Normal (Web)"/>
    <w:basedOn w:val="Normal"/>
    <w:uiPriority w:val="99"/>
    <w:unhideWhenUsed/>
    <w:rsid w:val="00756257"/>
    <w:pPr>
      <w:spacing w:before="100" w:beforeAutospacing="1" w:after="100" w:afterAutospacing="1" w:line="240" w:lineRule="auto"/>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29524F"/>
    <w:rPr>
      <w:sz w:val="16"/>
      <w:szCs w:val="16"/>
    </w:rPr>
  </w:style>
  <w:style w:type="paragraph" w:styleId="CommentText">
    <w:name w:val="annotation text"/>
    <w:basedOn w:val="Normal"/>
    <w:link w:val="CommentTextChar"/>
    <w:uiPriority w:val="99"/>
    <w:semiHidden/>
    <w:unhideWhenUsed/>
    <w:rsid w:val="0029524F"/>
    <w:pPr>
      <w:spacing w:line="240" w:lineRule="auto"/>
    </w:pPr>
    <w:rPr>
      <w:sz w:val="20"/>
      <w:szCs w:val="20"/>
    </w:rPr>
  </w:style>
  <w:style w:type="character" w:customStyle="1" w:styleId="CommentTextChar">
    <w:name w:val="Comment Text Char"/>
    <w:basedOn w:val="DefaultParagraphFont"/>
    <w:link w:val="CommentText"/>
    <w:uiPriority w:val="99"/>
    <w:semiHidden/>
    <w:rsid w:val="0029524F"/>
    <w:rPr>
      <w:rFonts w:eastAsiaTheme="minorEastAsia"/>
      <w:sz w:val="20"/>
      <w:szCs w:val="20"/>
      <w:lang w:eastAsia="en-AU"/>
    </w:rPr>
  </w:style>
  <w:style w:type="paragraph" w:styleId="CommentSubject">
    <w:name w:val="annotation subject"/>
    <w:basedOn w:val="CommentText"/>
    <w:next w:val="CommentText"/>
    <w:link w:val="CommentSubjectChar"/>
    <w:uiPriority w:val="99"/>
    <w:semiHidden/>
    <w:unhideWhenUsed/>
    <w:rsid w:val="0029524F"/>
    <w:rPr>
      <w:b/>
      <w:bCs/>
    </w:rPr>
  </w:style>
  <w:style w:type="character" w:customStyle="1" w:styleId="CommentSubjectChar">
    <w:name w:val="Comment Subject Char"/>
    <w:basedOn w:val="CommentTextChar"/>
    <w:link w:val="CommentSubject"/>
    <w:uiPriority w:val="99"/>
    <w:semiHidden/>
    <w:rsid w:val="0029524F"/>
    <w:rPr>
      <w:rFonts w:eastAsiaTheme="minorEastAsia"/>
      <w:b/>
      <w:bCs/>
      <w:sz w:val="20"/>
      <w:szCs w:val="20"/>
      <w:lang w:eastAsia="en-AU"/>
    </w:rPr>
  </w:style>
  <w:style w:type="paragraph" w:styleId="Revision">
    <w:name w:val="Revision"/>
    <w:hidden/>
    <w:uiPriority w:val="99"/>
    <w:semiHidden/>
    <w:rsid w:val="00B15CAE"/>
    <w:pPr>
      <w:spacing w:after="0" w:line="240" w:lineRule="auto"/>
    </w:pPr>
    <w:rPr>
      <w:rFonts w:eastAsiaTheme="minorEastAsia"/>
      <w:lang w:eastAsia="en-AU"/>
    </w:rPr>
  </w:style>
  <w:style w:type="character" w:styleId="FollowedHyperlink">
    <w:name w:val="FollowedHyperlink"/>
    <w:basedOn w:val="DefaultParagraphFont"/>
    <w:uiPriority w:val="99"/>
    <w:semiHidden/>
    <w:unhideWhenUsed/>
    <w:rsid w:val="008C32DA"/>
    <w:rPr>
      <w:color w:val="954F72" w:themeColor="followedHyperlink"/>
      <w:u w:val="single"/>
    </w:rPr>
  </w:style>
  <w:style w:type="paragraph" w:customStyle="1" w:styleId="Basic">
    <w:name w:val="Basic"/>
    <w:basedOn w:val="Normal"/>
    <w:link w:val="BasicChar"/>
    <w:qFormat/>
    <w:rsid w:val="001B40EB"/>
    <w:pPr>
      <w:spacing w:before="120" w:after="120" w:line="240" w:lineRule="auto"/>
      <w:jc w:val="both"/>
    </w:pPr>
  </w:style>
  <w:style w:type="paragraph" w:customStyle="1" w:styleId="qualifiers">
    <w:name w:val="qualifiers"/>
    <w:basedOn w:val="Normal"/>
    <w:link w:val="qualifiersChar"/>
    <w:qFormat/>
    <w:rsid w:val="001B40EB"/>
    <w:pPr>
      <w:spacing w:before="60" w:after="60" w:line="240" w:lineRule="auto"/>
    </w:pPr>
    <w:rPr>
      <w:rFonts w:ascii="Calibri" w:eastAsia="Calibri" w:hAnsi="Calibri" w:cs="Times New Roman"/>
      <w:sz w:val="20"/>
      <w:szCs w:val="20"/>
    </w:rPr>
  </w:style>
  <w:style w:type="character" w:customStyle="1" w:styleId="BasicChar">
    <w:name w:val="Basic Char"/>
    <w:basedOn w:val="DefaultParagraphFont"/>
    <w:link w:val="Basic"/>
    <w:rsid w:val="001B40EB"/>
    <w:rPr>
      <w:rFonts w:eastAsiaTheme="minorEastAsia"/>
      <w:lang w:eastAsia="en-AU"/>
    </w:rPr>
  </w:style>
  <w:style w:type="paragraph" w:customStyle="1" w:styleId="note">
    <w:name w:val="note"/>
    <w:basedOn w:val="Normal"/>
    <w:link w:val="noteChar"/>
    <w:qFormat/>
    <w:rsid w:val="001B40EB"/>
    <w:pPr>
      <w:spacing w:after="0" w:line="240" w:lineRule="auto"/>
      <w:ind w:right="-215"/>
    </w:pPr>
    <w:rPr>
      <w:rFonts w:ascii="Calibri" w:eastAsia="Calibri" w:hAnsi="Calibri" w:cs="Times New Roman"/>
      <w:i/>
      <w:sz w:val="20"/>
      <w:szCs w:val="20"/>
    </w:rPr>
  </w:style>
  <w:style w:type="character" w:customStyle="1" w:styleId="qualifiersChar">
    <w:name w:val="qualifiers Char"/>
    <w:basedOn w:val="DefaultParagraphFont"/>
    <w:link w:val="qualifiers"/>
    <w:rsid w:val="001B40EB"/>
    <w:rPr>
      <w:rFonts w:ascii="Calibri" w:eastAsia="Calibri" w:hAnsi="Calibri" w:cs="Times New Roman"/>
      <w:sz w:val="20"/>
      <w:szCs w:val="20"/>
      <w:lang w:eastAsia="en-AU"/>
    </w:rPr>
  </w:style>
  <w:style w:type="paragraph" w:customStyle="1" w:styleId="tabletext">
    <w:name w:val="table text"/>
    <w:basedOn w:val="Basic"/>
    <w:link w:val="tabletextChar"/>
    <w:qFormat/>
    <w:rsid w:val="001B40EB"/>
    <w:pPr>
      <w:spacing w:before="80" w:after="80"/>
      <w:jc w:val="left"/>
    </w:pPr>
    <w:rPr>
      <w:sz w:val="20"/>
    </w:rPr>
  </w:style>
  <w:style w:type="character" w:customStyle="1" w:styleId="noteChar">
    <w:name w:val="note Char"/>
    <w:basedOn w:val="DefaultParagraphFont"/>
    <w:link w:val="note"/>
    <w:rsid w:val="001B40EB"/>
    <w:rPr>
      <w:rFonts w:ascii="Calibri" w:eastAsia="Calibri" w:hAnsi="Calibri" w:cs="Times New Roman"/>
      <w:i/>
      <w:sz w:val="20"/>
      <w:szCs w:val="20"/>
      <w:lang w:eastAsia="en-AU"/>
    </w:rPr>
  </w:style>
  <w:style w:type="character" w:styleId="FootnoteReference">
    <w:name w:val="footnote reference"/>
    <w:basedOn w:val="DefaultParagraphFont"/>
    <w:uiPriority w:val="99"/>
    <w:semiHidden/>
    <w:unhideWhenUsed/>
    <w:qFormat/>
    <w:rsid w:val="003E3458"/>
    <w:rPr>
      <w:vertAlign w:val="superscript"/>
    </w:rPr>
  </w:style>
  <w:style w:type="character" w:customStyle="1" w:styleId="tabletextChar">
    <w:name w:val="table text Char"/>
    <w:basedOn w:val="TableheaderChar"/>
    <w:link w:val="tabletext"/>
    <w:rsid w:val="001B40EB"/>
    <w:rPr>
      <w:rFonts w:eastAsiaTheme="minorEastAsia"/>
      <w:b w:val="0"/>
      <w:sz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20606">
      <w:bodyDiv w:val="1"/>
      <w:marLeft w:val="0"/>
      <w:marRight w:val="0"/>
      <w:marTop w:val="0"/>
      <w:marBottom w:val="0"/>
      <w:divBdr>
        <w:top w:val="none" w:sz="0" w:space="0" w:color="auto"/>
        <w:left w:val="none" w:sz="0" w:space="0" w:color="auto"/>
        <w:bottom w:val="none" w:sz="0" w:space="0" w:color="auto"/>
        <w:right w:val="none" w:sz="0" w:space="0" w:color="auto"/>
      </w:divBdr>
    </w:div>
    <w:div w:id="603461053">
      <w:bodyDiv w:val="1"/>
      <w:marLeft w:val="0"/>
      <w:marRight w:val="0"/>
      <w:marTop w:val="0"/>
      <w:marBottom w:val="0"/>
      <w:divBdr>
        <w:top w:val="none" w:sz="0" w:space="0" w:color="auto"/>
        <w:left w:val="none" w:sz="0" w:space="0" w:color="auto"/>
        <w:bottom w:val="none" w:sz="0" w:space="0" w:color="auto"/>
        <w:right w:val="none" w:sz="0" w:space="0" w:color="auto"/>
      </w:divBdr>
    </w:div>
    <w:div w:id="624508598">
      <w:bodyDiv w:val="1"/>
      <w:marLeft w:val="0"/>
      <w:marRight w:val="0"/>
      <w:marTop w:val="0"/>
      <w:marBottom w:val="0"/>
      <w:divBdr>
        <w:top w:val="none" w:sz="0" w:space="0" w:color="auto"/>
        <w:left w:val="none" w:sz="0" w:space="0" w:color="auto"/>
        <w:bottom w:val="none" w:sz="0" w:space="0" w:color="auto"/>
        <w:right w:val="none" w:sz="0" w:space="0" w:color="auto"/>
      </w:divBdr>
    </w:div>
    <w:div w:id="664475463">
      <w:bodyDiv w:val="1"/>
      <w:marLeft w:val="0"/>
      <w:marRight w:val="0"/>
      <w:marTop w:val="0"/>
      <w:marBottom w:val="0"/>
      <w:divBdr>
        <w:top w:val="none" w:sz="0" w:space="0" w:color="auto"/>
        <w:left w:val="none" w:sz="0" w:space="0" w:color="auto"/>
        <w:bottom w:val="none" w:sz="0" w:space="0" w:color="auto"/>
        <w:right w:val="none" w:sz="0" w:space="0" w:color="auto"/>
      </w:divBdr>
    </w:div>
    <w:div w:id="1125462295">
      <w:bodyDiv w:val="1"/>
      <w:marLeft w:val="0"/>
      <w:marRight w:val="0"/>
      <w:marTop w:val="0"/>
      <w:marBottom w:val="0"/>
      <w:divBdr>
        <w:top w:val="none" w:sz="0" w:space="0" w:color="auto"/>
        <w:left w:val="none" w:sz="0" w:space="0" w:color="auto"/>
        <w:bottom w:val="none" w:sz="0" w:space="0" w:color="auto"/>
        <w:right w:val="none" w:sz="0" w:space="0" w:color="auto"/>
      </w:divBdr>
    </w:div>
    <w:div w:id="1248032195">
      <w:bodyDiv w:val="1"/>
      <w:marLeft w:val="0"/>
      <w:marRight w:val="0"/>
      <w:marTop w:val="0"/>
      <w:marBottom w:val="0"/>
      <w:divBdr>
        <w:top w:val="none" w:sz="0" w:space="0" w:color="auto"/>
        <w:left w:val="none" w:sz="0" w:space="0" w:color="auto"/>
        <w:bottom w:val="none" w:sz="0" w:space="0" w:color="auto"/>
        <w:right w:val="none" w:sz="0" w:space="0" w:color="auto"/>
      </w:divBdr>
    </w:div>
    <w:div w:id="1270161824">
      <w:bodyDiv w:val="1"/>
      <w:marLeft w:val="0"/>
      <w:marRight w:val="0"/>
      <w:marTop w:val="0"/>
      <w:marBottom w:val="0"/>
      <w:divBdr>
        <w:top w:val="none" w:sz="0" w:space="0" w:color="auto"/>
        <w:left w:val="none" w:sz="0" w:space="0" w:color="auto"/>
        <w:bottom w:val="none" w:sz="0" w:space="0" w:color="auto"/>
        <w:right w:val="none" w:sz="0" w:space="0" w:color="auto"/>
      </w:divBdr>
    </w:div>
    <w:div w:id="1707757970">
      <w:bodyDiv w:val="1"/>
      <w:marLeft w:val="0"/>
      <w:marRight w:val="0"/>
      <w:marTop w:val="0"/>
      <w:marBottom w:val="0"/>
      <w:divBdr>
        <w:top w:val="none" w:sz="0" w:space="0" w:color="auto"/>
        <w:left w:val="none" w:sz="0" w:space="0" w:color="auto"/>
        <w:bottom w:val="none" w:sz="0" w:space="0" w:color="auto"/>
        <w:right w:val="none" w:sz="0" w:space="0" w:color="auto"/>
      </w:divBdr>
    </w:div>
    <w:div w:id="17964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legislation.gov.au/Details/F2018L00795" TargetMode="External"/><Relationship Id="rId3" Type="http://schemas.openxmlformats.org/officeDocument/2006/relationships/customXml" Target="../customXml/item3.xml"/><Relationship Id="rId21" Type="http://schemas.openxmlformats.org/officeDocument/2006/relationships/hyperlink" Target="http://guides.dss.gov.au/guide-social-security-law/3/1/14/3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legislation.gov.au/Details/F2018L00795" TargetMode="External"/><Relationship Id="rId2" Type="http://schemas.openxmlformats.org/officeDocument/2006/relationships/customXml" Target="../customXml/item2.xml"/><Relationship Id="rId16" Type="http://schemas.openxmlformats.org/officeDocument/2006/relationships/hyperlink" Target="https://www.legislation.gov.au/Details/F2018L00795" TargetMode="External"/><Relationship Id="rId20" Type="http://schemas.openxmlformats.org/officeDocument/2006/relationships/hyperlink" Target="https://www.legislation.gov.au/Details/F2018L007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cid:image001.jpg@01D65542.17173E1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uides.dss.gov.au/guide-social-security-law/3/11/13/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guides.dss.gov.au/guide-social-security-law/3/1/1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6FE60FAC04450E40B804D8E0AAC781DB" ma:contentTypeVersion="" ma:contentTypeDescription="PDMS Document Site Content Type" ma:contentTypeScope="" ma:versionID="a8c1156c2787067573c9e66548659df1">
  <xsd:schema xmlns:xsd="http://www.w3.org/2001/XMLSchema" xmlns:xs="http://www.w3.org/2001/XMLSchema" xmlns:p="http://schemas.microsoft.com/office/2006/metadata/properties" xmlns:ns2="94638FFD-A814-4582-8C8D-196E9AA56AD2" targetNamespace="http://schemas.microsoft.com/office/2006/metadata/properties" ma:root="true" ma:fieldsID="e53fc4bf68ceef70c46c22ed7a884a23" ns2:_="">
    <xsd:import namespace="94638FFD-A814-4582-8C8D-196E9AA56AD2"/>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38FFD-A814-4582-8C8D-196E9AA56AD2"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ecurityClassification xmlns="94638FFD-A814-4582-8C8D-196E9AA56AD2" xsi:nil="true"/>
  </documentManagement>
</p:properties>
</file>

<file path=customXml/itemProps1.xml><?xml version="1.0" encoding="utf-8"?>
<ds:datastoreItem xmlns:ds="http://schemas.openxmlformats.org/officeDocument/2006/customXml" ds:itemID="{F2011894-88ED-4614-B90E-72EA097DCDF3}">
  <ds:schemaRefs>
    <ds:schemaRef ds:uri="http://schemas.microsoft.com/sharepoint/v3/contenttype/forms"/>
  </ds:schemaRefs>
</ds:datastoreItem>
</file>

<file path=customXml/itemProps2.xml><?xml version="1.0" encoding="utf-8"?>
<ds:datastoreItem xmlns:ds="http://schemas.openxmlformats.org/officeDocument/2006/customXml" ds:itemID="{7E0B7700-3751-425A-854B-F7FBB2CDB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38FFD-A814-4582-8C8D-196E9AA56A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43F22-2741-47E9-AA2B-C9D757DFB3B7}">
  <ds:schemaRefs>
    <ds:schemaRef ds:uri="http://schemas.openxmlformats.org/officeDocument/2006/bibliography"/>
  </ds:schemaRefs>
</ds:datastoreItem>
</file>

<file path=customXml/itemProps4.xml><?xml version="1.0" encoding="utf-8"?>
<ds:datastoreItem xmlns:ds="http://schemas.openxmlformats.org/officeDocument/2006/customXml" ds:itemID="{D5EAB274-CB4B-4A17-B26F-84E7159D3C5A}">
  <ds:schemaRefs>
    <ds:schemaRef ds:uri="http://schemas.microsoft.com/office/2006/metadata/properties"/>
    <ds:schemaRef ds:uri="http://www.w3.org/XML/1998/namespace"/>
    <ds:schemaRef ds:uri="94638FFD-A814-4582-8C8D-196E9AA56AD2"/>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5371</Words>
  <Characters>30615</Characters>
  <Application>Microsoft Office Word</Application>
  <DocSecurity>4</DocSecurity>
  <Lines>255</Lines>
  <Paragraphs>71</Paragraphs>
  <ScaleCrop>false</ScaleCrop>
  <HeadingPairs>
    <vt:vector size="2" baseType="variant">
      <vt:variant>
        <vt:lpstr>Title</vt:lpstr>
      </vt:variant>
      <vt:variant>
        <vt:i4>1</vt:i4>
      </vt:variant>
    </vt:vector>
  </HeadingPairs>
  <TitlesOfParts>
    <vt:vector size="1" baseType="lpstr">
      <vt:lpstr>Targeted Compliance Framework Public Data Report</vt:lpstr>
    </vt:vector>
  </TitlesOfParts>
  <Company/>
  <LinksUpToDate>false</LinksUpToDate>
  <CharactersWithSpaces>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Compliance Framework Public Data Report</dc:title>
  <dc:subject/>
  <dc:creator/>
  <cp:keywords/>
  <dc:description/>
  <cp:lastModifiedBy/>
  <cp:revision>1</cp:revision>
  <dcterms:created xsi:type="dcterms:W3CDTF">2021-06-18T01:05:00Z</dcterms:created>
  <dcterms:modified xsi:type="dcterms:W3CDTF">2021-06-18T01:05:00Z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0x010100266966F133664895A6EE3632470D45F5006FE60FAC04450E40B804D8E0AAC781DB</vt:lpwstr>
  </property>
</Properties>
</file>