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5E658" w14:textId="4A82D129" w:rsidR="009972DD" w:rsidRPr="004C2412" w:rsidRDefault="009972DD" w:rsidP="008A2A10">
      <w:pPr>
        <w:pStyle w:val="Title"/>
        <w:spacing w:before="0"/>
        <w:ind w:left="-142"/>
      </w:pPr>
      <w:r w:rsidRPr="004C2412">
        <w:rPr>
          <w:rFonts w:eastAsia="Times New Roman"/>
        </w:rPr>
        <w:t xml:space="preserve">Job Seeker Compliance Data – </w:t>
      </w:r>
      <w:r w:rsidR="006260F9">
        <w:rPr>
          <w:rFonts w:eastAsia="Times New Roman"/>
        </w:rPr>
        <w:t>June</w:t>
      </w:r>
      <w:r w:rsidR="006260F9" w:rsidRPr="004C2412">
        <w:rPr>
          <w:rFonts w:eastAsia="Times New Roman"/>
        </w:rPr>
        <w:t xml:space="preserve"> </w:t>
      </w:r>
      <w:r w:rsidR="007C5E25" w:rsidRPr="004C2412">
        <w:rPr>
          <w:rFonts w:eastAsia="Times New Roman"/>
        </w:rPr>
        <w:t>Quarter 2018</w:t>
      </w:r>
    </w:p>
    <w:sdt>
      <w:sdtPr>
        <w:rPr>
          <w:b w:val="0"/>
          <w:bCs/>
        </w:rPr>
        <w:id w:val="-1692446345"/>
        <w:docPartObj>
          <w:docPartGallery w:val="Table of Contents"/>
          <w:docPartUnique/>
        </w:docPartObj>
      </w:sdtPr>
      <w:sdtEndPr>
        <w:rPr>
          <w:bCs w:val="0"/>
          <w:noProof/>
          <w:sz w:val="20"/>
          <w:szCs w:val="20"/>
        </w:rPr>
      </w:sdtEndPr>
      <w:sdtContent>
        <w:p w14:paraId="40B60B88" w14:textId="77777777" w:rsidR="00347F02" w:rsidRPr="004C2412" w:rsidRDefault="003E5111" w:rsidP="008A2A10">
          <w:pPr>
            <w:pStyle w:val="TOC1"/>
          </w:pPr>
          <w:r w:rsidRPr="004C2412">
            <w:t>Table of Conte</w:t>
          </w:r>
          <w:bookmarkStart w:id="0" w:name="_GoBack"/>
          <w:bookmarkEnd w:id="0"/>
          <w:r w:rsidRPr="004C2412">
            <w:t>nts</w:t>
          </w:r>
          <w:r w:rsidR="00347F02" w:rsidRPr="004C2412">
            <w:t xml:space="preserve">: </w:t>
          </w:r>
        </w:p>
        <w:p w14:paraId="5F8ADBA4" w14:textId="2BE9D773" w:rsidR="00104CB3" w:rsidRDefault="003E5111">
          <w:pPr>
            <w:pStyle w:val="TOC1"/>
            <w:rPr>
              <w:rFonts w:asciiTheme="minorHAnsi" w:eastAsiaTheme="minorEastAsia" w:hAnsiTheme="minorHAnsi"/>
              <w:b w:val="0"/>
              <w:noProof/>
              <w:lang w:eastAsia="en-AU"/>
            </w:rPr>
          </w:pPr>
          <w:r w:rsidRPr="004C2412">
            <w:rPr>
              <w:bCs/>
              <w:sz w:val="20"/>
              <w:szCs w:val="20"/>
            </w:rPr>
            <w:fldChar w:fldCharType="begin"/>
          </w:r>
          <w:r w:rsidRPr="004C2412">
            <w:rPr>
              <w:sz w:val="20"/>
              <w:szCs w:val="20"/>
            </w:rPr>
            <w:instrText xml:space="preserve"> TOC \o "1-3" \h \z \u </w:instrText>
          </w:r>
          <w:r w:rsidRPr="004C2412">
            <w:rPr>
              <w:bCs/>
              <w:sz w:val="20"/>
              <w:szCs w:val="20"/>
            </w:rPr>
            <w:fldChar w:fldCharType="separate"/>
          </w:r>
          <w:hyperlink w:anchor="_Toc526864410" w:history="1">
            <w:r w:rsidR="00104CB3" w:rsidRPr="00D67863">
              <w:rPr>
                <w:rStyle w:val="Hyperlink"/>
                <w:noProof/>
              </w:rPr>
              <w:t>Part A</w:t>
            </w:r>
            <w:r w:rsidR="00104CB3">
              <w:rPr>
                <w:noProof/>
                <w:webHidden/>
              </w:rPr>
              <w:tab/>
            </w:r>
            <w:r w:rsidR="00104CB3">
              <w:rPr>
                <w:noProof/>
                <w:webHidden/>
              </w:rPr>
              <w:fldChar w:fldCharType="begin"/>
            </w:r>
            <w:r w:rsidR="00104CB3">
              <w:rPr>
                <w:noProof/>
                <w:webHidden/>
              </w:rPr>
              <w:instrText xml:space="preserve"> PAGEREF _Toc526864410 \h </w:instrText>
            </w:r>
            <w:r w:rsidR="00104CB3">
              <w:rPr>
                <w:noProof/>
                <w:webHidden/>
              </w:rPr>
            </w:r>
            <w:r w:rsidR="00104CB3">
              <w:rPr>
                <w:noProof/>
                <w:webHidden/>
              </w:rPr>
              <w:fldChar w:fldCharType="separate"/>
            </w:r>
            <w:r w:rsidR="00D85615">
              <w:rPr>
                <w:noProof/>
                <w:webHidden/>
              </w:rPr>
              <w:t>4</w:t>
            </w:r>
            <w:r w:rsidR="00104CB3">
              <w:rPr>
                <w:noProof/>
                <w:webHidden/>
              </w:rPr>
              <w:fldChar w:fldCharType="end"/>
            </w:r>
          </w:hyperlink>
        </w:p>
        <w:p w14:paraId="6D18FDFD" w14:textId="488A8695" w:rsidR="00104CB3" w:rsidRDefault="00104CB3">
          <w:pPr>
            <w:pStyle w:val="TOC1"/>
            <w:rPr>
              <w:rFonts w:asciiTheme="minorHAnsi" w:eastAsiaTheme="minorEastAsia" w:hAnsiTheme="minorHAnsi"/>
              <w:b w:val="0"/>
              <w:noProof/>
              <w:lang w:eastAsia="en-AU"/>
            </w:rPr>
          </w:pPr>
          <w:hyperlink w:anchor="_Toc526864411" w:history="1">
            <w:r w:rsidRPr="00D67863">
              <w:rPr>
                <w:rStyle w:val="Hyperlink"/>
                <w:noProof/>
              </w:rPr>
              <w:t>1 – Number of job seekers - as at 30 June 2018</w:t>
            </w:r>
            <w:r>
              <w:rPr>
                <w:noProof/>
                <w:webHidden/>
              </w:rPr>
              <w:tab/>
            </w:r>
            <w:r>
              <w:rPr>
                <w:noProof/>
                <w:webHidden/>
              </w:rPr>
              <w:fldChar w:fldCharType="begin"/>
            </w:r>
            <w:r>
              <w:rPr>
                <w:noProof/>
                <w:webHidden/>
              </w:rPr>
              <w:instrText xml:space="preserve"> PAGEREF _Toc526864411 \h </w:instrText>
            </w:r>
            <w:r>
              <w:rPr>
                <w:noProof/>
                <w:webHidden/>
              </w:rPr>
            </w:r>
            <w:r>
              <w:rPr>
                <w:noProof/>
                <w:webHidden/>
              </w:rPr>
              <w:fldChar w:fldCharType="separate"/>
            </w:r>
            <w:r w:rsidR="00D85615">
              <w:rPr>
                <w:noProof/>
                <w:webHidden/>
              </w:rPr>
              <w:t>4</w:t>
            </w:r>
            <w:r>
              <w:rPr>
                <w:noProof/>
                <w:webHidden/>
              </w:rPr>
              <w:fldChar w:fldCharType="end"/>
            </w:r>
          </w:hyperlink>
        </w:p>
        <w:p w14:paraId="72D4C3D3" w14:textId="64B45B1E" w:rsidR="00104CB3" w:rsidRDefault="00104CB3">
          <w:pPr>
            <w:pStyle w:val="TOC1"/>
            <w:rPr>
              <w:rFonts w:asciiTheme="minorHAnsi" w:eastAsiaTheme="minorEastAsia" w:hAnsiTheme="minorHAnsi"/>
              <w:b w:val="0"/>
              <w:noProof/>
              <w:lang w:eastAsia="en-AU"/>
            </w:rPr>
          </w:pPr>
          <w:hyperlink w:anchor="_Toc526864412" w:history="1">
            <w:r w:rsidRPr="00D67863">
              <w:rPr>
                <w:rStyle w:val="Hyperlink"/>
                <w:noProof/>
              </w:rPr>
              <w:t>2 – Job seekers with a Vulnerability Indicator - as at 30 June 2018</w:t>
            </w:r>
            <w:r>
              <w:rPr>
                <w:noProof/>
                <w:webHidden/>
              </w:rPr>
              <w:tab/>
            </w:r>
            <w:r>
              <w:rPr>
                <w:noProof/>
                <w:webHidden/>
              </w:rPr>
              <w:fldChar w:fldCharType="begin"/>
            </w:r>
            <w:r>
              <w:rPr>
                <w:noProof/>
                <w:webHidden/>
              </w:rPr>
              <w:instrText xml:space="preserve"> PAGEREF _Toc526864412 \h </w:instrText>
            </w:r>
            <w:r>
              <w:rPr>
                <w:noProof/>
                <w:webHidden/>
              </w:rPr>
            </w:r>
            <w:r>
              <w:rPr>
                <w:noProof/>
                <w:webHidden/>
              </w:rPr>
              <w:fldChar w:fldCharType="separate"/>
            </w:r>
            <w:r w:rsidR="00D85615">
              <w:rPr>
                <w:noProof/>
                <w:webHidden/>
              </w:rPr>
              <w:t>4</w:t>
            </w:r>
            <w:r>
              <w:rPr>
                <w:noProof/>
                <w:webHidden/>
              </w:rPr>
              <w:fldChar w:fldCharType="end"/>
            </w:r>
          </w:hyperlink>
        </w:p>
        <w:p w14:paraId="67696BAA" w14:textId="21422FFB" w:rsidR="00104CB3" w:rsidRDefault="00104CB3">
          <w:pPr>
            <w:pStyle w:val="TOC1"/>
            <w:rPr>
              <w:rFonts w:asciiTheme="minorHAnsi" w:eastAsiaTheme="minorEastAsia" w:hAnsiTheme="minorHAnsi"/>
              <w:b w:val="0"/>
              <w:noProof/>
              <w:lang w:eastAsia="en-AU"/>
            </w:rPr>
          </w:pPr>
          <w:hyperlink w:anchor="_Toc526864413" w:history="1">
            <w:r w:rsidRPr="00D67863">
              <w:rPr>
                <w:rStyle w:val="Hyperlink"/>
                <w:noProof/>
              </w:rPr>
              <w:t>3 – Attendance at Appointments -</w:t>
            </w:r>
            <w:r w:rsidRPr="00D67863">
              <w:rPr>
                <w:rStyle w:val="Hyperlink"/>
                <w:rFonts w:cs="Arial"/>
                <w:noProof/>
              </w:rPr>
              <w:t xml:space="preserve"> 1 April to 30 June 2018 and 1 July 2017 to 30 June 2018</w:t>
            </w:r>
            <w:r>
              <w:rPr>
                <w:noProof/>
                <w:webHidden/>
              </w:rPr>
              <w:tab/>
            </w:r>
            <w:r>
              <w:rPr>
                <w:noProof/>
                <w:webHidden/>
              </w:rPr>
              <w:fldChar w:fldCharType="begin"/>
            </w:r>
            <w:r>
              <w:rPr>
                <w:noProof/>
                <w:webHidden/>
              </w:rPr>
              <w:instrText xml:space="preserve"> PAGEREF _Toc526864413 \h </w:instrText>
            </w:r>
            <w:r>
              <w:rPr>
                <w:noProof/>
                <w:webHidden/>
              </w:rPr>
            </w:r>
            <w:r>
              <w:rPr>
                <w:noProof/>
                <w:webHidden/>
              </w:rPr>
              <w:fldChar w:fldCharType="separate"/>
            </w:r>
            <w:r w:rsidR="00D85615">
              <w:rPr>
                <w:noProof/>
                <w:webHidden/>
              </w:rPr>
              <w:t>4</w:t>
            </w:r>
            <w:r>
              <w:rPr>
                <w:noProof/>
                <w:webHidden/>
              </w:rPr>
              <w:fldChar w:fldCharType="end"/>
            </w:r>
          </w:hyperlink>
        </w:p>
        <w:p w14:paraId="525435E5" w14:textId="01FF3927" w:rsidR="00104CB3" w:rsidRDefault="00104CB3">
          <w:pPr>
            <w:pStyle w:val="TOC3"/>
            <w:rPr>
              <w:rFonts w:asciiTheme="minorHAnsi" w:eastAsiaTheme="minorEastAsia" w:hAnsiTheme="minorHAnsi"/>
              <w:lang w:eastAsia="en-AU"/>
            </w:rPr>
          </w:pPr>
          <w:hyperlink w:anchor="_Toc526864414" w:history="1">
            <w:r w:rsidRPr="00D67863">
              <w:rPr>
                <w:rStyle w:val="Hyperlink"/>
              </w:rPr>
              <w:t>3 a – Attendance at Appointments with employment services providers - 1 April to 30 June 2018</w:t>
            </w:r>
            <w:r>
              <w:rPr>
                <w:webHidden/>
              </w:rPr>
              <w:tab/>
            </w:r>
            <w:r>
              <w:rPr>
                <w:webHidden/>
              </w:rPr>
              <w:fldChar w:fldCharType="begin"/>
            </w:r>
            <w:r>
              <w:rPr>
                <w:webHidden/>
              </w:rPr>
              <w:instrText xml:space="preserve"> PAGEREF _Toc526864414 \h </w:instrText>
            </w:r>
            <w:r>
              <w:rPr>
                <w:webHidden/>
              </w:rPr>
            </w:r>
            <w:r>
              <w:rPr>
                <w:webHidden/>
              </w:rPr>
              <w:fldChar w:fldCharType="separate"/>
            </w:r>
            <w:r w:rsidR="00D85615">
              <w:rPr>
                <w:webHidden/>
              </w:rPr>
              <w:t>4</w:t>
            </w:r>
            <w:r>
              <w:rPr>
                <w:webHidden/>
              </w:rPr>
              <w:fldChar w:fldCharType="end"/>
            </w:r>
          </w:hyperlink>
        </w:p>
        <w:p w14:paraId="03A46391" w14:textId="36E5E3A6" w:rsidR="00104CB3" w:rsidRDefault="00104CB3">
          <w:pPr>
            <w:pStyle w:val="TOC3"/>
            <w:rPr>
              <w:rFonts w:asciiTheme="minorHAnsi" w:eastAsiaTheme="minorEastAsia" w:hAnsiTheme="minorHAnsi"/>
              <w:lang w:eastAsia="en-AU"/>
            </w:rPr>
          </w:pPr>
          <w:hyperlink w:anchor="_Toc526864415" w:history="1">
            <w:r w:rsidRPr="00D67863">
              <w:rPr>
                <w:rStyle w:val="Hyperlink"/>
              </w:rPr>
              <w:t>3 b – Attendance at Appointments with employment services providers - 1 July 2017 to 30 June 2018</w:t>
            </w:r>
            <w:r>
              <w:rPr>
                <w:webHidden/>
              </w:rPr>
              <w:tab/>
            </w:r>
            <w:r>
              <w:rPr>
                <w:webHidden/>
              </w:rPr>
              <w:fldChar w:fldCharType="begin"/>
            </w:r>
            <w:r>
              <w:rPr>
                <w:webHidden/>
              </w:rPr>
              <w:instrText xml:space="preserve"> PAGEREF _Toc526864415 \h </w:instrText>
            </w:r>
            <w:r>
              <w:rPr>
                <w:webHidden/>
              </w:rPr>
            </w:r>
            <w:r>
              <w:rPr>
                <w:webHidden/>
              </w:rPr>
              <w:fldChar w:fldCharType="separate"/>
            </w:r>
            <w:r w:rsidR="00D85615">
              <w:rPr>
                <w:webHidden/>
              </w:rPr>
              <w:t>5</w:t>
            </w:r>
            <w:r>
              <w:rPr>
                <w:webHidden/>
              </w:rPr>
              <w:fldChar w:fldCharType="end"/>
            </w:r>
          </w:hyperlink>
        </w:p>
        <w:p w14:paraId="548C6F31" w14:textId="3E17F10A" w:rsidR="00104CB3" w:rsidRDefault="00104CB3">
          <w:pPr>
            <w:pStyle w:val="TOC3"/>
            <w:rPr>
              <w:rFonts w:asciiTheme="minorHAnsi" w:eastAsiaTheme="minorEastAsia" w:hAnsiTheme="minorHAnsi"/>
              <w:lang w:eastAsia="en-AU"/>
            </w:rPr>
          </w:pPr>
          <w:hyperlink w:anchor="_Toc526864416" w:history="1">
            <w:r w:rsidRPr="00D67863">
              <w:rPr>
                <w:rStyle w:val="Hyperlink"/>
              </w:rPr>
              <w:t>3 c – Attendance at Re-engagement Appointments with employment services providers - 1 April to 30 June 2018</w:t>
            </w:r>
            <w:r>
              <w:rPr>
                <w:webHidden/>
              </w:rPr>
              <w:tab/>
            </w:r>
            <w:r>
              <w:rPr>
                <w:webHidden/>
              </w:rPr>
              <w:fldChar w:fldCharType="begin"/>
            </w:r>
            <w:r>
              <w:rPr>
                <w:webHidden/>
              </w:rPr>
              <w:instrText xml:space="preserve"> PAGEREF _Toc526864416 \h </w:instrText>
            </w:r>
            <w:r>
              <w:rPr>
                <w:webHidden/>
              </w:rPr>
            </w:r>
            <w:r>
              <w:rPr>
                <w:webHidden/>
              </w:rPr>
              <w:fldChar w:fldCharType="separate"/>
            </w:r>
            <w:r w:rsidR="00D85615">
              <w:rPr>
                <w:webHidden/>
              </w:rPr>
              <w:t>5</w:t>
            </w:r>
            <w:r>
              <w:rPr>
                <w:webHidden/>
              </w:rPr>
              <w:fldChar w:fldCharType="end"/>
            </w:r>
          </w:hyperlink>
        </w:p>
        <w:p w14:paraId="2A928983" w14:textId="4F1ECC4A" w:rsidR="00104CB3" w:rsidRDefault="00104CB3">
          <w:pPr>
            <w:pStyle w:val="TOC3"/>
            <w:rPr>
              <w:rFonts w:asciiTheme="minorHAnsi" w:eastAsiaTheme="minorEastAsia" w:hAnsiTheme="minorHAnsi"/>
              <w:lang w:eastAsia="en-AU"/>
            </w:rPr>
          </w:pPr>
          <w:hyperlink w:anchor="_Toc526864417" w:history="1">
            <w:r w:rsidRPr="00D67863">
              <w:rPr>
                <w:rStyle w:val="Hyperlink"/>
              </w:rPr>
              <w:t>3 d – Attendance at Re-engagement Appointments with employment services providers - 1 July 2017 to 30 June 2018</w:t>
            </w:r>
            <w:r>
              <w:rPr>
                <w:webHidden/>
              </w:rPr>
              <w:tab/>
            </w:r>
            <w:r>
              <w:rPr>
                <w:webHidden/>
              </w:rPr>
              <w:fldChar w:fldCharType="begin"/>
            </w:r>
            <w:r>
              <w:rPr>
                <w:webHidden/>
              </w:rPr>
              <w:instrText xml:space="preserve"> PAGEREF _Toc526864417 \h </w:instrText>
            </w:r>
            <w:r>
              <w:rPr>
                <w:webHidden/>
              </w:rPr>
            </w:r>
            <w:r>
              <w:rPr>
                <w:webHidden/>
              </w:rPr>
              <w:fldChar w:fldCharType="separate"/>
            </w:r>
            <w:r w:rsidR="00D85615">
              <w:rPr>
                <w:webHidden/>
              </w:rPr>
              <w:t>5</w:t>
            </w:r>
            <w:r>
              <w:rPr>
                <w:webHidden/>
              </w:rPr>
              <w:fldChar w:fldCharType="end"/>
            </w:r>
          </w:hyperlink>
        </w:p>
        <w:p w14:paraId="52B230D8" w14:textId="11C8F56C" w:rsidR="00104CB3" w:rsidRDefault="00104CB3">
          <w:pPr>
            <w:pStyle w:val="TOC1"/>
            <w:rPr>
              <w:rFonts w:asciiTheme="minorHAnsi" w:eastAsiaTheme="minorEastAsia" w:hAnsiTheme="minorHAnsi"/>
              <w:b w:val="0"/>
              <w:noProof/>
              <w:lang w:eastAsia="en-AU"/>
            </w:rPr>
          </w:pPr>
          <w:hyperlink w:anchor="_Toc526864418" w:history="1">
            <w:r w:rsidRPr="00D67863">
              <w:rPr>
                <w:rStyle w:val="Hyperlink"/>
                <w:rFonts w:cs="Arial"/>
                <w:noProof/>
              </w:rPr>
              <w:t xml:space="preserve">4 </w:t>
            </w:r>
            <w:r w:rsidRPr="00D67863">
              <w:rPr>
                <w:rStyle w:val="Hyperlink"/>
                <w:noProof/>
              </w:rPr>
              <w:t xml:space="preserve">– </w:t>
            </w:r>
            <w:r w:rsidRPr="00D67863">
              <w:rPr>
                <w:rStyle w:val="Hyperlink"/>
                <w:rFonts w:cs="Arial"/>
                <w:noProof/>
              </w:rPr>
              <w:t>Income Support payment suspensions for non-attendance at appointments/activities - 1 April to 30 June 2018 and 1 July 2017 to 30 June 2018</w:t>
            </w:r>
            <w:r>
              <w:rPr>
                <w:noProof/>
                <w:webHidden/>
              </w:rPr>
              <w:tab/>
            </w:r>
            <w:r>
              <w:rPr>
                <w:noProof/>
                <w:webHidden/>
              </w:rPr>
              <w:fldChar w:fldCharType="begin"/>
            </w:r>
            <w:r>
              <w:rPr>
                <w:noProof/>
                <w:webHidden/>
              </w:rPr>
              <w:instrText xml:space="preserve"> PAGEREF _Toc526864418 \h </w:instrText>
            </w:r>
            <w:r>
              <w:rPr>
                <w:noProof/>
                <w:webHidden/>
              </w:rPr>
            </w:r>
            <w:r>
              <w:rPr>
                <w:noProof/>
                <w:webHidden/>
              </w:rPr>
              <w:fldChar w:fldCharType="separate"/>
            </w:r>
            <w:r w:rsidR="00D85615">
              <w:rPr>
                <w:noProof/>
                <w:webHidden/>
              </w:rPr>
              <w:t>6</w:t>
            </w:r>
            <w:r>
              <w:rPr>
                <w:noProof/>
                <w:webHidden/>
              </w:rPr>
              <w:fldChar w:fldCharType="end"/>
            </w:r>
          </w:hyperlink>
        </w:p>
        <w:p w14:paraId="1908A889" w14:textId="5FAA2E75" w:rsidR="00104CB3" w:rsidRDefault="00104CB3">
          <w:pPr>
            <w:pStyle w:val="TOC3"/>
            <w:rPr>
              <w:rFonts w:asciiTheme="minorHAnsi" w:eastAsiaTheme="minorEastAsia" w:hAnsiTheme="minorHAnsi"/>
              <w:lang w:eastAsia="en-AU"/>
            </w:rPr>
          </w:pPr>
          <w:hyperlink w:anchor="_Toc526864419" w:history="1">
            <w:r w:rsidRPr="00D67863">
              <w:rPr>
                <w:rStyle w:val="Hyperlink"/>
              </w:rPr>
              <w:t>4 a – Income Support payment suspensions for non-attendance at appointments/activities – 1 April to 30 June 2018</w:t>
            </w:r>
            <w:r>
              <w:rPr>
                <w:webHidden/>
              </w:rPr>
              <w:tab/>
            </w:r>
            <w:r>
              <w:rPr>
                <w:webHidden/>
              </w:rPr>
              <w:fldChar w:fldCharType="begin"/>
            </w:r>
            <w:r>
              <w:rPr>
                <w:webHidden/>
              </w:rPr>
              <w:instrText xml:space="preserve"> PAGEREF _Toc526864419 \h </w:instrText>
            </w:r>
            <w:r>
              <w:rPr>
                <w:webHidden/>
              </w:rPr>
            </w:r>
            <w:r>
              <w:rPr>
                <w:webHidden/>
              </w:rPr>
              <w:fldChar w:fldCharType="separate"/>
            </w:r>
            <w:r w:rsidR="00D85615">
              <w:rPr>
                <w:webHidden/>
              </w:rPr>
              <w:t>6</w:t>
            </w:r>
            <w:r>
              <w:rPr>
                <w:webHidden/>
              </w:rPr>
              <w:fldChar w:fldCharType="end"/>
            </w:r>
          </w:hyperlink>
        </w:p>
        <w:p w14:paraId="7C364FFB" w14:textId="0B0730DA" w:rsidR="00104CB3" w:rsidRDefault="00104CB3">
          <w:pPr>
            <w:pStyle w:val="TOC3"/>
            <w:rPr>
              <w:rFonts w:asciiTheme="minorHAnsi" w:eastAsiaTheme="minorEastAsia" w:hAnsiTheme="minorHAnsi"/>
              <w:lang w:eastAsia="en-AU"/>
            </w:rPr>
          </w:pPr>
          <w:hyperlink w:anchor="_Toc526864420" w:history="1">
            <w:r w:rsidRPr="00D67863">
              <w:rPr>
                <w:rStyle w:val="Hyperlink"/>
              </w:rPr>
              <w:t>4 b – Income Support payment suspensions for non-attendance at appointments/activities – 1 July 2017 to 30 June 2018</w:t>
            </w:r>
            <w:r>
              <w:rPr>
                <w:webHidden/>
              </w:rPr>
              <w:tab/>
            </w:r>
            <w:r>
              <w:rPr>
                <w:webHidden/>
              </w:rPr>
              <w:fldChar w:fldCharType="begin"/>
            </w:r>
            <w:r>
              <w:rPr>
                <w:webHidden/>
              </w:rPr>
              <w:instrText xml:space="preserve"> PAGEREF _Toc526864420 \h </w:instrText>
            </w:r>
            <w:r>
              <w:rPr>
                <w:webHidden/>
              </w:rPr>
            </w:r>
            <w:r>
              <w:rPr>
                <w:webHidden/>
              </w:rPr>
              <w:fldChar w:fldCharType="separate"/>
            </w:r>
            <w:r w:rsidR="00D85615">
              <w:rPr>
                <w:webHidden/>
              </w:rPr>
              <w:t>6</w:t>
            </w:r>
            <w:r>
              <w:rPr>
                <w:webHidden/>
              </w:rPr>
              <w:fldChar w:fldCharType="end"/>
            </w:r>
          </w:hyperlink>
        </w:p>
        <w:p w14:paraId="4AA74393" w14:textId="7BD8C31B" w:rsidR="00104CB3" w:rsidRDefault="00104CB3">
          <w:pPr>
            <w:pStyle w:val="TOC1"/>
            <w:rPr>
              <w:rFonts w:asciiTheme="minorHAnsi" w:eastAsiaTheme="minorEastAsia" w:hAnsiTheme="minorHAnsi"/>
              <w:b w:val="0"/>
              <w:noProof/>
              <w:lang w:eastAsia="en-AU"/>
            </w:rPr>
          </w:pPr>
          <w:hyperlink w:anchor="_Toc526864421" w:history="1">
            <w:r w:rsidRPr="00D67863">
              <w:rPr>
                <w:rStyle w:val="Hyperlink"/>
                <w:rFonts w:cs="Arial"/>
                <w:noProof/>
              </w:rPr>
              <w:t xml:space="preserve">5 </w:t>
            </w:r>
            <w:r w:rsidRPr="00D67863">
              <w:rPr>
                <w:rStyle w:val="Hyperlink"/>
                <w:noProof/>
              </w:rPr>
              <w:t xml:space="preserve">– </w:t>
            </w:r>
            <w:r w:rsidRPr="00D67863">
              <w:rPr>
                <w:rStyle w:val="Hyperlink"/>
                <w:rFonts w:cs="Arial"/>
                <w:noProof/>
              </w:rPr>
              <w:t>Numbers</w:t>
            </w:r>
            <w:r w:rsidRPr="00D67863">
              <w:rPr>
                <w:rStyle w:val="Hyperlink"/>
                <w:noProof/>
              </w:rPr>
              <w:t xml:space="preserve"> of Non-Attendance Reports, Participation Reports and Provider Appointment Reports - 1 April to 30 June 2018 and 1 July 2017 to 30 June 2018</w:t>
            </w:r>
            <w:r>
              <w:rPr>
                <w:noProof/>
                <w:webHidden/>
              </w:rPr>
              <w:tab/>
            </w:r>
            <w:r>
              <w:rPr>
                <w:noProof/>
                <w:webHidden/>
              </w:rPr>
              <w:fldChar w:fldCharType="begin"/>
            </w:r>
            <w:r>
              <w:rPr>
                <w:noProof/>
                <w:webHidden/>
              </w:rPr>
              <w:instrText xml:space="preserve"> PAGEREF _Toc526864421 \h </w:instrText>
            </w:r>
            <w:r>
              <w:rPr>
                <w:noProof/>
                <w:webHidden/>
              </w:rPr>
            </w:r>
            <w:r>
              <w:rPr>
                <w:noProof/>
                <w:webHidden/>
              </w:rPr>
              <w:fldChar w:fldCharType="separate"/>
            </w:r>
            <w:r w:rsidR="00D85615">
              <w:rPr>
                <w:noProof/>
                <w:webHidden/>
              </w:rPr>
              <w:t>7</w:t>
            </w:r>
            <w:r>
              <w:rPr>
                <w:noProof/>
                <w:webHidden/>
              </w:rPr>
              <w:fldChar w:fldCharType="end"/>
            </w:r>
          </w:hyperlink>
        </w:p>
        <w:p w14:paraId="0DD82DC1" w14:textId="36ADE430" w:rsidR="00104CB3" w:rsidRDefault="00104CB3">
          <w:pPr>
            <w:pStyle w:val="TOC3"/>
            <w:rPr>
              <w:rFonts w:asciiTheme="minorHAnsi" w:eastAsiaTheme="minorEastAsia" w:hAnsiTheme="minorHAnsi"/>
              <w:lang w:eastAsia="en-AU"/>
            </w:rPr>
          </w:pPr>
          <w:hyperlink w:anchor="_Toc526864422" w:history="1">
            <w:r w:rsidRPr="00D67863">
              <w:rPr>
                <w:rStyle w:val="Hyperlink"/>
              </w:rPr>
              <w:t>5 a – Numbers of Non-Attendance Reports, Participation Reports and Provider Appointment Reports – 1 April to 30 June 2018</w:t>
            </w:r>
            <w:r>
              <w:rPr>
                <w:webHidden/>
              </w:rPr>
              <w:tab/>
            </w:r>
            <w:r>
              <w:rPr>
                <w:webHidden/>
              </w:rPr>
              <w:fldChar w:fldCharType="begin"/>
            </w:r>
            <w:r>
              <w:rPr>
                <w:webHidden/>
              </w:rPr>
              <w:instrText xml:space="preserve"> PAGEREF _Toc526864422 \h </w:instrText>
            </w:r>
            <w:r>
              <w:rPr>
                <w:webHidden/>
              </w:rPr>
            </w:r>
            <w:r>
              <w:rPr>
                <w:webHidden/>
              </w:rPr>
              <w:fldChar w:fldCharType="separate"/>
            </w:r>
            <w:r w:rsidR="00D85615">
              <w:rPr>
                <w:webHidden/>
              </w:rPr>
              <w:t>7</w:t>
            </w:r>
            <w:r>
              <w:rPr>
                <w:webHidden/>
              </w:rPr>
              <w:fldChar w:fldCharType="end"/>
            </w:r>
          </w:hyperlink>
        </w:p>
        <w:p w14:paraId="3960064D" w14:textId="550EAD49" w:rsidR="00104CB3" w:rsidRDefault="00104CB3">
          <w:pPr>
            <w:pStyle w:val="TOC3"/>
            <w:rPr>
              <w:rFonts w:asciiTheme="minorHAnsi" w:eastAsiaTheme="minorEastAsia" w:hAnsiTheme="minorHAnsi"/>
              <w:lang w:eastAsia="en-AU"/>
            </w:rPr>
          </w:pPr>
          <w:hyperlink w:anchor="_Toc526864423" w:history="1">
            <w:r w:rsidRPr="00D67863">
              <w:rPr>
                <w:rStyle w:val="Hyperlink"/>
              </w:rPr>
              <w:t>5 b – Numbers of Non-Attendance Reports, Participation Reports and Provider Appointment Reports – 1 June 2017 to 30 June 2018</w:t>
            </w:r>
            <w:r>
              <w:rPr>
                <w:webHidden/>
              </w:rPr>
              <w:tab/>
            </w:r>
            <w:r>
              <w:rPr>
                <w:webHidden/>
              </w:rPr>
              <w:fldChar w:fldCharType="begin"/>
            </w:r>
            <w:r>
              <w:rPr>
                <w:webHidden/>
              </w:rPr>
              <w:instrText xml:space="preserve"> PAGEREF _Toc526864423 \h </w:instrText>
            </w:r>
            <w:r>
              <w:rPr>
                <w:webHidden/>
              </w:rPr>
            </w:r>
            <w:r>
              <w:rPr>
                <w:webHidden/>
              </w:rPr>
              <w:fldChar w:fldCharType="separate"/>
            </w:r>
            <w:r w:rsidR="00D85615">
              <w:rPr>
                <w:webHidden/>
              </w:rPr>
              <w:t>8</w:t>
            </w:r>
            <w:r>
              <w:rPr>
                <w:webHidden/>
              </w:rPr>
              <w:fldChar w:fldCharType="end"/>
            </w:r>
          </w:hyperlink>
        </w:p>
        <w:p w14:paraId="33DE92DD" w14:textId="2D9A9F58" w:rsidR="00104CB3" w:rsidRDefault="00104CB3">
          <w:pPr>
            <w:pStyle w:val="TOC2"/>
            <w:rPr>
              <w:rFonts w:asciiTheme="minorHAnsi" w:eastAsiaTheme="minorEastAsia" w:hAnsiTheme="minorHAnsi"/>
              <w:b w:val="0"/>
              <w:lang w:eastAsia="en-AU"/>
            </w:rPr>
          </w:pPr>
          <w:hyperlink w:anchor="_Toc526864424" w:history="1">
            <w:r w:rsidRPr="00D67863">
              <w:rPr>
                <w:rStyle w:val="Hyperlink"/>
              </w:rPr>
              <w:t>6 – Reasons for providers reporting non-compliance to the Department of Human Services - 1 April to 30 June 2018 and 1 July 2017 to 30 June 2018</w:t>
            </w:r>
            <w:r>
              <w:rPr>
                <w:webHidden/>
              </w:rPr>
              <w:tab/>
            </w:r>
            <w:r>
              <w:rPr>
                <w:webHidden/>
              </w:rPr>
              <w:fldChar w:fldCharType="begin"/>
            </w:r>
            <w:r>
              <w:rPr>
                <w:webHidden/>
              </w:rPr>
              <w:instrText xml:space="preserve"> PAGEREF _Toc526864424 \h </w:instrText>
            </w:r>
            <w:r>
              <w:rPr>
                <w:webHidden/>
              </w:rPr>
            </w:r>
            <w:r>
              <w:rPr>
                <w:webHidden/>
              </w:rPr>
              <w:fldChar w:fldCharType="separate"/>
            </w:r>
            <w:r w:rsidR="00D85615">
              <w:rPr>
                <w:webHidden/>
              </w:rPr>
              <w:t>9</w:t>
            </w:r>
            <w:r>
              <w:rPr>
                <w:webHidden/>
              </w:rPr>
              <w:fldChar w:fldCharType="end"/>
            </w:r>
          </w:hyperlink>
        </w:p>
        <w:p w14:paraId="7CB4E86C" w14:textId="645FB9CC" w:rsidR="00104CB3" w:rsidRDefault="00104CB3">
          <w:pPr>
            <w:pStyle w:val="TOC3"/>
            <w:rPr>
              <w:rFonts w:asciiTheme="minorHAnsi" w:eastAsiaTheme="minorEastAsia" w:hAnsiTheme="minorHAnsi"/>
              <w:lang w:eastAsia="en-AU"/>
            </w:rPr>
          </w:pPr>
          <w:hyperlink w:anchor="_Toc526864425" w:history="1">
            <w:r w:rsidRPr="00D67863">
              <w:rPr>
                <w:rStyle w:val="Hyperlink"/>
              </w:rPr>
              <w:t>6 a – Reasons for providers reporting non-compliance to the Department of Human Services – 1 April to 30 June 2018</w:t>
            </w:r>
            <w:r>
              <w:rPr>
                <w:webHidden/>
              </w:rPr>
              <w:tab/>
            </w:r>
            <w:r>
              <w:rPr>
                <w:webHidden/>
              </w:rPr>
              <w:fldChar w:fldCharType="begin"/>
            </w:r>
            <w:r>
              <w:rPr>
                <w:webHidden/>
              </w:rPr>
              <w:instrText xml:space="preserve"> PAGEREF _Toc526864425 \h </w:instrText>
            </w:r>
            <w:r>
              <w:rPr>
                <w:webHidden/>
              </w:rPr>
            </w:r>
            <w:r>
              <w:rPr>
                <w:webHidden/>
              </w:rPr>
              <w:fldChar w:fldCharType="separate"/>
            </w:r>
            <w:r w:rsidR="00D85615">
              <w:rPr>
                <w:webHidden/>
              </w:rPr>
              <w:t>9</w:t>
            </w:r>
            <w:r>
              <w:rPr>
                <w:webHidden/>
              </w:rPr>
              <w:fldChar w:fldCharType="end"/>
            </w:r>
          </w:hyperlink>
        </w:p>
        <w:p w14:paraId="434563A8" w14:textId="6F70A69C" w:rsidR="00104CB3" w:rsidRDefault="00104CB3">
          <w:pPr>
            <w:pStyle w:val="TOC3"/>
            <w:rPr>
              <w:rFonts w:asciiTheme="minorHAnsi" w:eastAsiaTheme="minorEastAsia" w:hAnsiTheme="minorHAnsi"/>
              <w:lang w:eastAsia="en-AU"/>
            </w:rPr>
          </w:pPr>
          <w:hyperlink w:anchor="_Toc526864426" w:history="1">
            <w:r w:rsidRPr="00D67863">
              <w:rPr>
                <w:rStyle w:val="Hyperlink"/>
              </w:rPr>
              <w:t>6 b – Reasons for providers reporting non-compliance to the Department of Human Services – 1 July 2017 to 30 June 2018</w:t>
            </w:r>
            <w:r>
              <w:rPr>
                <w:webHidden/>
              </w:rPr>
              <w:tab/>
            </w:r>
            <w:r>
              <w:rPr>
                <w:webHidden/>
              </w:rPr>
              <w:fldChar w:fldCharType="begin"/>
            </w:r>
            <w:r>
              <w:rPr>
                <w:webHidden/>
              </w:rPr>
              <w:instrText xml:space="preserve"> PAGEREF _Toc526864426 \h </w:instrText>
            </w:r>
            <w:r>
              <w:rPr>
                <w:webHidden/>
              </w:rPr>
            </w:r>
            <w:r>
              <w:rPr>
                <w:webHidden/>
              </w:rPr>
              <w:fldChar w:fldCharType="separate"/>
            </w:r>
            <w:r w:rsidR="00D85615">
              <w:rPr>
                <w:webHidden/>
              </w:rPr>
              <w:t>9</w:t>
            </w:r>
            <w:r>
              <w:rPr>
                <w:webHidden/>
              </w:rPr>
              <w:fldChar w:fldCharType="end"/>
            </w:r>
          </w:hyperlink>
        </w:p>
        <w:p w14:paraId="580CF793" w14:textId="5D69E9F3" w:rsidR="00104CB3" w:rsidRDefault="00104CB3">
          <w:pPr>
            <w:pStyle w:val="TOC2"/>
            <w:rPr>
              <w:rFonts w:asciiTheme="minorHAnsi" w:eastAsiaTheme="minorEastAsia" w:hAnsiTheme="minorHAnsi"/>
              <w:b w:val="0"/>
              <w:lang w:eastAsia="en-AU"/>
            </w:rPr>
          </w:pPr>
          <w:hyperlink w:anchor="_Toc526864427" w:history="1">
            <w:r w:rsidRPr="00D67863">
              <w:rPr>
                <w:rStyle w:val="Hyperlink"/>
              </w:rPr>
              <w:t>7 – Department of Human Services responses to Provider Appointment Reports and Participation Reports - 1 April to 30 June 2018 and 1 July 2017 to 30 June 2018</w:t>
            </w:r>
            <w:r>
              <w:rPr>
                <w:webHidden/>
              </w:rPr>
              <w:tab/>
            </w:r>
            <w:r>
              <w:rPr>
                <w:webHidden/>
              </w:rPr>
              <w:fldChar w:fldCharType="begin"/>
            </w:r>
            <w:r>
              <w:rPr>
                <w:webHidden/>
              </w:rPr>
              <w:instrText xml:space="preserve"> PAGEREF _Toc526864427 \h </w:instrText>
            </w:r>
            <w:r>
              <w:rPr>
                <w:webHidden/>
              </w:rPr>
            </w:r>
            <w:r>
              <w:rPr>
                <w:webHidden/>
              </w:rPr>
              <w:fldChar w:fldCharType="separate"/>
            </w:r>
            <w:r w:rsidR="00D85615">
              <w:rPr>
                <w:webHidden/>
              </w:rPr>
              <w:t>10</w:t>
            </w:r>
            <w:r>
              <w:rPr>
                <w:webHidden/>
              </w:rPr>
              <w:fldChar w:fldCharType="end"/>
            </w:r>
          </w:hyperlink>
        </w:p>
        <w:p w14:paraId="0482B08D" w14:textId="311E5D51" w:rsidR="00104CB3" w:rsidRDefault="00104CB3">
          <w:pPr>
            <w:pStyle w:val="TOC3"/>
            <w:rPr>
              <w:rFonts w:asciiTheme="minorHAnsi" w:eastAsiaTheme="minorEastAsia" w:hAnsiTheme="minorHAnsi"/>
              <w:lang w:eastAsia="en-AU"/>
            </w:rPr>
          </w:pPr>
          <w:hyperlink w:anchor="_Toc526864428" w:history="1">
            <w:r w:rsidRPr="00D67863">
              <w:rPr>
                <w:rStyle w:val="Hyperlink"/>
              </w:rPr>
              <w:t>7 a – Department of Human Services responses to Provider Appointment Reports and Participation Reports - 1 April to 30 June 2018</w:t>
            </w:r>
            <w:r>
              <w:rPr>
                <w:webHidden/>
              </w:rPr>
              <w:tab/>
            </w:r>
            <w:r>
              <w:rPr>
                <w:webHidden/>
              </w:rPr>
              <w:fldChar w:fldCharType="begin"/>
            </w:r>
            <w:r>
              <w:rPr>
                <w:webHidden/>
              </w:rPr>
              <w:instrText xml:space="preserve"> PAGEREF _Toc526864428 \h </w:instrText>
            </w:r>
            <w:r>
              <w:rPr>
                <w:webHidden/>
              </w:rPr>
            </w:r>
            <w:r>
              <w:rPr>
                <w:webHidden/>
              </w:rPr>
              <w:fldChar w:fldCharType="separate"/>
            </w:r>
            <w:r w:rsidR="00D85615">
              <w:rPr>
                <w:webHidden/>
              </w:rPr>
              <w:t>10</w:t>
            </w:r>
            <w:r>
              <w:rPr>
                <w:webHidden/>
              </w:rPr>
              <w:fldChar w:fldCharType="end"/>
            </w:r>
          </w:hyperlink>
        </w:p>
        <w:p w14:paraId="24BBC526" w14:textId="02F78165" w:rsidR="00104CB3" w:rsidRDefault="00104CB3">
          <w:pPr>
            <w:pStyle w:val="TOC3"/>
            <w:rPr>
              <w:rFonts w:asciiTheme="minorHAnsi" w:eastAsiaTheme="minorEastAsia" w:hAnsiTheme="minorHAnsi"/>
              <w:lang w:eastAsia="en-AU"/>
            </w:rPr>
          </w:pPr>
          <w:hyperlink w:anchor="_Toc526864429" w:history="1">
            <w:r w:rsidRPr="00D67863">
              <w:rPr>
                <w:rStyle w:val="Hyperlink"/>
              </w:rPr>
              <w:t>7 b – Department of Human Services responses to Provider Appointment Reports and Participation Reports - 1 July 2017 to 30 June 2018</w:t>
            </w:r>
            <w:r>
              <w:rPr>
                <w:webHidden/>
              </w:rPr>
              <w:tab/>
            </w:r>
            <w:r>
              <w:rPr>
                <w:webHidden/>
              </w:rPr>
              <w:fldChar w:fldCharType="begin"/>
            </w:r>
            <w:r>
              <w:rPr>
                <w:webHidden/>
              </w:rPr>
              <w:instrText xml:space="preserve"> PAGEREF _Toc526864429 \h </w:instrText>
            </w:r>
            <w:r>
              <w:rPr>
                <w:webHidden/>
              </w:rPr>
            </w:r>
            <w:r>
              <w:rPr>
                <w:webHidden/>
              </w:rPr>
              <w:fldChar w:fldCharType="separate"/>
            </w:r>
            <w:r w:rsidR="00D85615">
              <w:rPr>
                <w:webHidden/>
              </w:rPr>
              <w:t>10</w:t>
            </w:r>
            <w:r>
              <w:rPr>
                <w:webHidden/>
              </w:rPr>
              <w:fldChar w:fldCharType="end"/>
            </w:r>
          </w:hyperlink>
        </w:p>
        <w:p w14:paraId="528717EC" w14:textId="61D05DF3" w:rsidR="00104CB3" w:rsidRDefault="00104CB3">
          <w:pPr>
            <w:pStyle w:val="TOC3"/>
            <w:rPr>
              <w:rFonts w:asciiTheme="minorHAnsi" w:eastAsiaTheme="minorEastAsia" w:hAnsiTheme="minorHAnsi"/>
              <w:lang w:eastAsia="en-AU"/>
            </w:rPr>
          </w:pPr>
          <w:hyperlink w:anchor="_Toc526864430" w:history="1">
            <w:r w:rsidRPr="00D67863">
              <w:rPr>
                <w:rStyle w:val="Hyperlink"/>
              </w:rPr>
              <w:t>7 c – Participation Failures applied by the Department of Human Services due to unacceptable reasons given by job seekers for non-attendance - 1 April to 30 June 2018</w:t>
            </w:r>
            <w:r>
              <w:rPr>
                <w:webHidden/>
              </w:rPr>
              <w:tab/>
            </w:r>
            <w:r>
              <w:rPr>
                <w:webHidden/>
              </w:rPr>
              <w:fldChar w:fldCharType="begin"/>
            </w:r>
            <w:r>
              <w:rPr>
                <w:webHidden/>
              </w:rPr>
              <w:instrText xml:space="preserve"> PAGEREF _Toc526864430 \h </w:instrText>
            </w:r>
            <w:r>
              <w:rPr>
                <w:webHidden/>
              </w:rPr>
            </w:r>
            <w:r>
              <w:rPr>
                <w:webHidden/>
              </w:rPr>
              <w:fldChar w:fldCharType="separate"/>
            </w:r>
            <w:r w:rsidR="00D85615">
              <w:rPr>
                <w:webHidden/>
              </w:rPr>
              <w:t>12</w:t>
            </w:r>
            <w:r>
              <w:rPr>
                <w:webHidden/>
              </w:rPr>
              <w:fldChar w:fldCharType="end"/>
            </w:r>
          </w:hyperlink>
        </w:p>
        <w:p w14:paraId="23AD9FC3" w14:textId="55980CC9" w:rsidR="00104CB3" w:rsidRDefault="00104CB3">
          <w:pPr>
            <w:pStyle w:val="TOC3"/>
            <w:rPr>
              <w:rFonts w:asciiTheme="minorHAnsi" w:eastAsiaTheme="minorEastAsia" w:hAnsiTheme="minorHAnsi"/>
              <w:lang w:eastAsia="en-AU"/>
            </w:rPr>
          </w:pPr>
          <w:hyperlink w:anchor="_Toc526864431" w:history="1">
            <w:r w:rsidRPr="00D67863">
              <w:rPr>
                <w:rStyle w:val="Hyperlink"/>
              </w:rPr>
              <w:t>7 d – Participation Failures applied by the Department of Human Services due to unacceptable reasons given by job seekers for non-attendance - 1 July 2017 to 30 June 2018</w:t>
            </w:r>
            <w:r>
              <w:rPr>
                <w:webHidden/>
              </w:rPr>
              <w:tab/>
            </w:r>
            <w:r>
              <w:rPr>
                <w:webHidden/>
              </w:rPr>
              <w:fldChar w:fldCharType="begin"/>
            </w:r>
            <w:r>
              <w:rPr>
                <w:webHidden/>
              </w:rPr>
              <w:instrText xml:space="preserve"> PAGEREF _Toc526864431 \h </w:instrText>
            </w:r>
            <w:r>
              <w:rPr>
                <w:webHidden/>
              </w:rPr>
            </w:r>
            <w:r>
              <w:rPr>
                <w:webHidden/>
              </w:rPr>
              <w:fldChar w:fldCharType="separate"/>
            </w:r>
            <w:r w:rsidR="00D85615">
              <w:rPr>
                <w:webHidden/>
              </w:rPr>
              <w:t>13</w:t>
            </w:r>
            <w:r>
              <w:rPr>
                <w:webHidden/>
              </w:rPr>
              <w:fldChar w:fldCharType="end"/>
            </w:r>
          </w:hyperlink>
        </w:p>
        <w:p w14:paraId="56D6CC50" w14:textId="46B72C7C" w:rsidR="00104CB3" w:rsidRDefault="00104CB3">
          <w:pPr>
            <w:pStyle w:val="TOC3"/>
            <w:rPr>
              <w:rFonts w:asciiTheme="minorHAnsi" w:eastAsiaTheme="minorEastAsia" w:hAnsiTheme="minorHAnsi"/>
              <w:lang w:eastAsia="en-AU"/>
            </w:rPr>
          </w:pPr>
          <w:hyperlink w:anchor="_Toc526864432" w:history="1">
            <w:r w:rsidRPr="00D67863">
              <w:rPr>
                <w:rStyle w:val="Hyperlink"/>
              </w:rPr>
              <w:t>7 e – Department of Human Services’ reasons for applying Provider Appointment Reports or Participation Reports - 1 April to 30 June 2018</w:t>
            </w:r>
            <w:r>
              <w:rPr>
                <w:webHidden/>
              </w:rPr>
              <w:tab/>
            </w:r>
            <w:r>
              <w:rPr>
                <w:webHidden/>
              </w:rPr>
              <w:fldChar w:fldCharType="begin"/>
            </w:r>
            <w:r>
              <w:rPr>
                <w:webHidden/>
              </w:rPr>
              <w:instrText xml:space="preserve"> PAGEREF _Toc526864432 \h </w:instrText>
            </w:r>
            <w:r>
              <w:rPr>
                <w:webHidden/>
              </w:rPr>
            </w:r>
            <w:r>
              <w:rPr>
                <w:webHidden/>
              </w:rPr>
              <w:fldChar w:fldCharType="separate"/>
            </w:r>
            <w:r w:rsidR="00D85615">
              <w:rPr>
                <w:webHidden/>
              </w:rPr>
              <w:t>14</w:t>
            </w:r>
            <w:r>
              <w:rPr>
                <w:webHidden/>
              </w:rPr>
              <w:fldChar w:fldCharType="end"/>
            </w:r>
          </w:hyperlink>
        </w:p>
        <w:p w14:paraId="0968F60D" w14:textId="3809F7CE" w:rsidR="00104CB3" w:rsidRDefault="00104CB3">
          <w:pPr>
            <w:pStyle w:val="TOC3"/>
            <w:rPr>
              <w:rFonts w:asciiTheme="minorHAnsi" w:eastAsiaTheme="minorEastAsia" w:hAnsiTheme="minorHAnsi"/>
              <w:lang w:eastAsia="en-AU"/>
            </w:rPr>
          </w:pPr>
          <w:hyperlink w:anchor="_Toc526864433" w:history="1">
            <w:r w:rsidRPr="00D67863">
              <w:rPr>
                <w:rStyle w:val="Hyperlink"/>
              </w:rPr>
              <w:t>7 f – Department of Human Services’ reasons for applying Provider Appointment Reports or Participation Reports - 1 July 2017 to 30 June 2018</w:t>
            </w:r>
            <w:r>
              <w:rPr>
                <w:webHidden/>
              </w:rPr>
              <w:tab/>
            </w:r>
            <w:r>
              <w:rPr>
                <w:webHidden/>
              </w:rPr>
              <w:fldChar w:fldCharType="begin"/>
            </w:r>
            <w:r>
              <w:rPr>
                <w:webHidden/>
              </w:rPr>
              <w:instrText xml:space="preserve"> PAGEREF _Toc526864433 \h </w:instrText>
            </w:r>
            <w:r>
              <w:rPr>
                <w:webHidden/>
              </w:rPr>
            </w:r>
            <w:r>
              <w:rPr>
                <w:webHidden/>
              </w:rPr>
              <w:fldChar w:fldCharType="separate"/>
            </w:r>
            <w:r w:rsidR="00D85615">
              <w:rPr>
                <w:webHidden/>
              </w:rPr>
              <w:t>15</w:t>
            </w:r>
            <w:r>
              <w:rPr>
                <w:webHidden/>
              </w:rPr>
              <w:fldChar w:fldCharType="end"/>
            </w:r>
          </w:hyperlink>
        </w:p>
        <w:p w14:paraId="1AB41429" w14:textId="1C49FCBA" w:rsidR="00104CB3" w:rsidRDefault="00104CB3">
          <w:pPr>
            <w:pStyle w:val="TOC3"/>
            <w:rPr>
              <w:rFonts w:asciiTheme="minorHAnsi" w:eastAsiaTheme="minorEastAsia" w:hAnsiTheme="minorHAnsi"/>
              <w:lang w:eastAsia="en-AU"/>
            </w:rPr>
          </w:pPr>
          <w:hyperlink w:anchor="_Toc526864434" w:history="1">
            <w:r w:rsidRPr="00D67863">
              <w:rPr>
                <w:rStyle w:val="Hyperlink"/>
              </w:rPr>
              <w:t>7 g – Department of Human Services’ reasons for rejecting Provider Appointment Reports and Participation Reports - 1 April to 30 June 2018</w:t>
            </w:r>
            <w:r>
              <w:rPr>
                <w:webHidden/>
              </w:rPr>
              <w:tab/>
            </w:r>
            <w:r>
              <w:rPr>
                <w:webHidden/>
              </w:rPr>
              <w:fldChar w:fldCharType="begin"/>
            </w:r>
            <w:r>
              <w:rPr>
                <w:webHidden/>
              </w:rPr>
              <w:instrText xml:space="preserve"> PAGEREF _Toc526864434 \h </w:instrText>
            </w:r>
            <w:r>
              <w:rPr>
                <w:webHidden/>
              </w:rPr>
            </w:r>
            <w:r>
              <w:rPr>
                <w:webHidden/>
              </w:rPr>
              <w:fldChar w:fldCharType="separate"/>
            </w:r>
            <w:r w:rsidR="00D85615">
              <w:rPr>
                <w:webHidden/>
              </w:rPr>
              <w:t>16</w:t>
            </w:r>
            <w:r>
              <w:rPr>
                <w:webHidden/>
              </w:rPr>
              <w:fldChar w:fldCharType="end"/>
            </w:r>
          </w:hyperlink>
        </w:p>
        <w:p w14:paraId="09762EA8" w14:textId="5BB4B382" w:rsidR="00104CB3" w:rsidRDefault="00104CB3">
          <w:pPr>
            <w:pStyle w:val="TOC3"/>
            <w:rPr>
              <w:rFonts w:asciiTheme="minorHAnsi" w:eastAsiaTheme="minorEastAsia" w:hAnsiTheme="minorHAnsi"/>
              <w:lang w:eastAsia="en-AU"/>
            </w:rPr>
          </w:pPr>
          <w:hyperlink w:anchor="_Toc526864435" w:history="1">
            <w:r w:rsidRPr="00D67863">
              <w:rPr>
                <w:rStyle w:val="Hyperlink"/>
              </w:rPr>
              <w:t>7 h – Department of Human Services’ reasons for rejecting Provider Appointment Reports and Participation Reports - 1 July 2017 to 30 June 2018</w:t>
            </w:r>
            <w:r>
              <w:rPr>
                <w:webHidden/>
              </w:rPr>
              <w:tab/>
            </w:r>
            <w:r>
              <w:rPr>
                <w:webHidden/>
              </w:rPr>
              <w:fldChar w:fldCharType="begin"/>
            </w:r>
            <w:r>
              <w:rPr>
                <w:webHidden/>
              </w:rPr>
              <w:instrText xml:space="preserve"> PAGEREF _Toc526864435 \h </w:instrText>
            </w:r>
            <w:r>
              <w:rPr>
                <w:webHidden/>
              </w:rPr>
            </w:r>
            <w:r>
              <w:rPr>
                <w:webHidden/>
              </w:rPr>
              <w:fldChar w:fldCharType="separate"/>
            </w:r>
            <w:r w:rsidR="00D85615">
              <w:rPr>
                <w:webHidden/>
              </w:rPr>
              <w:t>16</w:t>
            </w:r>
            <w:r>
              <w:rPr>
                <w:webHidden/>
              </w:rPr>
              <w:fldChar w:fldCharType="end"/>
            </w:r>
          </w:hyperlink>
        </w:p>
        <w:p w14:paraId="15E89AA2" w14:textId="39767E36" w:rsidR="00104CB3" w:rsidRDefault="00104CB3">
          <w:pPr>
            <w:pStyle w:val="TOC3"/>
            <w:rPr>
              <w:rFonts w:asciiTheme="minorHAnsi" w:eastAsiaTheme="minorEastAsia" w:hAnsiTheme="minorHAnsi"/>
              <w:lang w:eastAsia="en-AU"/>
            </w:rPr>
          </w:pPr>
          <w:hyperlink w:anchor="_Toc526864436" w:history="1">
            <w:r w:rsidRPr="00D67863">
              <w:rPr>
                <w:rStyle w:val="Hyperlink"/>
              </w:rPr>
              <w:t>7 i – Department of Human Services’ reasons for rejecting Provider Appointment Reports and Participation Reports: Reasonable Excuse - 1 April to 30 June 2018</w:t>
            </w:r>
            <w:r>
              <w:rPr>
                <w:webHidden/>
              </w:rPr>
              <w:tab/>
            </w:r>
            <w:r>
              <w:rPr>
                <w:webHidden/>
              </w:rPr>
              <w:fldChar w:fldCharType="begin"/>
            </w:r>
            <w:r>
              <w:rPr>
                <w:webHidden/>
              </w:rPr>
              <w:instrText xml:space="preserve"> PAGEREF _Toc526864436 \h </w:instrText>
            </w:r>
            <w:r>
              <w:rPr>
                <w:webHidden/>
              </w:rPr>
            </w:r>
            <w:r>
              <w:rPr>
                <w:webHidden/>
              </w:rPr>
              <w:fldChar w:fldCharType="separate"/>
            </w:r>
            <w:r w:rsidR="00D85615">
              <w:rPr>
                <w:webHidden/>
              </w:rPr>
              <w:t>17</w:t>
            </w:r>
            <w:r>
              <w:rPr>
                <w:webHidden/>
              </w:rPr>
              <w:fldChar w:fldCharType="end"/>
            </w:r>
          </w:hyperlink>
        </w:p>
        <w:p w14:paraId="1780E3CA" w14:textId="24A6822F" w:rsidR="00104CB3" w:rsidRDefault="00104CB3">
          <w:pPr>
            <w:pStyle w:val="TOC3"/>
            <w:rPr>
              <w:rFonts w:asciiTheme="minorHAnsi" w:eastAsiaTheme="minorEastAsia" w:hAnsiTheme="minorHAnsi"/>
              <w:lang w:eastAsia="en-AU"/>
            </w:rPr>
          </w:pPr>
          <w:hyperlink w:anchor="_Toc526864437" w:history="1">
            <w:r w:rsidRPr="00D67863">
              <w:rPr>
                <w:rStyle w:val="Hyperlink"/>
              </w:rPr>
              <w:t>7 j – Department of Human Services’ reasons for rejecting Provider Appointment Reports and Participation Reports: Reasonable Excuse - 1 July 2017 to 30 June 2018</w:t>
            </w:r>
            <w:r>
              <w:rPr>
                <w:webHidden/>
              </w:rPr>
              <w:tab/>
            </w:r>
            <w:r>
              <w:rPr>
                <w:webHidden/>
              </w:rPr>
              <w:fldChar w:fldCharType="begin"/>
            </w:r>
            <w:r>
              <w:rPr>
                <w:webHidden/>
              </w:rPr>
              <w:instrText xml:space="preserve"> PAGEREF _Toc526864437 \h </w:instrText>
            </w:r>
            <w:r>
              <w:rPr>
                <w:webHidden/>
              </w:rPr>
            </w:r>
            <w:r>
              <w:rPr>
                <w:webHidden/>
              </w:rPr>
              <w:fldChar w:fldCharType="separate"/>
            </w:r>
            <w:r w:rsidR="00D85615">
              <w:rPr>
                <w:webHidden/>
              </w:rPr>
              <w:t>17</w:t>
            </w:r>
            <w:r>
              <w:rPr>
                <w:webHidden/>
              </w:rPr>
              <w:fldChar w:fldCharType="end"/>
            </w:r>
          </w:hyperlink>
        </w:p>
        <w:p w14:paraId="46AF72EE" w14:textId="145A3253" w:rsidR="00104CB3" w:rsidRDefault="00104CB3">
          <w:pPr>
            <w:pStyle w:val="TOC2"/>
            <w:rPr>
              <w:rFonts w:asciiTheme="minorHAnsi" w:eastAsiaTheme="minorEastAsia" w:hAnsiTheme="minorHAnsi"/>
              <w:b w:val="0"/>
              <w:lang w:eastAsia="en-AU"/>
            </w:rPr>
          </w:pPr>
          <w:hyperlink w:anchor="_Toc526864438" w:history="1">
            <w:r w:rsidRPr="00D67863">
              <w:rPr>
                <w:rStyle w:val="Hyperlink"/>
              </w:rPr>
              <w:t>8 – Number of Compliance Reports Submitted per job seeker - as at 30 June 2018</w:t>
            </w:r>
            <w:r>
              <w:rPr>
                <w:webHidden/>
              </w:rPr>
              <w:tab/>
            </w:r>
            <w:r>
              <w:rPr>
                <w:webHidden/>
              </w:rPr>
              <w:fldChar w:fldCharType="begin"/>
            </w:r>
            <w:r>
              <w:rPr>
                <w:webHidden/>
              </w:rPr>
              <w:instrText xml:space="preserve"> PAGEREF _Toc526864438 \h </w:instrText>
            </w:r>
            <w:r>
              <w:rPr>
                <w:webHidden/>
              </w:rPr>
            </w:r>
            <w:r>
              <w:rPr>
                <w:webHidden/>
              </w:rPr>
              <w:fldChar w:fldCharType="separate"/>
            </w:r>
            <w:r w:rsidR="00D85615">
              <w:rPr>
                <w:webHidden/>
              </w:rPr>
              <w:t>18</w:t>
            </w:r>
            <w:r>
              <w:rPr>
                <w:webHidden/>
              </w:rPr>
              <w:fldChar w:fldCharType="end"/>
            </w:r>
          </w:hyperlink>
        </w:p>
        <w:p w14:paraId="53D8F74A" w14:textId="1186C4E2" w:rsidR="00104CB3" w:rsidRDefault="00104CB3">
          <w:pPr>
            <w:pStyle w:val="TOC2"/>
            <w:rPr>
              <w:rFonts w:asciiTheme="minorHAnsi" w:eastAsiaTheme="minorEastAsia" w:hAnsiTheme="minorHAnsi"/>
              <w:b w:val="0"/>
              <w:lang w:eastAsia="en-AU"/>
            </w:rPr>
          </w:pPr>
          <w:hyperlink w:anchor="_Toc526864439" w:history="1">
            <w:r w:rsidRPr="00D67863">
              <w:rPr>
                <w:rStyle w:val="Hyperlink"/>
              </w:rPr>
              <w:t>9 – Applied Participation Failures - 1 April to 30 June 2018, and in past 12 months as at 30 June 2018</w:t>
            </w:r>
            <w:r>
              <w:rPr>
                <w:webHidden/>
              </w:rPr>
              <w:tab/>
            </w:r>
            <w:r>
              <w:rPr>
                <w:webHidden/>
              </w:rPr>
              <w:fldChar w:fldCharType="begin"/>
            </w:r>
            <w:r>
              <w:rPr>
                <w:webHidden/>
              </w:rPr>
              <w:instrText xml:space="preserve"> PAGEREF _Toc526864439 \h </w:instrText>
            </w:r>
            <w:r>
              <w:rPr>
                <w:webHidden/>
              </w:rPr>
            </w:r>
            <w:r>
              <w:rPr>
                <w:webHidden/>
              </w:rPr>
              <w:fldChar w:fldCharType="separate"/>
            </w:r>
            <w:r w:rsidR="00D85615">
              <w:rPr>
                <w:webHidden/>
              </w:rPr>
              <w:t>19</w:t>
            </w:r>
            <w:r>
              <w:rPr>
                <w:webHidden/>
              </w:rPr>
              <w:fldChar w:fldCharType="end"/>
            </w:r>
          </w:hyperlink>
        </w:p>
        <w:p w14:paraId="4593C220" w14:textId="633143C3" w:rsidR="00104CB3" w:rsidRDefault="00104CB3">
          <w:pPr>
            <w:pStyle w:val="TOC2"/>
            <w:rPr>
              <w:rFonts w:asciiTheme="minorHAnsi" w:eastAsiaTheme="minorEastAsia" w:hAnsiTheme="minorHAnsi"/>
              <w:b w:val="0"/>
              <w:lang w:eastAsia="en-AU"/>
            </w:rPr>
          </w:pPr>
          <w:hyperlink w:anchor="_Toc526864440" w:history="1">
            <w:r w:rsidRPr="00D67863">
              <w:rPr>
                <w:rStyle w:val="Hyperlink"/>
              </w:rPr>
              <w:t>10 – Types of Participation Failures</w:t>
            </w:r>
            <w:r>
              <w:rPr>
                <w:webHidden/>
              </w:rPr>
              <w:tab/>
            </w:r>
            <w:r>
              <w:rPr>
                <w:webHidden/>
              </w:rPr>
              <w:fldChar w:fldCharType="begin"/>
            </w:r>
            <w:r>
              <w:rPr>
                <w:webHidden/>
              </w:rPr>
              <w:instrText xml:space="preserve"> PAGEREF _Toc526864440 \h </w:instrText>
            </w:r>
            <w:r>
              <w:rPr>
                <w:webHidden/>
              </w:rPr>
            </w:r>
            <w:r>
              <w:rPr>
                <w:webHidden/>
              </w:rPr>
              <w:fldChar w:fldCharType="separate"/>
            </w:r>
            <w:r w:rsidR="00D85615">
              <w:rPr>
                <w:webHidden/>
              </w:rPr>
              <w:t>19</w:t>
            </w:r>
            <w:r>
              <w:rPr>
                <w:webHidden/>
              </w:rPr>
              <w:fldChar w:fldCharType="end"/>
            </w:r>
          </w:hyperlink>
        </w:p>
        <w:p w14:paraId="508B2336" w14:textId="77E66B5C" w:rsidR="00104CB3" w:rsidRDefault="00104CB3">
          <w:pPr>
            <w:pStyle w:val="TOC3"/>
            <w:rPr>
              <w:rFonts w:asciiTheme="minorHAnsi" w:eastAsiaTheme="minorEastAsia" w:hAnsiTheme="minorHAnsi"/>
              <w:lang w:eastAsia="en-AU"/>
            </w:rPr>
          </w:pPr>
          <w:hyperlink w:anchor="_Toc526864441" w:history="1">
            <w:r w:rsidRPr="00D67863">
              <w:rPr>
                <w:rStyle w:val="Hyperlink"/>
              </w:rPr>
              <w:t>10 a – Types of Participation Failures - 1 April to 30 June 2018</w:t>
            </w:r>
            <w:r>
              <w:rPr>
                <w:webHidden/>
              </w:rPr>
              <w:tab/>
            </w:r>
            <w:r>
              <w:rPr>
                <w:webHidden/>
              </w:rPr>
              <w:fldChar w:fldCharType="begin"/>
            </w:r>
            <w:r>
              <w:rPr>
                <w:webHidden/>
              </w:rPr>
              <w:instrText xml:space="preserve"> PAGEREF _Toc526864441 \h </w:instrText>
            </w:r>
            <w:r>
              <w:rPr>
                <w:webHidden/>
              </w:rPr>
            </w:r>
            <w:r>
              <w:rPr>
                <w:webHidden/>
              </w:rPr>
              <w:fldChar w:fldCharType="separate"/>
            </w:r>
            <w:r w:rsidR="00D85615">
              <w:rPr>
                <w:webHidden/>
              </w:rPr>
              <w:t>19</w:t>
            </w:r>
            <w:r>
              <w:rPr>
                <w:webHidden/>
              </w:rPr>
              <w:fldChar w:fldCharType="end"/>
            </w:r>
          </w:hyperlink>
        </w:p>
        <w:p w14:paraId="04D2A371" w14:textId="018DEBAC" w:rsidR="00104CB3" w:rsidRDefault="00104CB3">
          <w:pPr>
            <w:pStyle w:val="TOC3"/>
            <w:rPr>
              <w:rFonts w:asciiTheme="minorHAnsi" w:eastAsiaTheme="minorEastAsia" w:hAnsiTheme="minorHAnsi"/>
              <w:lang w:eastAsia="en-AU"/>
            </w:rPr>
          </w:pPr>
          <w:hyperlink w:anchor="_Toc526864442" w:history="1">
            <w:r w:rsidRPr="00D67863">
              <w:rPr>
                <w:rStyle w:val="Hyperlink"/>
              </w:rPr>
              <w:t>10 b – Types of Participation Failures - 1 July 2017 to 30 June 2018</w:t>
            </w:r>
            <w:r>
              <w:rPr>
                <w:webHidden/>
              </w:rPr>
              <w:tab/>
            </w:r>
            <w:r>
              <w:rPr>
                <w:webHidden/>
              </w:rPr>
              <w:fldChar w:fldCharType="begin"/>
            </w:r>
            <w:r>
              <w:rPr>
                <w:webHidden/>
              </w:rPr>
              <w:instrText xml:space="preserve"> PAGEREF _Toc526864442 \h </w:instrText>
            </w:r>
            <w:r>
              <w:rPr>
                <w:webHidden/>
              </w:rPr>
            </w:r>
            <w:r>
              <w:rPr>
                <w:webHidden/>
              </w:rPr>
              <w:fldChar w:fldCharType="separate"/>
            </w:r>
            <w:r w:rsidR="00D85615">
              <w:rPr>
                <w:webHidden/>
              </w:rPr>
              <w:t>20</w:t>
            </w:r>
            <w:r>
              <w:rPr>
                <w:webHidden/>
              </w:rPr>
              <w:fldChar w:fldCharType="end"/>
            </w:r>
          </w:hyperlink>
        </w:p>
        <w:p w14:paraId="1FD4CAD8" w14:textId="01AF4B50" w:rsidR="00104CB3" w:rsidRDefault="00104CB3">
          <w:pPr>
            <w:pStyle w:val="TOC3"/>
            <w:rPr>
              <w:rFonts w:asciiTheme="minorHAnsi" w:eastAsiaTheme="minorEastAsia" w:hAnsiTheme="minorHAnsi"/>
              <w:lang w:eastAsia="en-AU"/>
            </w:rPr>
          </w:pPr>
          <w:hyperlink w:anchor="_Toc526864443" w:history="1">
            <w:r w:rsidRPr="00D67863">
              <w:rPr>
                <w:rStyle w:val="Hyperlink"/>
              </w:rPr>
              <w:t>10 c – Types of Participation Failures: Serious Failures - 1 April to 30 June 2018</w:t>
            </w:r>
            <w:r>
              <w:rPr>
                <w:webHidden/>
              </w:rPr>
              <w:tab/>
            </w:r>
            <w:r>
              <w:rPr>
                <w:webHidden/>
              </w:rPr>
              <w:fldChar w:fldCharType="begin"/>
            </w:r>
            <w:r>
              <w:rPr>
                <w:webHidden/>
              </w:rPr>
              <w:instrText xml:space="preserve"> PAGEREF _Toc526864443 \h </w:instrText>
            </w:r>
            <w:r>
              <w:rPr>
                <w:webHidden/>
              </w:rPr>
            </w:r>
            <w:r>
              <w:rPr>
                <w:webHidden/>
              </w:rPr>
              <w:fldChar w:fldCharType="separate"/>
            </w:r>
            <w:r w:rsidR="00D85615">
              <w:rPr>
                <w:webHidden/>
              </w:rPr>
              <w:t>20</w:t>
            </w:r>
            <w:r>
              <w:rPr>
                <w:webHidden/>
              </w:rPr>
              <w:fldChar w:fldCharType="end"/>
            </w:r>
          </w:hyperlink>
        </w:p>
        <w:p w14:paraId="41767B10" w14:textId="4E431DEE" w:rsidR="00104CB3" w:rsidRDefault="00104CB3">
          <w:pPr>
            <w:pStyle w:val="TOC3"/>
            <w:rPr>
              <w:rFonts w:asciiTheme="minorHAnsi" w:eastAsiaTheme="minorEastAsia" w:hAnsiTheme="minorHAnsi"/>
              <w:lang w:eastAsia="en-AU"/>
            </w:rPr>
          </w:pPr>
          <w:hyperlink w:anchor="_Toc526864444" w:history="1">
            <w:r w:rsidRPr="00D67863">
              <w:rPr>
                <w:rStyle w:val="Hyperlink"/>
              </w:rPr>
              <w:t>10 d – Types of Participation Failures: Serious Failures - 1 July 2017 to 30 June 2018</w:t>
            </w:r>
            <w:r>
              <w:rPr>
                <w:webHidden/>
              </w:rPr>
              <w:tab/>
            </w:r>
            <w:r>
              <w:rPr>
                <w:webHidden/>
              </w:rPr>
              <w:fldChar w:fldCharType="begin"/>
            </w:r>
            <w:r>
              <w:rPr>
                <w:webHidden/>
              </w:rPr>
              <w:instrText xml:space="preserve"> PAGEREF _Toc526864444 \h </w:instrText>
            </w:r>
            <w:r>
              <w:rPr>
                <w:webHidden/>
              </w:rPr>
            </w:r>
            <w:r>
              <w:rPr>
                <w:webHidden/>
              </w:rPr>
              <w:fldChar w:fldCharType="separate"/>
            </w:r>
            <w:r w:rsidR="00D85615">
              <w:rPr>
                <w:webHidden/>
              </w:rPr>
              <w:t>20</w:t>
            </w:r>
            <w:r>
              <w:rPr>
                <w:webHidden/>
              </w:rPr>
              <w:fldChar w:fldCharType="end"/>
            </w:r>
          </w:hyperlink>
        </w:p>
        <w:p w14:paraId="795BF04C" w14:textId="506B4027" w:rsidR="00104CB3" w:rsidRDefault="00104CB3">
          <w:pPr>
            <w:pStyle w:val="TOC2"/>
            <w:rPr>
              <w:rFonts w:asciiTheme="minorHAnsi" w:eastAsiaTheme="minorEastAsia" w:hAnsiTheme="minorHAnsi"/>
              <w:b w:val="0"/>
              <w:lang w:eastAsia="en-AU"/>
            </w:rPr>
          </w:pPr>
          <w:hyperlink w:anchor="_Toc526864445" w:history="1">
            <w:r w:rsidRPr="00D67863">
              <w:rPr>
                <w:rStyle w:val="Hyperlink"/>
              </w:rPr>
              <w:t>11 – Outcomes of Comprehensive Compliance Assessments (CCAs) - 1 April to 30 June 2018 and 1 July 2017 to 30 June 2018</w:t>
            </w:r>
            <w:r>
              <w:rPr>
                <w:webHidden/>
              </w:rPr>
              <w:tab/>
            </w:r>
            <w:r>
              <w:rPr>
                <w:webHidden/>
              </w:rPr>
              <w:fldChar w:fldCharType="begin"/>
            </w:r>
            <w:r>
              <w:rPr>
                <w:webHidden/>
              </w:rPr>
              <w:instrText xml:space="preserve"> PAGEREF _Toc526864445 \h </w:instrText>
            </w:r>
            <w:r>
              <w:rPr>
                <w:webHidden/>
              </w:rPr>
            </w:r>
            <w:r>
              <w:rPr>
                <w:webHidden/>
              </w:rPr>
              <w:fldChar w:fldCharType="separate"/>
            </w:r>
            <w:r w:rsidR="00D85615">
              <w:rPr>
                <w:webHidden/>
              </w:rPr>
              <w:t>21</w:t>
            </w:r>
            <w:r>
              <w:rPr>
                <w:webHidden/>
              </w:rPr>
              <w:fldChar w:fldCharType="end"/>
            </w:r>
          </w:hyperlink>
        </w:p>
        <w:p w14:paraId="571E8B7E" w14:textId="4CE3A3EE" w:rsidR="00104CB3" w:rsidRDefault="00104CB3">
          <w:pPr>
            <w:pStyle w:val="TOC3"/>
            <w:rPr>
              <w:rFonts w:asciiTheme="minorHAnsi" w:eastAsiaTheme="minorEastAsia" w:hAnsiTheme="minorHAnsi"/>
              <w:lang w:eastAsia="en-AU"/>
            </w:rPr>
          </w:pPr>
          <w:hyperlink w:anchor="_Toc526864446" w:history="1">
            <w:r w:rsidRPr="00D67863">
              <w:rPr>
                <w:rStyle w:val="Hyperlink"/>
              </w:rPr>
              <w:t>11 a – Outcomes of Comprehensive Compliance Assessments (CCAs) – 1 April to 30 June 2018</w:t>
            </w:r>
            <w:r>
              <w:rPr>
                <w:webHidden/>
              </w:rPr>
              <w:tab/>
            </w:r>
            <w:r>
              <w:rPr>
                <w:webHidden/>
              </w:rPr>
              <w:fldChar w:fldCharType="begin"/>
            </w:r>
            <w:r>
              <w:rPr>
                <w:webHidden/>
              </w:rPr>
              <w:instrText xml:space="preserve"> PAGEREF _Toc526864446 \h </w:instrText>
            </w:r>
            <w:r>
              <w:rPr>
                <w:webHidden/>
              </w:rPr>
            </w:r>
            <w:r>
              <w:rPr>
                <w:webHidden/>
              </w:rPr>
              <w:fldChar w:fldCharType="separate"/>
            </w:r>
            <w:r w:rsidR="00D85615">
              <w:rPr>
                <w:webHidden/>
              </w:rPr>
              <w:t>21</w:t>
            </w:r>
            <w:r>
              <w:rPr>
                <w:webHidden/>
              </w:rPr>
              <w:fldChar w:fldCharType="end"/>
            </w:r>
          </w:hyperlink>
        </w:p>
        <w:p w14:paraId="49DA5297" w14:textId="38A1DED2" w:rsidR="00104CB3" w:rsidRDefault="00104CB3">
          <w:pPr>
            <w:pStyle w:val="TOC3"/>
            <w:rPr>
              <w:rFonts w:asciiTheme="minorHAnsi" w:eastAsiaTheme="minorEastAsia" w:hAnsiTheme="minorHAnsi"/>
              <w:lang w:eastAsia="en-AU"/>
            </w:rPr>
          </w:pPr>
          <w:hyperlink w:anchor="_Toc526864447" w:history="1">
            <w:r w:rsidRPr="00D67863">
              <w:rPr>
                <w:rStyle w:val="Hyperlink"/>
              </w:rPr>
              <w:t>11 b – Outcomes of Comprehensive Compliance Assessments (CCAs) – 1 July 2017 to 30 June 2018</w:t>
            </w:r>
            <w:r>
              <w:rPr>
                <w:webHidden/>
              </w:rPr>
              <w:tab/>
            </w:r>
            <w:r>
              <w:rPr>
                <w:webHidden/>
              </w:rPr>
              <w:fldChar w:fldCharType="begin"/>
            </w:r>
            <w:r>
              <w:rPr>
                <w:webHidden/>
              </w:rPr>
              <w:instrText xml:space="preserve"> PAGEREF _Toc526864447 \h </w:instrText>
            </w:r>
            <w:r>
              <w:rPr>
                <w:webHidden/>
              </w:rPr>
            </w:r>
            <w:r>
              <w:rPr>
                <w:webHidden/>
              </w:rPr>
              <w:fldChar w:fldCharType="separate"/>
            </w:r>
            <w:r w:rsidR="00D85615">
              <w:rPr>
                <w:webHidden/>
              </w:rPr>
              <w:t>21</w:t>
            </w:r>
            <w:r>
              <w:rPr>
                <w:webHidden/>
              </w:rPr>
              <w:fldChar w:fldCharType="end"/>
            </w:r>
          </w:hyperlink>
        </w:p>
        <w:p w14:paraId="579F4152" w14:textId="26DF2C79" w:rsidR="00104CB3" w:rsidRDefault="00104CB3">
          <w:pPr>
            <w:pStyle w:val="TOC2"/>
            <w:rPr>
              <w:rFonts w:asciiTheme="minorHAnsi" w:eastAsiaTheme="minorEastAsia" w:hAnsiTheme="minorHAnsi"/>
              <w:b w:val="0"/>
              <w:lang w:eastAsia="en-AU"/>
            </w:rPr>
          </w:pPr>
          <w:hyperlink w:anchor="_Toc526864448" w:history="1">
            <w:r w:rsidRPr="00D67863">
              <w:rPr>
                <w:rStyle w:val="Hyperlink"/>
              </w:rPr>
              <w:t>12 – Sanctions for Serious Failures - 1 April to 30 June 2018 and 1 July 2017 to 30 June 2018</w:t>
            </w:r>
            <w:r>
              <w:rPr>
                <w:webHidden/>
              </w:rPr>
              <w:tab/>
            </w:r>
            <w:r>
              <w:rPr>
                <w:webHidden/>
              </w:rPr>
              <w:fldChar w:fldCharType="begin"/>
            </w:r>
            <w:r>
              <w:rPr>
                <w:webHidden/>
              </w:rPr>
              <w:instrText xml:space="preserve"> PAGEREF _Toc526864448 \h </w:instrText>
            </w:r>
            <w:r>
              <w:rPr>
                <w:webHidden/>
              </w:rPr>
            </w:r>
            <w:r>
              <w:rPr>
                <w:webHidden/>
              </w:rPr>
              <w:fldChar w:fldCharType="separate"/>
            </w:r>
            <w:r w:rsidR="00D85615">
              <w:rPr>
                <w:webHidden/>
              </w:rPr>
              <w:t>22</w:t>
            </w:r>
            <w:r>
              <w:rPr>
                <w:webHidden/>
              </w:rPr>
              <w:fldChar w:fldCharType="end"/>
            </w:r>
          </w:hyperlink>
        </w:p>
        <w:p w14:paraId="1399D829" w14:textId="2B1F21E3" w:rsidR="00104CB3" w:rsidRDefault="00104CB3">
          <w:pPr>
            <w:pStyle w:val="TOC3"/>
            <w:rPr>
              <w:rFonts w:asciiTheme="minorHAnsi" w:eastAsiaTheme="minorEastAsia" w:hAnsiTheme="minorHAnsi"/>
              <w:lang w:eastAsia="en-AU"/>
            </w:rPr>
          </w:pPr>
          <w:hyperlink w:anchor="_Toc526864449" w:history="1">
            <w:r w:rsidRPr="00D67863">
              <w:rPr>
                <w:rStyle w:val="Hyperlink"/>
              </w:rPr>
              <w:t>12 a – Sanctions for Serious Failures – 1 April to 30 June 2018</w:t>
            </w:r>
            <w:r>
              <w:rPr>
                <w:webHidden/>
              </w:rPr>
              <w:tab/>
            </w:r>
            <w:r>
              <w:rPr>
                <w:webHidden/>
              </w:rPr>
              <w:fldChar w:fldCharType="begin"/>
            </w:r>
            <w:r>
              <w:rPr>
                <w:webHidden/>
              </w:rPr>
              <w:instrText xml:space="preserve"> PAGEREF _Toc526864449 \h </w:instrText>
            </w:r>
            <w:r>
              <w:rPr>
                <w:webHidden/>
              </w:rPr>
            </w:r>
            <w:r>
              <w:rPr>
                <w:webHidden/>
              </w:rPr>
              <w:fldChar w:fldCharType="separate"/>
            </w:r>
            <w:r w:rsidR="00D85615">
              <w:rPr>
                <w:webHidden/>
              </w:rPr>
              <w:t>22</w:t>
            </w:r>
            <w:r>
              <w:rPr>
                <w:webHidden/>
              </w:rPr>
              <w:fldChar w:fldCharType="end"/>
            </w:r>
          </w:hyperlink>
        </w:p>
        <w:p w14:paraId="1006498E" w14:textId="6362EDB7" w:rsidR="00104CB3" w:rsidRDefault="00104CB3">
          <w:pPr>
            <w:pStyle w:val="TOC3"/>
            <w:rPr>
              <w:rFonts w:asciiTheme="minorHAnsi" w:eastAsiaTheme="minorEastAsia" w:hAnsiTheme="minorHAnsi"/>
              <w:lang w:eastAsia="en-AU"/>
            </w:rPr>
          </w:pPr>
          <w:hyperlink w:anchor="_Toc526864450" w:history="1">
            <w:r w:rsidRPr="00D67863">
              <w:rPr>
                <w:rStyle w:val="Hyperlink"/>
              </w:rPr>
              <w:t>12 b – Sanctions for Serious Failures – 1 July 2017 to 30 June 2018</w:t>
            </w:r>
            <w:r>
              <w:rPr>
                <w:webHidden/>
              </w:rPr>
              <w:tab/>
            </w:r>
            <w:r>
              <w:rPr>
                <w:webHidden/>
              </w:rPr>
              <w:fldChar w:fldCharType="begin"/>
            </w:r>
            <w:r>
              <w:rPr>
                <w:webHidden/>
              </w:rPr>
              <w:instrText xml:space="preserve"> PAGEREF _Toc526864450 \h </w:instrText>
            </w:r>
            <w:r>
              <w:rPr>
                <w:webHidden/>
              </w:rPr>
            </w:r>
            <w:r>
              <w:rPr>
                <w:webHidden/>
              </w:rPr>
              <w:fldChar w:fldCharType="separate"/>
            </w:r>
            <w:r w:rsidR="00D85615">
              <w:rPr>
                <w:webHidden/>
              </w:rPr>
              <w:t>22</w:t>
            </w:r>
            <w:r>
              <w:rPr>
                <w:webHidden/>
              </w:rPr>
              <w:fldChar w:fldCharType="end"/>
            </w:r>
          </w:hyperlink>
        </w:p>
        <w:p w14:paraId="5C4089F3" w14:textId="5C91E71C" w:rsidR="00104CB3" w:rsidRDefault="00104CB3">
          <w:pPr>
            <w:pStyle w:val="TOC1"/>
            <w:rPr>
              <w:rFonts w:asciiTheme="minorHAnsi" w:eastAsiaTheme="minorEastAsia" w:hAnsiTheme="minorHAnsi"/>
              <w:b w:val="0"/>
              <w:noProof/>
              <w:lang w:eastAsia="en-AU"/>
            </w:rPr>
          </w:pPr>
          <w:hyperlink w:anchor="_Toc526864451" w:history="1">
            <w:r w:rsidRPr="00D67863">
              <w:rPr>
                <w:rStyle w:val="Hyperlink"/>
                <w:noProof/>
              </w:rPr>
              <w:t>Part B</w:t>
            </w:r>
            <w:r>
              <w:rPr>
                <w:noProof/>
                <w:webHidden/>
              </w:rPr>
              <w:tab/>
            </w:r>
            <w:r>
              <w:rPr>
                <w:noProof/>
                <w:webHidden/>
              </w:rPr>
              <w:fldChar w:fldCharType="begin"/>
            </w:r>
            <w:r>
              <w:rPr>
                <w:noProof/>
                <w:webHidden/>
              </w:rPr>
              <w:instrText xml:space="preserve"> PAGEREF _Toc526864451 \h </w:instrText>
            </w:r>
            <w:r>
              <w:rPr>
                <w:noProof/>
                <w:webHidden/>
              </w:rPr>
            </w:r>
            <w:r>
              <w:rPr>
                <w:noProof/>
                <w:webHidden/>
              </w:rPr>
              <w:fldChar w:fldCharType="separate"/>
            </w:r>
            <w:r w:rsidR="00D85615">
              <w:rPr>
                <w:noProof/>
                <w:webHidden/>
              </w:rPr>
              <w:t>23</w:t>
            </w:r>
            <w:r>
              <w:rPr>
                <w:noProof/>
                <w:webHidden/>
              </w:rPr>
              <w:fldChar w:fldCharType="end"/>
            </w:r>
          </w:hyperlink>
        </w:p>
        <w:p w14:paraId="32F9266A" w14:textId="37313EFD" w:rsidR="00104CB3" w:rsidRDefault="00104CB3">
          <w:pPr>
            <w:pStyle w:val="TOC2"/>
            <w:rPr>
              <w:rFonts w:asciiTheme="minorHAnsi" w:eastAsiaTheme="minorEastAsia" w:hAnsiTheme="minorHAnsi"/>
              <w:b w:val="0"/>
              <w:lang w:eastAsia="en-AU"/>
            </w:rPr>
          </w:pPr>
          <w:hyperlink w:anchor="_Toc526864452" w:history="1">
            <w:r w:rsidRPr="00D67863">
              <w:rPr>
                <w:rStyle w:val="Hyperlink"/>
              </w:rPr>
              <w:t>13 – Financial Penalties, Connection Failures, Income Support Payment Suspensions and CCAs: by Gender - 1 April to 30 June 2018</w:t>
            </w:r>
            <w:r>
              <w:rPr>
                <w:webHidden/>
              </w:rPr>
              <w:tab/>
            </w:r>
            <w:r>
              <w:rPr>
                <w:webHidden/>
              </w:rPr>
              <w:fldChar w:fldCharType="begin"/>
            </w:r>
            <w:r>
              <w:rPr>
                <w:webHidden/>
              </w:rPr>
              <w:instrText xml:space="preserve"> PAGEREF _Toc526864452 \h </w:instrText>
            </w:r>
            <w:r>
              <w:rPr>
                <w:webHidden/>
              </w:rPr>
            </w:r>
            <w:r>
              <w:rPr>
                <w:webHidden/>
              </w:rPr>
              <w:fldChar w:fldCharType="separate"/>
            </w:r>
            <w:r w:rsidR="00D85615">
              <w:rPr>
                <w:webHidden/>
              </w:rPr>
              <w:t>23</w:t>
            </w:r>
            <w:r>
              <w:rPr>
                <w:webHidden/>
              </w:rPr>
              <w:fldChar w:fldCharType="end"/>
            </w:r>
          </w:hyperlink>
        </w:p>
        <w:p w14:paraId="1B438302" w14:textId="743647DF" w:rsidR="00104CB3" w:rsidRDefault="00104CB3">
          <w:pPr>
            <w:pStyle w:val="TOC3"/>
            <w:rPr>
              <w:rFonts w:asciiTheme="minorHAnsi" w:eastAsiaTheme="minorEastAsia" w:hAnsiTheme="minorHAnsi"/>
              <w:lang w:eastAsia="en-AU"/>
            </w:rPr>
          </w:pPr>
          <w:hyperlink w:anchor="_Toc526864453" w:history="1">
            <w:r w:rsidRPr="00D67863">
              <w:rPr>
                <w:rStyle w:val="Hyperlink"/>
              </w:rPr>
              <w:t>13 a – Non-Payment Periods (NPPs) - 1 April to 30 June 2018</w:t>
            </w:r>
            <w:r>
              <w:rPr>
                <w:webHidden/>
              </w:rPr>
              <w:tab/>
            </w:r>
            <w:r>
              <w:rPr>
                <w:webHidden/>
              </w:rPr>
              <w:fldChar w:fldCharType="begin"/>
            </w:r>
            <w:r>
              <w:rPr>
                <w:webHidden/>
              </w:rPr>
              <w:instrText xml:space="preserve"> PAGEREF _Toc526864453 \h </w:instrText>
            </w:r>
            <w:r>
              <w:rPr>
                <w:webHidden/>
              </w:rPr>
            </w:r>
            <w:r>
              <w:rPr>
                <w:webHidden/>
              </w:rPr>
              <w:fldChar w:fldCharType="separate"/>
            </w:r>
            <w:r w:rsidR="00D85615">
              <w:rPr>
                <w:webHidden/>
              </w:rPr>
              <w:t>23</w:t>
            </w:r>
            <w:r>
              <w:rPr>
                <w:webHidden/>
              </w:rPr>
              <w:fldChar w:fldCharType="end"/>
            </w:r>
          </w:hyperlink>
        </w:p>
        <w:p w14:paraId="080596AE" w14:textId="295B280A" w:rsidR="00104CB3" w:rsidRDefault="00104CB3">
          <w:pPr>
            <w:pStyle w:val="TOC3"/>
            <w:rPr>
              <w:rFonts w:asciiTheme="minorHAnsi" w:eastAsiaTheme="minorEastAsia" w:hAnsiTheme="minorHAnsi"/>
              <w:lang w:eastAsia="en-AU"/>
            </w:rPr>
          </w:pPr>
          <w:hyperlink w:anchor="_Toc526864454" w:history="1">
            <w:r w:rsidRPr="00D67863">
              <w:rPr>
                <w:rStyle w:val="Hyperlink"/>
              </w:rPr>
              <w:t>13 b – Short Term Financial Penalties and Total Financial Penalty Summary - 1 April to 30 June 2018</w:t>
            </w:r>
            <w:r>
              <w:rPr>
                <w:webHidden/>
              </w:rPr>
              <w:tab/>
            </w:r>
            <w:r>
              <w:rPr>
                <w:webHidden/>
              </w:rPr>
              <w:fldChar w:fldCharType="begin"/>
            </w:r>
            <w:r>
              <w:rPr>
                <w:webHidden/>
              </w:rPr>
              <w:instrText xml:space="preserve"> PAGEREF _Toc526864454 \h </w:instrText>
            </w:r>
            <w:r>
              <w:rPr>
                <w:webHidden/>
              </w:rPr>
            </w:r>
            <w:r>
              <w:rPr>
                <w:webHidden/>
              </w:rPr>
              <w:fldChar w:fldCharType="separate"/>
            </w:r>
            <w:r w:rsidR="00D85615">
              <w:rPr>
                <w:webHidden/>
              </w:rPr>
              <w:t>24</w:t>
            </w:r>
            <w:r>
              <w:rPr>
                <w:webHidden/>
              </w:rPr>
              <w:fldChar w:fldCharType="end"/>
            </w:r>
          </w:hyperlink>
        </w:p>
        <w:p w14:paraId="59725877" w14:textId="2A72757D" w:rsidR="00104CB3" w:rsidRDefault="00104CB3">
          <w:pPr>
            <w:pStyle w:val="TOC3"/>
            <w:rPr>
              <w:rFonts w:asciiTheme="minorHAnsi" w:eastAsiaTheme="minorEastAsia" w:hAnsiTheme="minorHAnsi"/>
              <w:lang w:eastAsia="en-AU"/>
            </w:rPr>
          </w:pPr>
          <w:hyperlink w:anchor="_Toc526864455" w:history="1">
            <w:r w:rsidRPr="00D67863">
              <w:rPr>
                <w:rStyle w:val="Hyperlink"/>
              </w:rPr>
              <w:t>13 c – Connection Failures - 1 April to 30 June 2018</w:t>
            </w:r>
            <w:r>
              <w:rPr>
                <w:webHidden/>
              </w:rPr>
              <w:tab/>
            </w:r>
            <w:r>
              <w:rPr>
                <w:webHidden/>
              </w:rPr>
              <w:fldChar w:fldCharType="begin"/>
            </w:r>
            <w:r>
              <w:rPr>
                <w:webHidden/>
              </w:rPr>
              <w:instrText xml:space="preserve"> PAGEREF _Toc526864455 \h </w:instrText>
            </w:r>
            <w:r>
              <w:rPr>
                <w:webHidden/>
              </w:rPr>
            </w:r>
            <w:r>
              <w:rPr>
                <w:webHidden/>
              </w:rPr>
              <w:fldChar w:fldCharType="separate"/>
            </w:r>
            <w:r w:rsidR="00D85615">
              <w:rPr>
                <w:webHidden/>
              </w:rPr>
              <w:t>25</w:t>
            </w:r>
            <w:r>
              <w:rPr>
                <w:webHidden/>
              </w:rPr>
              <w:fldChar w:fldCharType="end"/>
            </w:r>
          </w:hyperlink>
        </w:p>
        <w:p w14:paraId="12B8C378" w14:textId="42A4E12D" w:rsidR="00104CB3" w:rsidRDefault="00104CB3">
          <w:pPr>
            <w:pStyle w:val="TOC3"/>
            <w:rPr>
              <w:rFonts w:asciiTheme="minorHAnsi" w:eastAsiaTheme="minorEastAsia" w:hAnsiTheme="minorHAnsi"/>
              <w:lang w:eastAsia="en-AU"/>
            </w:rPr>
          </w:pPr>
          <w:hyperlink w:anchor="_Toc526864456" w:history="1">
            <w:r w:rsidRPr="00D67863">
              <w:rPr>
                <w:rStyle w:val="Hyperlink"/>
              </w:rPr>
              <w:t>13 d – Income Support Payment Suspensions - 1 April to 30 June 2018</w:t>
            </w:r>
            <w:r>
              <w:rPr>
                <w:webHidden/>
              </w:rPr>
              <w:tab/>
            </w:r>
            <w:r>
              <w:rPr>
                <w:webHidden/>
              </w:rPr>
              <w:fldChar w:fldCharType="begin"/>
            </w:r>
            <w:r>
              <w:rPr>
                <w:webHidden/>
              </w:rPr>
              <w:instrText xml:space="preserve"> PAGEREF _Toc526864456 \h </w:instrText>
            </w:r>
            <w:r>
              <w:rPr>
                <w:webHidden/>
              </w:rPr>
            </w:r>
            <w:r>
              <w:rPr>
                <w:webHidden/>
              </w:rPr>
              <w:fldChar w:fldCharType="separate"/>
            </w:r>
            <w:r w:rsidR="00D85615">
              <w:rPr>
                <w:webHidden/>
              </w:rPr>
              <w:t>25</w:t>
            </w:r>
            <w:r>
              <w:rPr>
                <w:webHidden/>
              </w:rPr>
              <w:fldChar w:fldCharType="end"/>
            </w:r>
          </w:hyperlink>
        </w:p>
        <w:p w14:paraId="552F9E32" w14:textId="452611B0" w:rsidR="00104CB3" w:rsidRDefault="00104CB3">
          <w:pPr>
            <w:pStyle w:val="TOC3"/>
            <w:rPr>
              <w:rFonts w:asciiTheme="minorHAnsi" w:eastAsiaTheme="minorEastAsia" w:hAnsiTheme="minorHAnsi"/>
              <w:lang w:eastAsia="en-AU"/>
            </w:rPr>
          </w:pPr>
          <w:hyperlink w:anchor="_Toc526864457" w:history="1">
            <w:r w:rsidRPr="00D67863">
              <w:rPr>
                <w:rStyle w:val="Hyperlink"/>
              </w:rPr>
              <w:t>13 e – Comprehensive Compliance Assessment (CCA) - 1 April to 30 June 2018</w:t>
            </w:r>
            <w:r>
              <w:rPr>
                <w:webHidden/>
              </w:rPr>
              <w:tab/>
            </w:r>
            <w:r>
              <w:rPr>
                <w:webHidden/>
              </w:rPr>
              <w:fldChar w:fldCharType="begin"/>
            </w:r>
            <w:r>
              <w:rPr>
                <w:webHidden/>
              </w:rPr>
              <w:instrText xml:space="preserve"> PAGEREF _Toc526864457 \h </w:instrText>
            </w:r>
            <w:r>
              <w:rPr>
                <w:webHidden/>
              </w:rPr>
            </w:r>
            <w:r>
              <w:rPr>
                <w:webHidden/>
              </w:rPr>
              <w:fldChar w:fldCharType="separate"/>
            </w:r>
            <w:r w:rsidR="00D85615">
              <w:rPr>
                <w:webHidden/>
              </w:rPr>
              <w:t>26</w:t>
            </w:r>
            <w:r>
              <w:rPr>
                <w:webHidden/>
              </w:rPr>
              <w:fldChar w:fldCharType="end"/>
            </w:r>
          </w:hyperlink>
        </w:p>
        <w:p w14:paraId="1ED4C892" w14:textId="60DA803F" w:rsidR="00104CB3" w:rsidRDefault="00104CB3">
          <w:pPr>
            <w:pStyle w:val="TOC2"/>
            <w:rPr>
              <w:rFonts w:asciiTheme="minorHAnsi" w:eastAsiaTheme="minorEastAsia" w:hAnsiTheme="minorHAnsi"/>
              <w:b w:val="0"/>
              <w:lang w:eastAsia="en-AU"/>
            </w:rPr>
          </w:pPr>
          <w:hyperlink w:anchor="_Toc526864458" w:history="1">
            <w:r w:rsidRPr="00D67863">
              <w:rPr>
                <w:rStyle w:val="Hyperlink"/>
              </w:rPr>
              <w:t>14 – Financial Penalties, Connection Failures, Income Support Payment Suspensions and CCAs by Indigenous Status - 1 April to 30 June 2018</w:t>
            </w:r>
            <w:r>
              <w:rPr>
                <w:webHidden/>
              </w:rPr>
              <w:tab/>
            </w:r>
            <w:r>
              <w:rPr>
                <w:webHidden/>
              </w:rPr>
              <w:fldChar w:fldCharType="begin"/>
            </w:r>
            <w:r>
              <w:rPr>
                <w:webHidden/>
              </w:rPr>
              <w:instrText xml:space="preserve"> PAGEREF _Toc526864458 \h </w:instrText>
            </w:r>
            <w:r>
              <w:rPr>
                <w:webHidden/>
              </w:rPr>
            </w:r>
            <w:r>
              <w:rPr>
                <w:webHidden/>
              </w:rPr>
              <w:fldChar w:fldCharType="separate"/>
            </w:r>
            <w:r w:rsidR="00D85615">
              <w:rPr>
                <w:webHidden/>
              </w:rPr>
              <w:t>26</w:t>
            </w:r>
            <w:r>
              <w:rPr>
                <w:webHidden/>
              </w:rPr>
              <w:fldChar w:fldCharType="end"/>
            </w:r>
          </w:hyperlink>
        </w:p>
        <w:p w14:paraId="641F4BCC" w14:textId="1EDBA145" w:rsidR="00104CB3" w:rsidRDefault="00104CB3">
          <w:pPr>
            <w:pStyle w:val="TOC3"/>
            <w:rPr>
              <w:rFonts w:asciiTheme="minorHAnsi" w:eastAsiaTheme="minorEastAsia" w:hAnsiTheme="minorHAnsi"/>
              <w:lang w:eastAsia="en-AU"/>
            </w:rPr>
          </w:pPr>
          <w:hyperlink w:anchor="_Toc526864459" w:history="1">
            <w:r w:rsidRPr="00D67863">
              <w:rPr>
                <w:rStyle w:val="Hyperlink"/>
              </w:rPr>
              <w:t>14 a – Non Payment Periods (NPPs) - 1 April to 30 June 2018</w:t>
            </w:r>
            <w:r>
              <w:rPr>
                <w:webHidden/>
              </w:rPr>
              <w:tab/>
            </w:r>
            <w:r>
              <w:rPr>
                <w:webHidden/>
              </w:rPr>
              <w:fldChar w:fldCharType="begin"/>
            </w:r>
            <w:r>
              <w:rPr>
                <w:webHidden/>
              </w:rPr>
              <w:instrText xml:space="preserve"> PAGEREF _Toc526864459 \h </w:instrText>
            </w:r>
            <w:r>
              <w:rPr>
                <w:webHidden/>
              </w:rPr>
            </w:r>
            <w:r>
              <w:rPr>
                <w:webHidden/>
              </w:rPr>
              <w:fldChar w:fldCharType="separate"/>
            </w:r>
            <w:r w:rsidR="00D85615">
              <w:rPr>
                <w:webHidden/>
              </w:rPr>
              <w:t>26</w:t>
            </w:r>
            <w:r>
              <w:rPr>
                <w:webHidden/>
              </w:rPr>
              <w:fldChar w:fldCharType="end"/>
            </w:r>
          </w:hyperlink>
        </w:p>
        <w:p w14:paraId="1FABCB3F" w14:textId="5D9E0D6A" w:rsidR="00104CB3" w:rsidRDefault="00104CB3">
          <w:pPr>
            <w:pStyle w:val="TOC3"/>
            <w:rPr>
              <w:rFonts w:asciiTheme="minorHAnsi" w:eastAsiaTheme="minorEastAsia" w:hAnsiTheme="minorHAnsi"/>
              <w:lang w:eastAsia="en-AU"/>
            </w:rPr>
          </w:pPr>
          <w:hyperlink w:anchor="_Toc526864460" w:history="1">
            <w:r w:rsidRPr="00D67863">
              <w:rPr>
                <w:rStyle w:val="Hyperlink"/>
              </w:rPr>
              <w:t>14 b – Short Term Financial Penalties and Total Financial Penalty Summary - 1 April to 30 June 2018</w:t>
            </w:r>
            <w:r>
              <w:rPr>
                <w:webHidden/>
              </w:rPr>
              <w:tab/>
            </w:r>
            <w:r>
              <w:rPr>
                <w:webHidden/>
              </w:rPr>
              <w:fldChar w:fldCharType="begin"/>
            </w:r>
            <w:r>
              <w:rPr>
                <w:webHidden/>
              </w:rPr>
              <w:instrText xml:space="preserve"> PAGEREF _Toc526864460 \h </w:instrText>
            </w:r>
            <w:r>
              <w:rPr>
                <w:webHidden/>
              </w:rPr>
            </w:r>
            <w:r>
              <w:rPr>
                <w:webHidden/>
              </w:rPr>
              <w:fldChar w:fldCharType="separate"/>
            </w:r>
            <w:r w:rsidR="00D85615">
              <w:rPr>
                <w:webHidden/>
              </w:rPr>
              <w:t>27</w:t>
            </w:r>
            <w:r>
              <w:rPr>
                <w:webHidden/>
              </w:rPr>
              <w:fldChar w:fldCharType="end"/>
            </w:r>
          </w:hyperlink>
        </w:p>
        <w:p w14:paraId="1CA0E636" w14:textId="212B6F11" w:rsidR="00104CB3" w:rsidRDefault="00104CB3">
          <w:pPr>
            <w:pStyle w:val="TOC3"/>
            <w:rPr>
              <w:rFonts w:asciiTheme="minorHAnsi" w:eastAsiaTheme="minorEastAsia" w:hAnsiTheme="minorHAnsi"/>
              <w:lang w:eastAsia="en-AU"/>
            </w:rPr>
          </w:pPr>
          <w:hyperlink w:anchor="_Toc526864461" w:history="1">
            <w:r w:rsidRPr="00D67863">
              <w:rPr>
                <w:rStyle w:val="Hyperlink"/>
              </w:rPr>
              <w:t>14 c – Connection Failures - 1 April to 30 June 2018</w:t>
            </w:r>
            <w:r>
              <w:rPr>
                <w:webHidden/>
              </w:rPr>
              <w:tab/>
            </w:r>
            <w:r>
              <w:rPr>
                <w:webHidden/>
              </w:rPr>
              <w:fldChar w:fldCharType="begin"/>
            </w:r>
            <w:r>
              <w:rPr>
                <w:webHidden/>
              </w:rPr>
              <w:instrText xml:space="preserve"> PAGEREF _Toc526864461 \h </w:instrText>
            </w:r>
            <w:r>
              <w:rPr>
                <w:webHidden/>
              </w:rPr>
            </w:r>
            <w:r>
              <w:rPr>
                <w:webHidden/>
              </w:rPr>
              <w:fldChar w:fldCharType="separate"/>
            </w:r>
            <w:r w:rsidR="00D85615">
              <w:rPr>
                <w:webHidden/>
              </w:rPr>
              <w:t>28</w:t>
            </w:r>
            <w:r>
              <w:rPr>
                <w:webHidden/>
              </w:rPr>
              <w:fldChar w:fldCharType="end"/>
            </w:r>
          </w:hyperlink>
        </w:p>
        <w:p w14:paraId="63AC738A" w14:textId="250D692E" w:rsidR="00104CB3" w:rsidRDefault="00104CB3">
          <w:pPr>
            <w:pStyle w:val="TOC3"/>
            <w:rPr>
              <w:rFonts w:asciiTheme="minorHAnsi" w:eastAsiaTheme="minorEastAsia" w:hAnsiTheme="minorHAnsi"/>
              <w:lang w:eastAsia="en-AU"/>
            </w:rPr>
          </w:pPr>
          <w:hyperlink w:anchor="_Toc526864462" w:history="1">
            <w:r w:rsidRPr="00D67863">
              <w:rPr>
                <w:rStyle w:val="Hyperlink"/>
              </w:rPr>
              <w:t>14 d – Income Support Payment Suspensions - 1 April to 30 June 2018</w:t>
            </w:r>
            <w:r>
              <w:rPr>
                <w:webHidden/>
              </w:rPr>
              <w:tab/>
            </w:r>
            <w:r>
              <w:rPr>
                <w:webHidden/>
              </w:rPr>
              <w:fldChar w:fldCharType="begin"/>
            </w:r>
            <w:r>
              <w:rPr>
                <w:webHidden/>
              </w:rPr>
              <w:instrText xml:space="preserve"> PAGEREF _Toc526864462 \h </w:instrText>
            </w:r>
            <w:r>
              <w:rPr>
                <w:webHidden/>
              </w:rPr>
            </w:r>
            <w:r>
              <w:rPr>
                <w:webHidden/>
              </w:rPr>
              <w:fldChar w:fldCharType="separate"/>
            </w:r>
            <w:r w:rsidR="00D85615">
              <w:rPr>
                <w:webHidden/>
              </w:rPr>
              <w:t>28</w:t>
            </w:r>
            <w:r>
              <w:rPr>
                <w:webHidden/>
              </w:rPr>
              <w:fldChar w:fldCharType="end"/>
            </w:r>
          </w:hyperlink>
        </w:p>
        <w:p w14:paraId="69D971BD" w14:textId="31BA0A7C" w:rsidR="00104CB3" w:rsidRDefault="00104CB3">
          <w:pPr>
            <w:pStyle w:val="TOC3"/>
            <w:rPr>
              <w:rFonts w:asciiTheme="minorHAnsi" w:eastAsiaTheme="minorEastAsia" w:hAnsiTheme="minorHAnsi"/>
              <w:lang w:eastAsia="en-AU"/>
            </w:rPr>
          </w:pPr>
          <w:hyperlink w:anchor="_Toc526864463" w:history="1">
            <w:r w:rsidRPr="00D67863">
              <w:rPr>
                <w:rStyle w:val="Hyperlink"/>
              </w:rPr>
              <w:t>14 e – Comprehensive Compliance Assessments - 1 April to 30 June 2018</w:t>
            </w:r>
            <w:r>
              <w:rPr>
                <w:webHidden/>
              </w:rPr>
              <w:tab/>
            </w:r>
            <w:r>
              <w:rPr>
                <w:webHidden/>
              </w:rPr>
              <w:fldChar w:fldCharType="begin"/>
            </w:r>
            <w:r>
              <w:rPr>
                <w:webHidden/>
              </w:rPr>
              <w:instrText xml:space="preserve"> PAGEREF _Toc526864463 \h </w:instrText>
            </w:r>
            <w:r>
              <w:rPr>
                <w:webHidden/>
              </w:rPr>
            </w:r>
            <w:r>
              <w:rPr>
                <w:webHidden/>
              </w:rPr>
              <w:fldChar w:fldCharType="separate"/>
            </w:r>
            <w:r w:rsidR="00D85615">
              <w:rPr>
                <w:webHidden/>
              </w:rPr>
              <w:t>29</w:t>
            </w:r>
            <w:r>
              <w:rPr>
                <w:webHidden/>
              </w:rPr>
              <w:fldChar w:fldCharType="end"/>
            </w:r>
          </w:hyperlink>
        </w:p>
        <w:p w14:paraId="55ED3C1F" w14:textId="7AB7E241" w:rsidR="00104CB3" w:rsidRDefault="00104CB3">
          <w:pPr>
            <w:pStyle w:val="TOC2"/>
            <w:rPr>
              <w:rFonts w:asciiTheme="minorHAnsi" w:eastAsiaTheme="minorEastAsia" w:hAnsiTheme="minorHAnsi"/>
              <w:b w:val="0"/>
              <w:lang w:eastAsia="en-AU"/>
            </w:rPr>
          </w:pPr>
          <w:hyperlink w:anchor="_Toc526864464" w:history="1">
            <w:r w:rsidRPr="00D67863">
              <w:rPr>
                <w:rStyle w:val="Hyperlink"/>
              </w:rPr>
              <w:t>15 – Financial Penalties, Connection Failures, Income Support Payment Suspensions and CCAs by Age Group - 1 April to 30 June 2018</w:t>
            </w:r>
            <w:r>
              <w:rPr>
                <w:webHidden/>
              </w:rPr>
              <w:tab/>
            </w:r>
            <w:r>
              <w:rPr>
                <w:webHidden/>
              </w:rPr>
              <w:fldChar w:fldCharType="begin"/>
            </w:r>
            <w:r>
              <w:rPr>
                <w:webHidden/>
              </w:rPr>
              <w:instrText xml:space="preserve"> PAGEREF _Toc526864464 \h </w:instrText>
            </w:r>
            <w:r>
              <w:rPr>
                <w:webHidden/>
              </w:rPr>
            </w:r>
            <w:r>
              <w:rPr>
                <w:webHidden/>
              </w:rPr>
              <w:fldChar w:fldCharType="separate"/>
            </w:r>
            <w:r w:rsidR="00D85615">
              <w:rPr>
                <w:webHidden/>
              </w:rPr>
              <w:t>29</w:t>
            </w:r>
            <w:r>
              <w:rPr>
                <w:webHidden/>
              </w:rPr>
              <w:fldChar w:fldCharType="end"/>
            </w:r>
          </w:hyperlink>
        </w:p>
        <w:p w14:paraId="092850A6" w14:textId="0B5E4E32" w:rsidR="00104CB3" w:rsidRDefault="00104CB3">
          <w:pPr>
            <w:pStyle w:val="TOC3"/>
            <w:rPr>
              <w:rFonts w:asciiTheme="minorHAnsi" w:eastAsiaTheme="minorEastAsia" w:hAnsiTheme="minorHAnsi"/>
              <w:lang w:eastAsia="en-AU"/>
            </w:rPr>
          </w:pPr>
          <w:hyperlink w:anchor="_Toc526864465" w:history="1">
            <w:r w:rsidRPr="00D67863">
              <w:rPr>
                <w:rStyle w:val="Hyperlink"/>
              </w:rPr>
              <w:t>15 a – Non-Payment Periods (NPPs) - 1 April to 30 June 2018</w:t>
            </w:r>
            <w:r>
              <w:rPr>
                <w:webHidden/>
              </w:rPr>
              <w:tab/>
            </w:r>
            <w:r>
              <w:rPr>
                <w:webHidden/>
              </w:rPr>
              <w:fldChar w:fldCharType="begin"/>
            </w:r>
            <w:r>
              <w:rPr>
                <w:webHidden/>
              </w:rPr>
              <w:instrText xml:space="preserve"> PAGEREF _Toc526864465 \h </w:instrText>
            </w:r>
            <w:r>
              <w:rPr>
                <w:webHidden/>
              </w:rPr>
            </w:r>
            <w:r>
              <w:rPr>
                <w:webHidden/>
              </w:rPr>
              <w:fldChar w:fldCharType="separate"/>
            </w:r>
            <w:r w:rsidR="00D85615">
              <w:rPr>
                <w:webHidden/>
              </w:rPr>
              <w:t>29</w:t>
            </w:r>
            <w:r>
              <w:rPr>
                <w:webHidden/>
              </w:rPr>
              <w:fldChar w:fldCharType="end"/>
            </w:r>
          </w:hyperlink>
        </w:p>
        <w:p w14:paraId="6AAAAC8B" w14:textId="2FBE6C1D" w:rsidR="00104CB3" w:rsidRDefault="00104CB3">
          <w:pPr>
            <w:pStyle w:val="TOC3"/>
            <w:rPr>
              <w:rFonts w:asciiTheme="minorHAnsi" w:eastAsiaTheme="minorEastAsia" w:hAnsiTheme="minorHAnsi"/>
              <w:lang w:eastAsia="en-AU"/>
            </w:rPr>
          </w:pPr>
          <w:hyperlink w:anchor="_Toc526864466" w:history="1">
            <w:r w:rsidRPr="00D67863">
              <w:rPr>
                <w:rStyle w:val="Hyperlink"/>
              </w:rPr>
              <w:t>15 b – Short Term Financial Penalties and Total Financial Penalty Summary - 1 April to 30 June 2018</w:t>
            </w:r>
            <w:r>
              <w:rPr>
                <w:webHidden/>
              </w:rPr>
              <w:tab/>
            </w:r>
            <w:r>
              <w:rPr>
                <w:webHidden/>
              </w:rPr>
              <w:fldChar w:fldCharType="begin"/>
            </w:r>
            <w:r>
              <w:rPr>
                <w:webHidden/>
              </w:rPr>
              <w:instrText xml:space="preserve"> PAGEREF _Toc526864466 \h </w:instrText>
            </w:r>
            <w:r>
              <w:rPr>
                <w:webHidden/>
              </w:rPr>
            </w:r>
            <w:r>
              <w:rPr>
                <w:webHidden/>
              </w:rPr>
              <w:fldChar w:fldCharType="separate"/>
            </w:r>
            <w:r w:rsidR="00D85615">
              <w:rPr>
                <w:webHidden/>
              </w:rPr>
              <w:t>30</w:t>
            </w:r>
            <w:r>
              <w:rPr>
                <w:webHidden/>
              </w:rPr>
              <w:fldChar w:fldCharType="end"/>
            </w:r>
          </w:hyperlink>
        </w:p>
        <w:p w14:paraId="30AA5233" w14:textId="2170084B" w:rsidR="00104CB3" w:rsidRDefault="00104CB3">
          <w:pPr>
            <w:pStyle w:val="TOC3"/>
            <w:rPr>
              <w:rFonts w:asciiTheme="minorHAnsi" w:eastAsiaTheme="minorEastAsia" w:hAnsiTheme="minorHAnsi"/>
              <w:lang w:eastAsia="en-AU"/>
            </w:rPr>
          </w:pPr>
          <w:hyperlink w:anchor="_Toc526864467" w:history="1">
            <w:r w:rsidRPr="00D67863">
              <w:rPr>
                <w:rStyle w:val="Hyperlink"/>
              </w:rPr>
              <w:t>15 c – Connection Failures - 1 April to 30 June 2018</w:t>
            </w:r>
            <w:r>
              <w:rPr>
                <w:webHidden/>
              </w:rPr>
              <w:tab/>
            </w:r>
            <w:r>
              <w:rPr>
                <w:webHidden/>
              </w:rPr>
              <w:fldChar w:fldCharType="begin"/>
            </w:r>
            <w:r>
              <w:rPr>
                <w:webHidden/>
              </w:rPr>
              <w:instrText xml:space="preserve"> PAGEREF _Toc526864467 \h </w:instrText>
            </w:r>
            <w:r>
              <w:rPr>
                <w:webHidden/>
              </w:rPr>
            </w:r>
            <w:r>
              <w:rPr>
                <w:webHidden/>
              </w:rPr>
              <w:fldChar w:fldCharType="separate"/>
            </w:r>
            <w:r w:rsidR="00D85615">
              <w:rPr>
                <w:webHidden/>
              </w:rPr>
              <w:t>31</w:t>
            </w:r>
            <w:r>
              <w:rPr>
                <w:webHidden/>
              </w:rPr>
              <w:fldChar w:fldCharType="end"/>
            </w:r>
          </w:hyperlink>
        </w:p>
        <w:p w14:paraId="1120321E" w14:textId="735854D6" w:rsidR="00104CB3" w:rsidRDefault="00104CB3">
          <w:pPr>
            <w:pStyle w:val="TOC3"/>
            <w:rPr>
              <w:rFonts w:asciiTheme="minorHAnsi" w:eastAsiaTheme="minorEastAsia" w:hAnsiTheme="minorHAnsi"/>
              <w:lang w:eastAsia="en-AU"/>
            </w:rPr>
          </w:pPr>
          <w:hyperlink w:anchor="_Toc526864468" w:history="1">
            <w:r w:rsidRPr="00D67863">
              <w:rPr>
                <w:rStyle w:val="Hyperlink"/>
              </w:rPr>
              <w:t>15 d – Income Support Payment Suspensions - 1 April to 30 June 2018</w:t>
            </w:r>
            <w:r>
              <w:rPr>
                <w:webHidden/>
              </w:rPr>
              <w:tab/>
            </w:r>
            <w:r>
              <w:rPr>
                <w:webHidden/>
              </w:rPr>
              <w:fldChar w:fldCharType="begin"/>
            </w:r>
            <w:r>
              <w:rPr>
                <w:webHidden/>
              </w:rPr>
              <w:instrText xml:space="preserve"> PAGEREF _Toc526864468 \h </w:instrText>
            </w:r>
            <w:r>
              <w:rPr>
                <w:webHidden/>
              </w:rPr>
            </w:r>
            <w:r>
              <w:rPr>
                <w:webHidden/>
              </w:rPr>
              <w:fldChar w:fldCharType="separate"/>
            </w:r>
            <w:r w:rsidR="00D85615">
              <w:rPr>
                <w:webHidden/>
              </w:rPr>
              <w:t>31</w:t>
            </w:r>
            <w:r>
              <w:rPr>
                <w:webHidden/>
              </w:rPr>
              <w:fldChar w:fldCharType="end"/>
            </w:r>
          </w:hyperlink>
        </w:p>
        <w:p w14:paraId="1B2F563C" w14:textId="1BFE877A" w:rsidR="00104CB3" w:rsidRDefault="00104CB3">
          <w:pPr>
            <w:pStyle w:val="TOC3"/>
            <w:rPr>
              <w:rFonts w:asciiTheme="minorHAnsi" w:eastAsiaTheme="minorEastAsia" w:hAnsiTheme="minorHAnsi"/>
              <w:lang w:eastAsia="en-AU"/>
            </w:rPr>
          </w:pPr>
          <w:hyperlink w:anchor="_Toc526864469" w:history="1">
            <w:r w:rsidRPr="00D67863">
              <w:rPr>
                <w:rStyle w:val="Hyperlink"/>
              </w:rPr>
              <w:t>15 e – Comprehensive Compliance Assessments - 1 April to 30 June 2018</w:t>
            </w:r>
            <w:r>
              <w:rPr>
                <w:webHidden/>
              </w:rPr>
              <w:tab/>
            </w:r>
            <w:r>
              <w:rPr>
                <w:webHidden/>
              </w:rPr>
              <w:fldChar w:fldCharType="begin"/>
            </w:r>
            <w:r>
              <w:rPr>
                <w:webHidden/>
              </w:rPr>
              <w:instrText xml:space="preserve"> PAGEREF _Toc526864469 \h </w:instrText>
            </w:r>
            <w:r>
              <w:rPr>
                <w:webHidden/>
              </w:rPr>
            </w:r>
            <w:r>
              <w:rPr>
                <w:webHidden/>
              </w:rPr>
              <w:fldChar w:fldCharType="separate"/>
            </w:r>
            <w:r w:rsidR="00D85615">
              <w:rPr>
                <w:webHidden/>
              </w:rPr>
              <w:t>33</w:t>
            </w:r>
            <w:r>
              <w:rPr>
                <w:webHidden/>
              </w:rPr>
              <w:fldChar w:fldCharType="end"/>
            </w:r>
          </w:hyperlink>
        </w:p>
        <w:p w14:paraId="020BEB28" w14:textId="2CF7E8DC" w:rsidR="00104CB3" w:rsidRDefault="00104CB3">
          <w:pPr>
            <w:pStyle w:val="TOC2"/>
            <w:rPr>
              <w:rFonts w:asciiTheme="minorHAnsi" w:eastAsiaTheme="minorEastAsia" w:hAnsiTheme="minorHAnsi"/>
              <w:b w:val="0"/>
              <w:lang w:eastAsia="en-AU"/>
            </w:rPr>
          </w:pPr>
          <w:hyperlink w:anchor="_Toc526864470" w:history="1">
            <w:r w:rsidRPr="00D67863">
              <w:rPr>
                <w:rStyle w:val="Hyperlink"/>
              </w:rPr>
              <w:t>16 – Financial Penalties, Connection Failures, Income Support Payment Suspensions and CCAs by Allowance Types - 1 April to 30 June 2018</w:t>
            </w:r>
            <w:r>
              <w:rPr>
                <w:webHidden/>
              </w:rPr>
              <w:tab/>
            </w:r>
            <w:r>
              <w:rPr>
                <w:webHidden/>
              </w:rPr>
              <w:fldChar w:fldCharType="begin"/>
            </w:r>
            <w:r>
              <w:rPr>
                <w:webHidden/>
              </w:rPr>
              <w:instrText xml:space="preserve"> PAGEREF _Toc526864470 \h </w:instrText>
            </w:r>
            <w:r>
              <w:rPr>
                <w:webHidden/>
              </w:rPr>
            </w:r>
            <w:r>
              <w:rPr>
                <w:webHidden/>
              </w:rPr>
              <w:fldChar w:fldCharType="separate"/>
            </w:r>
            <w:r w:rsidR="00D85615">
              <w:rPr>
                <w:webHidden/>
              </w:rPr>
              <w:t>33</w:t>
            </w:r>
            <w:r>
              <w:rPr>
                <w:webHidden/>
              </w:rPr>
              <w:fldChar w:fldCharType="end"/>
            </w:r>
          </w:hyperlink>
        </w:p>
        <w:p w14:paraId="1E490938" w14:textId="32525B94" w:rsidR="00104CB3" w:rsidRDefault="00104CB3">
          <w:pPr>
            <w:pStyle w:val="TOC3"/>
            <w:rPr>
              <w:rFonts w:asciiTheme="minorHAnsi" w:eastAsiaTheme="minorEastAsia" w:hAnsiTheme="minorHAnsi"/>
              <w:lang w:eastAsia="en-AU"/>
            </w:rPr>
          </w:pPr>
          <w:hyperlink w:anchor="_Toc526864471" w:history="1">
            <w:r w:rsidRPr="00D67863">
              <w:rPr>
                <w:rStyle w:val="Hyperlink"/>
              </w:rPr>
              <w:t>16 a – Non-Payment Periods (NPPs) - 1 April to 30 June 2018</w:t>
            </w:r>
            <w:r>
              <w:rPr>
                <w:webHidden/>
              </w:rPr>
              <w:tab/>
            </w:r>
            <w:r>
              <w:rPr>
                <w:webHidden/>
              </w:rPr>
              <w:fldChar w:fldCharType="begin"/>
            </w:r>
            <w:r>
              <w:rPr>
                <w:webHidden/>
              </w:rPr>
              <w:instrText xml:space="preserve"> PAGEREF _Toc526864471 \h </w:instrText>
            </w:r>
            <w:r>
              <w:rPr>
                <w:webHidden/>
              </w:rPr>
            </w:r>
            <w:r>
              <w:rPr>
                <w:webHidden/>
              </w:rPr>
              <w:fldChar w:fldCharType="separate"/>
            </w:r>
            <w:r w:rsidR="00D85615">
              <w:rPr>
                <w:webHidden/>
              </w:rPr>
              <w:t>33</w:t>
            </w:r>
            <w:r>
              <w:rPr>
                <w:webHidden/>
              </w:rPr>
              <w:fldChar w:fldCharType="end"/>
            </w:r>
          </w:hyperlink>
        </w:p>
        <w:p w14:paraId="72F358D9" w14:textId="5AB81868" w:rsidR="00104CB3" w:rsidRDefault="00104CB3">
          <w:pPr>
            <w:pStyle w:val="TOC3"/>
            <w:rPr>
              <w:rFonts w:asciiTheme="minorHAnsi" w:eastAsiaTheme="minorEastAsia" w:hAnsiTheme="minorHAnsi"/>
              <w:lang w:eastAsia="en-AU"/>
            </w:rPr>
          </w:pPr>
          <w:hyperlink w:anchor="_Toc526864472" w:history="1">
            <w:r w:rsidRPr="00D67863">
              <w:rPr>
                <w:rStyle w:val="Hyperlink"/>
              </w:rPr>
              <w:t>16 b – Short Term Financial Penalties and Total Financial Penalty Summary - 1 April to 30 June 2018</w:t>
            </w:r>
            <w:r>
              <w:rPr>
                <w:webHidden/>
              </w:rPr>
              <w:tab/>
            </w:r>
            <w:r>
              <w:rPr>
                <w:webHidden/>
              </w:rPr>
              <w:fldChar w:fldCharType="begin"/>
            </w:r>
            <w:r>
              <w:rPr>
                <w:webHidden/>
              </w:rPr>
              <w:instrText xml:space="preserve"> PAGEREF _Toc526864472 \h </w:instrText>
            </w:r>
            <w:r>
              <w:rPr>
                <w:webHidden/>
              </w:rPr>
            </w:r>
            <w:r>
              <w:rPr>
                <w:webHidden/>
              </w:rPr>
              <w:fldChar w:fldCharType="separate"/>
            </w:r>
            <w:r w:rsidR="00D85615">
              <w:rPr>
                <w:webHidden/>
              </w:rPr>
              <w:t>34</w:t>
            </w:r>
            <w:r>
              <w:rPr>
                <w:webHidden/>
              </w:rPr>
              <w:fldChar w:fldCharType="end"/>
            </w:r>
          </w:hyperlink>
        </w:p>
        <w:p w14:paraId="7CA473D1" w14:textId="3C634BD6" w:rsidR="00104CB3" w:rsidRDefault="00104CB3">
          <w:pPr>
            <w:pStyle w:val="TOC3"/>
            <w:rPr>
              <w:rFonts w:asciiTheme="minorHAnsi" w:eastAsiaTheme="minorEastAsia" w:hAnsiTheme="minorHAnsi"/>
              <w:lang w:eastAsia="en-AU"/>
            </w:rPr>
          </w:pPr>
          <w:hyperlink w:anchor="_Toc526864473" w:history="1">
            <w:r w:rsidRPr="00D67863">
              <w:rPr>
                <w:rStyle w:val="Hyperlink"/>
              </w:rPr>
              <w:t>16 c – Connection Failures - 1 April to 30 June 2018</w:t>
            </w:r>
            <w:r>
              <w:rPr>
                <w:webHidden/>
              </w:rPr>
              <w:tab/>
            </w:r>
            <w:r>
              <w:rPr>
                <w:webHidden/>
              </w:rPr>
              <w:fldChar w:fldCharType="begin"/>
            </w:r>
            <w:r>
              <w:rPr>
                <w:webHidden/>
              </w:rPr>
              <w:instrText xml:space="preserve"> PAGEREF _Toc526864473 \h </w:instrText>
            </w:r>
            <w:r>
              <w:rPr>
                <w:webHidden/>
              </w:rPr>
            </w:r>
            <w:r>
              <w:rPr>
                <w:webHidden/>
              </w:rPr>
              <w:fldChar w:fldCharType="separate"/>
            </w:r>
            <w:r w:rsidR="00D85615">
              <w:rPr>
                <w:webHidden/>
              </w:rPr>
              <w:t>35</w:t>
            </w:r>
            <w:r>
              <w:rPr>
                <w:webHidden/>
              </w:rPr>
              <w:fldChar w:fldCharType="end"/>
            </w:r>
          </w:hyperlink>
        </w:p>
        <w:p w14:paraId="4BFC03D9" w14:textId="504CE316" w:rsidR="00104CB3" w:rsidRDefault="00104CB3">
          <w:pPr>
            <w:pStyle w:val="TOC3"/>
            <w:rPr>
              <w:rFonts w:asciiTheme="minorHAnsi" w:eastAsiaTheme="minorEastAsia" w:hAnsiTheme="minorHAnsi"/>
              <w:lang w:eastAsia="en-AU"/>
            </w:rPr>
          </w:pPr>
          <w:hyperlink w:anchor="_Toc526864474" w:history="1">
            <w:r w:rsidRPr="00D67863">
              <w:rPr>
                <w:rStyle w:val="Hyperlink"/>
              </w:rPr>
              <w:t>16 d – Income Support payment suspensions - 1 April to 30 June 2018</w:t>
            </w:r>
            <w:r>
              <w:rPr>
                <w:webHidden/>
              </w:rPr>
              <w:tab/>
            </w:r>
            <w:r>
              <w:rPr>
                <w:webHidden/>
              </w:rPr>
              <w:fldChar w:fldCharType="begin"/>
            </w:r>
            <w:r>
              <w:rPr>
                <w:webHidden/>
              </w:rPr>
              <w:instrText xml:space="preserve"> PAGEREF _Toc526864474 \h </w:instrText>
            </w:r>
            <w:r>
              <w:rPr>
                <w:webHidden/>
              </w:rPr>
            </w:r>
            <w:r>
              <w:rPr>
                <w:webHidden/>
              </w:rPr>
              <w:fldChar w:fldCharType="separate"/>
            </w:r>
            <w:r w:rsidR="00D85615">
              <w:rPr>
                <w:webHidden/>
              </w:rPr>
              <w:t>35</w:t>
            </w:r>
            <w:r>
              <w:rPr>
                <w:webHidden/>
              </w:rPr>
              <w:fldChar w:fldCharType="end"/>
            </w:r>
          </w:hyperlink>
        </w:p>
        <w:p w14:paraId="1E2C7D77" w14:textId="06405DBB" w:rsidR="00104CB3" w:rsidRDefault="00104CB3">
          <w:pPr>
            <w:pStyle w:val="TOC3"/>
            <w:rPr>
              <w:rFonts w:asciiTheme="minorHAnsi" w:eastAsiaTheme="minorEastAsia" w:hAnsiTheme="minorHAnsi"/>
              <w:lang w:eastAsia="en-AU"/>
            </w:rPr>
          </w:pPr>
          <w:hyperlink w:anchor="_Toc526864475" w:history="1">
            <w:r w:rsidRPr="00D67863">
              <w:rPr>
                <w:rStyle w:val="Hyperlink"/>
              </w:rPr>
              <w:t>16 e – Comprehensive Compliance Assessments - 1 April to 30 June 2018</w:t>
            </w:r>
            <w:r>
              <w:rPr>
                <w:webHidden/>
              </w:rPr>
              <w:tab/>
            </w:r>
            <w:r>
              <w:rPr>
                <w:webHidden/>
              </w:rPr>
              <w:fldChar w:fldCharType="begin"/>
            </w:r>
            <w:r>
              <w:rPr>
                <w:webHidden/>
              </w:rPr>
              <w:instrText xml:space="preserve"> PAGEREF _Toc526864475 \h </w:instrText>
            </w:r>
            <w:r>
              <w:rPr>
                <w:webHidden/>
              </w:rPr>
            </w:r>
            <w:r>
              <w:rPr>
                <w:webHidden/>
              </w:rPr>
              <w:fldChar w:fldCharType="separate"/>
            </w:r>
            <w:r w:rsidR="00D85615">
              <w:rPr>
                <w:webHidden/>
              </w:rPr>
              <w:t>36</w:t>
            </w:r>
            <w:r>
              <w:rPr>
                <w:webHidden/>
              </w:rPr>
              <w:fldChar w:fldCharType="end"/>
            </w:r>
          </w:hyperlink>
        </w:p>
        <w:p w14:paraId="2BD60BB5" w14:textId="5492A7B0" w:rsidR="00104CB3" w:rsidRDefault="00104CB3">
          <w:pPr>
            <w:pStyle w:val="TOC2"/>
            <w:rPr>
              <w:rFonts w:asciiTheme="minorHAnsi" w:eastAsiaTheme="minorEastAsia" w:hAnsiTheme="minorHAnsi"/>
              <w:b w:val="0"/>
              <w:lang w:eastAsia="en-AU"/>
            </w:rPr>
          </w:pPr>
          <w:hyperlink w:anchor="_Toc526864476" w:history="1">
            <w:r w:rsidRPr="00D67863">
              <w:rPr>
                <w:rStyle w:val="Hyperlink"/>
              </w:rPr>
              <w:t>17 – Financial Penalties, Connection Failures, Income Support Payment Suspensions and CCAs by Employment Services - 1 April to 30 June 2018</w:t>
            </w:r>
            <w:r>
              <w:rPr>
                <w:webHidden/>
              </w:rPr>
              <w:tab/>
            </w:r>
            <w:r>
              <w:rPr>
                <w:webHidden/>
              </w:rPr>
              <w:fldChar w:fldCharType="begin"/>
            </w:r>
            <w:r>
              <w:rPr>
                <w:webHidden/>
              </w:rPr>
              <w:instrText xml:space="preserve"> PAGEREF _Toc526864476 \h </w:instrText>
            </w:r>
            <w:r>
              <w:rPr>
                <w:webHidden/>
              </w:rPr>
            </w:r>
            <w:r>
              <w:rPr>
                <w:webHidden/>
              </w:rPr>
              <w:fldChar w:fldCharType="separate"/>
            </w:r>
            <w:r w:rsidR="00D85615">
              <w:rPr>
                <w:webHidden/>
              </w:rPr>
              <w:t>36</w:t>
            </w:r>
            <w:r>
              <w:rPr>
                <w:webHidden/>
              </w:rPr>
              <w:fldChar w:fldCharType="end"/>
            </w:r>
          </w:hyperlink>
        </w:p>
        <w:p w14:paraId="4D8BF18D" w14:textId="0FA3FFBA" w:rsidR="00104CB3" w:rsidRDefault="00104CB3">
          <w:pPr>
            <w:pStyle w:val="TOC3"/>
            <w:rPr>
              <w:rFonts w:asciiTheme="minorHAnsi" w:eastAsiaTheme="minorEastAsia" w:hAnsiTheme="minorHAnsi"/>
              <w:lang w:eastAsia="en-AU"/>
            </w:rPr>
          </w:pPr>
          <w:hyperlink w:anchor="_Toc526864477" w:history="1">
            <w:r w:rsidRPr="00D67863">
              <w:rPr>
                <w:rStyle w:val="Hyperlink"/>
              </w:rPr>
              <w:t>17 a – Non Payment Periods (NPPs) - 1 April to 30 June 2018</w:t>
            </w:r>
            <w:r>
              <w:rPr>
                <w:webHidden/>
              </w:rPr>
              <w:tab/>
            </w:r>
            <w:r>
              <w:rPr>
                <w:webHidden/>
              </w:rPr>
              <w:fldChar w:fldCharType="begin"/>
            </w:r>
            <w:r>
              <w:rPr>
                <w:webHidden/>
              </w:rPr>
              <w:instrText xml:space="preserve"> PAGEREF _Toc526864477 \h </w:instrText>
            </w:r>
            <w:r>
              <w:rPr>
                <w:webHidden/>
              </w:rPr>
            </w:r>
            <w:r>
              <w:rPr>
                <w:webHidden/>
              </w:rPr>
              <w:fldChar w:fldCharType="separate"/>
            </w:r>
            <w:r w:rsidR="00D85615">
              <w:rPr>
                <w:webHidden/>
              </w:rPr>
              <w:t>36</w:t>
            </w:r>
            <w:r>
              <w:rPr>
                <w:webHidden/>
              </w:rPr>
              <w:fldChar w:fldCharType="end"/>
            </w:r>
          </w:hyperlink>
        </w:p>
        <w:p w14:paraId="0CBE7D0D" w14:textId="1D225F53" w:rsidR="00104CB3" w:rsidRDefault="00104CB3">
          <w:pPr>
            <w:pStyle w:val="TOC3"/>
            <w:rPr>
              <w:rFonts w:asciiTheme="minorHAnsi" w:eastAsiaTheme="minorEastAsia" w:hAnsiTheme="minorHAnsi"/>
              <w:lang w:eastAsia="en-AU"/>
            </w:rPr>
          </w:pPr>
          <w:hyperlink w:anchor="_Toc526864478" w:history="1">
            <w:r w:rsidRPr="00D67863">
              <w:rPr>
                <w:rStyle w:val="Hyperlink"/>
              </w:rPr>
              <w:t>17 b – Short Term Financial Penalties and Total Financial Penalty Summary - 1 April to 30 June 2018</w:t>
            </w:r>
            <w:r>
              <w:rPr>
                <w:webHidden/>
              </w:rPr>
              <w:tab/>
            </w:r>
            <w:r>
              <w:rPr>
                <w:webHidden/>
              </w:rPr>
              <w:fldChar w:fldCharType="begin"/>
            </w:r>
            <w:r>
              <w:rPr>
                <w:webHidden/>
              </w:rPr>
              <w:instrText xml:space="preserve"> PAGEREF _Toc526864478 \h </w:instrText>
            </w:r>
            <w:r>
              <w:rPr>
                <w:webHidden/>
              </w:rPr>
            </w:r>
            <w:r>
              <w:rPr>
                <w:webHidden/>
              </w:rPr>
              <w:fldChar w:fldCharType="separate"/>
            </w:r>
            <w:r w:rsidR="00D85615">
              <w:rPr>
                <w:webHidden/>
              </w:rPr>
              <w:t>37</w:t>
            </w:r>
            <w:r>
              <w:rPr>
                <w:webHidden/>
              </w:rPr>
              <w:fldChar w:fldCharType="end"/>
            </w:r>
          </w:hyperlink>
        </w:p>
        <w:p w14:paraId="02D01280" w14:textId="506736D9" w:rsidR="00104CB3" w:rsidRDefault="00104CB3">
          <w:pPr>
            <w:pStyle w:val="TOC3"/>
            <w:rPr>
              <w:rFonts w:asciiTheme="minorHAnsi" w:eastAsiaTheme="minorEastAsia" w:hAnsiTheme="minorHAnsi"/>
              <w:lang w:eastAsia="en-AU"/>
            </w:rPr>
          </w:pPr>
          <w:hyperlink w:anchor="_Toc526864479" w:history="1">
            <w:r w:rsidRPr="00D67863">
              <w:rPr>
                <w:rStyle w:val="Hyperlink"/>
              </w:rPr>
              <w:t>17 c – Connection Failures - 1 April to 30 June 2018</w:t>
            </w:r>
            <w:r>
              <w:rPr>
                <w:webHidden/>
              </w:rPr>
              <w:tab/>
            </w:r>
            <w:r>
              <w:rPr>
                <w:webHidden/>
              </w:rPr>
              <w:fldChar w:fldCharType="begin"/>
            </w:r>
            <w:r>
              <w:rPr>
                <w:webHidden/>
              </w:rPr>
              <w:instrText xml:space="preserve"> PAGEREF _Toc526864479 \h </w:instrText>
            </w:r>
            <w:r>
              <w:rPr>
                <w:webHidden/>
              </w:rPr>
            </w:r>
            <w:r>
              <w:rPr>
                <w:webHidden/>
              </w:rPr>
              <w:fldChar w:fldCharType="separate"/>
            </w:r>
            <w:r w:rsidR="00D85615">
              <w:rPr>
                <w:webHidden/>
              </w:rPr>
              <w:t>38</w:t>
            </w:r>
            <w:r>
              <w:rPr>
                <w:webHidden/>
              </w:rPr>
              <w:fldChar w:fldCharType="end"/>
            </w:r>
          </w:hyperlink>
        </w:p>
        <w:p w14:paraId="03626383" w14:textId="55F2D358" w:rsidR="00104CB3" w:rsidRDefault="00104CB3">
          <w:pPr>
            <w:pStyle w:val="TOC3"/>
            <w:rPr>
              <w:rFonts w:asciiTheme="minorHAnsi" w:eastAsiaTheme="minorEastAsia" w:hAnsiTheme="minorHAnsi"/>
              <w:lang w:eastAsia="en-AU"/>
            </w:rPr>
          </w:pPr>
          <w:hyperlink w:anchor="_Toc526864480" w:history="1">
            <w:r w:rsidRPr="00D67863">
              <w:rPr>
                <w:rStyle w:val="Hyperlink"/>
              </w:rPr>
              <w:t>17 d – Income Support Payment Suspensions - 1 April to 30 June 2018</w:t>
            </w:r>
            <w:r>
              <w:rPr>
                <w:webHidden/>
              </w:rPr>
              <w:tab/>
            </w:r>
            <w:r>
              <w:rPr>
                <w:webHidden/>
              </w:rPr>
              <w:fldChar w:fldCharType="begin"/>
            </w:r>
            <w:r>
              <w:rPr>
                <w:webHidden/>
              </w:rPr>
              <w:instrText xml:space="preserve"> PAGEREF _Toc526864480 \h </w:instrText>
            </w:r>
            <w:r>
              <w:rPr>
                <w:webHidden/>
              </w:rPr>
            </w:r>
            <w:r>
              <w:rPr>
                <w:webHidden/>
              </w:rPr>
              <w:fldChar w:fldCharType="separate"/>
            </w:r>
            <w:r w:rsidR="00D85615">
              <w:rPr>
                <w:webHidden/>
              </w:rPr>
              <w:t>38</w:t>
            </w:r>
            <w:r>
              <w:rPr>
                <w:webHidden/>
              </w:rPr>
              <w:fldChar w:fldCharType="end"/>
            </w:r>
          </w:hyperlink>
        </w:p>
        <w:p w14:paraId="7090561B" w14:textId="7F884551" w:rsidR="00104CB3" w:rsidRDefault="00104CB3">
          <w:pPr>
            <w:pStyle w:val="TOC3"/>
            <w:rPr>
              <w:rFonts w:asciiTheme="minorHAnsi" w:eastAsiaTheme="minorEastAsia" w:hAnsiTheme="minorHAnsi"/>
              <w:lang w:eastAsia="en-AU"/>
            </w:rPr>
          </w:pPr>
          <w:hyperlink w:anchor="_Toc526864481" w:history="1">
            <w:r w:rsidRPr="00D67863">
              <w:rPr>
                <w:rStyle w:val="Hyperlink"/>
              </w:rPr>
              <w:t>17 e – Comprehensive Compliance Assessments (CCA) - 1 April to 30 June 2018</w:t>
            </w:r>
            <w:r>
              <w:rPr>
                <w:webHidden/>
              </w:rPr>
              <w:tab/>
            </w:r>
            <w:r>
              <w:rPr>
                <w:webHidden/>
              </w:rPr>
              <w:fldChar w:fldCharType="begin"/>
            </w:r>
            <w:r>
              <w:rPr>
                <w:webHidden/>
              </w:rPr>
              <w:instrText xml:space="preserve"> PAGEREF _Toc526864481 \h </w:instrText>
            </w:r>
            <w:r>
              <w:rPr>
                <w:webHidden/>
              </w:rPr>
            </w:r>
            <w:r>
              <w:rPr>
                <w:webHidden/>
              </w:rPr>
              <w:fldChar w:fldCharType="separate"/>
            </w:r>
            <w:r w:rsidR="00D85615">
              <w:rPr>
                <w:webHidden/>
              </w:rPr>
              <w:t>39</w:t>
            </w:r>
            <w:r>
              <w:rPr>
                <w:webHidden/>
              </w:rPr>
              <w:fldChar w:fldCharType="end"/>
            </w:r>
          </w:hyperlink>
        </w:p>
        <w:p w14:paraId="6C443F82" w14:textId="64AD2A26" w:rsidR="00104CB3" w:rsidRDefault="00104CB3">
          <w:pPr>
            <w:pStyle w:val="TOC2"/>
            <w:rPr>
              <w:rFonts w:asciiTheme="minorHAnsi" w:eastAsiaTheme="minorEastAsia" w:hAnsiTheme="minorHAnsi"/>
              <w:b w:val="0"/>
              <w:lang w:eastAsia="en-AU"/>
            </w:rPr>
          </w:pPr>
          <w:hyperlink w:anchor="_Toc526864482" w:history="1">
            <w:r w:rsidRPr="00D67863">
              <w:rPr>
                <w:rStyle w:val="Hyperlink"/>
              </w:rPr>
              <w:t>Glossary</w:t>
            </w:r>
            <w:r>
              <w:rPr>
                <w:webHidden/>
              </w:rPr>
              <w:tab/>
            </w:r>
            <w:r>
              <w:rPr>
                <w:webHidden/>
              </w:rPr>
              <w:fldChar w:fldCharType="begin"/>
            </w:r>
            <w:r>
              <w:rPr>
                <w:webHidden/>
              </w:rPr>
              <w:instrText xml:space="preserve"> PAGEREF _Toc526864482 \h </w:instrText>
            </w:r>
            <w:r>
              <w:rPr>
                <w:webHidden/>
              </w:rPr>
            </w:r>
            <w:r>
              <w:rPr>
                <w:webHidden/>
              </w:rPr>
              <w:fldChar w:fldCharType="separate"/>
            </w:r>
            <w:r w:rsidR="00D85615">
              <w:rPr>
                <w:webHidden/>
              </w:rPr>
              <w:t>40</w:t>
            </w:r>
            <w:r>
              <w:rPr>
                <w:webHidden/>
              </w:rPr>
              <w:fldChar w:fldCharType="end"/>
            </w:r>
          </w:hyperlink>
        </w:p>
        <w:p w14:paraId="506114BC" w14:textId="3B9F0B8C" w:rsidR="008A2A10" w:rsidRPr="004C2412" w:rsidRDefault="003E5111" w:rsidP="008A2A10">
          <w:pPr>
            <w:ind w:left="0"/>
            <w:rPr>
              <w:b/>
              <w:bCs/>
              <w:noProof/>
              <w:sz w:val="20"/>
              <w:szCs w:val="20"/>
            </w:rPr>
            <w:sectPr w:rsidR="008A2A10" w:rsidRPr="004C2412" w:rsidSect="005F668D">
              <w:headerReference w:type="default" r:id="rId8"/>
              <w:footerReference w:type="default" r:id="rId9"/>
              <w:pgSz w:w="16838" w:h="11906" w:orient="landscape"/>
              <w:pgMar w:top="142" w:right="962" w:bottom="720" w:left="1134" w:header="567" w:footer="0" w:gutter="0"/>
              <w:cols w:space="708"/>
              <w:docGrid w:linePitch="360"/>
            </w:sectPr>
          </w:pPr>
          <w:r w:rsidRPr="004C2412">
            <w:rPr>
              <w:b/>
              <w:bCs/>
              <w:noProof/>
              <w:sz w:val="20"/>
              <w:szCs w:val="20"/>
            </w:rPr>
            <w:fldChar w:fldCharType="end"/>
          </w:r>
        </w:p>
        <w:p w14:paraId="360911D1" w14:textId="532BBF92" w:rsidR="00111DBF" w:rsidRPr="004C2412" w:rsidRDefault="00D85615" w:rsidP="008A2A10">
          <w:pPr>
            <w:ind w:left="0"/>
            <w:rPr>
              <w:noProof/>
              <w:sz w:val="20"/>
              <w:szCs w:val="20"/>
            </w:rPr>
          </w:pPr>
        </w:p>
      </w:sdtContent>
    </w:sdt>
    <w:bookmarkStart w:id="1" w:name="_Toc469992328" w:displacedByCustomXml="prev"/>
    <w:p w14:paraId="5F99FADB" w14:textId="77777777" w:rsidR="00BA4C67" w:rsidRDefault="00BA4C67">
      <w:pPr>
        <w:spacing w:before="0"/>
        <w:ind w:left="0"/>
        <w:rPr>
          <w:rFonts w:ascii="Arial" w:eastAsiaTheme="majorEastAsia" w:hAnsi="Arial" w:cstheme="majorBidi"/>
          <w:b/>
          <w:bCs/>
          <w:sz w:val="28"/>
          <w:szCs w:val="28"/>
        </w:rPr>
      </w:pPr>
      <w:r>
        <w:br w:type="page"/>
      </w:r>
    </w:p>
    <w:p w14:paraId="360911D2" w14:textId="1DA50ABF" w:rsidR="00C24E8B" w:rsidRPr="004C2412" w:rsidRDefault="00C24E8B" w:rsidP="00A609AA">
      <w:pPr>
        <w:pStyle w:val="Heading1"/>
        <w:spacing w:before="240"/>
        <w:rPr>
          <w:sz w:val="20"/>
          <w:szCs w:val="20"/>
        </w:rPr>
      </w:pPr>
      <w:bookmarkStart w:id="2" w:name="_Toc526864410"/>
      <w:r w:rsidRPr="004C2412">
        <w:lastRenderedPageBreak/>
        <w:t>Part A</w:t>
      </w:r>
      <w:bookmarkEnd w:id="1"/>
      <w:bookmarkEnd w:id="2"/>
    </w:p>
    <w:p w14:paraId="6388A046" w14:textId="12FED316" w:rsidR="00F70312" w:rsidRPr="004C2412" w:rsidRDefault="006D50CA" w:rsidP="00A609AA">
      <w:pPr>
        <w:pStyle w:val="Heading1"/>
        <w:rPr>
          <w:b w:val="0"/>
          <w:sz w:val="22"/>
          <w:szCs w:val="22"/>
        </w:rPr>
      </w:pPr>
      <w:r w:rsidRPr="004C2412">
        <w:rPr>
          <w:sz w:val="22"/>
          <w:szCs w:val="22"/>
        </w:rPr>
        <w:fldChar w:fldCharType="begin"/>
      </w:r>
      <w:r w:rsidRPr="004C2412">
        <w:rPr>
          <w:sz w:val="22"/>
          <w:szCs w:val="22"/>
        </w:rPr>
        <w:instrText xml:space="preserve"> SEQ Table \* ARABIC </w:instrText>
      </w:r>
      <w:r w:rsidRPr="004C2412">
        <w:rPr>
          <w:sz w:val="22"/>
          <w:szCs w:val="22"/>
        </w:rPr>
        <w:fldChar w:fldCharType="separate"/>
      </w:r>
      <w:bookmarkStart w:id="3" w:name="_Toc526864411"/>
      <w:r w:rsidR="00D85615">
        <w:rPr>
          <w:noProof/>
          <w:sz w:val="22"/>
          <w:szCs w:val="22"/>
        </w:rPr>
        <w:t>1</w:t>
      </w:r>
      <w:r w:rsidRPr="004C2412">
        <w:rPr>
          <w:noProof/>
          <w:sz w:val="22"/>
          <w:szCs w:val="22"/>
        </w:rPr>
        <w:fldChar w:fldCharType="end"/>
      </w:r>
      <w:r w:rsidR="00F70312" w:rsidRPr="004C2412">
        <w:rPr>
          <w:b w:val="0"/>
          <w:sz w:val="22"/>
          <w:szCs w:val="22"/>
        </w:rPr>
        <w:t xml:space="preserve"> </w:t>
      </w:r>
      <w:r w:rsidR="00F70312" w:rsidRPr="004C2412">
        <w:rPr>
          <w:sz w:val="22"/>
          <w:szCs w:val="22"/>
        </w:rPr>
        <w:t>–</w:t>
      </w:r>
      <w:r w:rsidR="00F70312" w:rsidRPr="004C2412">
        <w:rPr>
          <w:b w:val="0"/>
          <w:sz w:val="22"/>
          <w:szCs w:val="22"/>
        </w:rPr>
        <w:t xml:space="preserve"> </w:t>
      </w:r>
      <w:r w:rsidR="00F70312" w:rsidRPr="004C2412">
        <w:rPr>
          <w:rStyle w:val="Heading2Char"/>
          <w:b/>
          <w:sz w:val="22"/>
          <w:szCs w:val="22"/>
        </w:rPr>
        <w:t xml:space="preserve">Number of job seekers </w:t>
      </w:r>
      <w:r w:rsidR="00D170FA" w:rsidRPr="004C2412">
        <w:rPr>
          <w:rStyle w:val="Heading2Char"/>
          <w:b/>
          <w:sz w:val="22"/>
          <w:szCs w:val="22"/>
        </w:rPr>
        <w:t xml:space="preserve">- </w:t>
      </w:r>
      <w:r w:rsidR="00F70312" w:rsidRPr="004C2412">
        <w:rPr>
          <w:rStyle w:val="Heading2Char"/>
          <w:b/>
          <w:sz w:val="22"/>
          <w:szCs w:val="22"/>
        </w:rPr>
        <w:t xml:space="preserve">as at </w:t>
      </w:r>
      <w:r w:rsidR="00D23460">
        <w:rPr>
          <w:rStyle w:val="Heading2Char"/>
          <w:b/>
          <w:sz w:val="22"/>
          <w:szCs w:val="22"/>
        </w:rPr>
        <w:t>30 June</w:t>
      </w:r>
      <w:r w:rsidR="00F70312" w:rsidRPr="004C2412">
        <w:rPr>
          <w:rStyle w:val="Heading2Char"/>
          <w:b/>
          <w:sz w:val="22"/>
          <w:szCs w:val="22"/>
        </w:rPr>
        <w:t xml:space="preserve"> 201</w:t>
      </w:r>
      <w:r w:rsidR="00D31F69" w:rsidRPr="004C2412">
        <w:rPr>
          <w:rStyle w:val="Heading2Char"/>
          <w:b/>
          <w:sz w:val="22"/>
          <w:szCs w:val="22"/>
        </w:rPr>
        <w:t>8</w:t>
      </w:r>
      <w:bookmarkEnd w:id="3"/>
    </w:p>
    <w:tbl>
      <w:tblPr>
        <w:tblStyle w:val="CenterAlignTable"/>
        <w:tblpPr w:leftFromText="180" w:rightFromText="180" w:vertAnchor="text" w:tblpXSpec="center" w:tblpY="1"/>
        <w:tblOverlap w:val="never"/>
        <w:tblW w:w="5000" w:type="pct"/>
        <w:tblInd w:w="0" w:type="dxa"/>
        <w:tblLayout w:type="fixed"/>
        <w:tblLook w:val="06A0" w:firstRow="1" w:lastRow="0" w:firstColumn="1" w:lastColumn="0" w:noHBand="1" w:noVBand="1"/>
        <w:tblCaption w:val="Number of Job seekers (as at 31 March 2014)"/>
        <w:tblDescription w:val="Number of Job seekers (as at 31 March 2014)"/>
      </w:tblPr>
      <w:tblGrid>
        <w:gridCol w:w="1365"/>
        <w:gridCol w:w="899"/>
        <w:gridCol w:w="2882"/>
        <w:gridCol w:w="2882"/>
        <w:gridCol w:w="2882"/>
        <w:gridCol w:w="1417"/>
        <w:gridCol w:w="852"/>
        <w:gridCol w:w="1553"/>
      </w:tblGrid>
      <w:tr w:rsidR="00E237B1" w:rsidRPr="004C2412" w14:paraId="360911DA" w14:textId="77777777" w:rsidTr="007876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68" w:type="pct"/>
            <w:gridSpan w:val="2"/>
            <w:shd w:val="clear" w:color="auto" w:fill="auto"/>
            <w:vAlign w:val="center"/>
          </w:tcPr>
          <w:p w14:paraId="360911D7" w14:textId="17FC32F5" w:rsidR="00535609" w:rsidRPr="001E7C46" w:rsidRDefault="00535609" w:rsidP="004322AF">
            <w:pPr>
              <w:ind w:left="0"/>
              <w:rPr>
                <w:b w:val="0"/>
              </w:rPr>
            </w:pPr>
            <w:r w:rsidRPr="001E7C46">
              <w:t>Active job seekers</w:t>
            </w:r>
          </w:p>
        </w:tc>
        <w:tc>
          <w:tcPr>
            <w:tcW w:w="978" w:type="pct"/>
            <w:vAlign w:val="center"/>
          </w:tcPr>
          <w:p w14:paraId="43E4794E" w14:textId="77777777" w:rsidR="00535609" w:rsidRPr="001E7C46" w:rsidRDefault="00535609" w:rsidP="004322AF">
            <w:pPr>
              <w:ind w:left="0"/>
              <w:cnfStyle w:val="100000000000" w:firstRow="1" w:lastRow="0" w:firstColumn="0" w:lastColumn="0" w:oddVBand="0" w:evenVBand="0" w:oddHBand="0" w:evenHBand="0" w:firstRowFirstColumn="0" w:firstRowLastColumn="0" w:lastRowFirstColumn="0" w:lastRowLastColumn="0"/>
            </w:pPr>
            <w:r w:rsidRPr="001E7C46">
              <w:t>Other job seekers:</w:t>
            </w:r>
          </w:p>
          <w:p w14:paraId="6F6872A3" w14:textId="7D0DBF81" w:rsidR="00535609" w:rsidRPr="001E7C46" w:rsidRDefault="00535609" w:rsidP="004322AF">
            <w:pPr>
              <w:ind w:left="0"/>
              <w:cnfStyle w:val="100000000000" w:firstRow="1" w:lastRow="0" w:firstColumn="0" w:lastColumn="0" w:oddVBand="0" w:evenVBand="0" w:oddHBand="0" w:evenHBand="0" w:firstRowFirstColumn="0" w:firstRowLastColumn="0" w:lastRowFirstColumn="0" w:lastRowLastColumn="0"/>
            </w:pPr>
            <w:r w:rsidRPr="001E7C46">
              <w:t>Temporary exemption</w:t>
            </w:r>
          </w:p>
        </w:tc>
        <w:tc>
          <w:tcPr>
            <w:tcW w:w="978" w:type="pct"/>
            <w:vAlign w:val="center"/>
          </w:tcPr>
          <w:p w14:paraId="57BC2F57" w14:textId="09B2A8A5" w:rsidR="00535609" w:rsidRPr="001E7C46" w:rsidRDefault="00535609" w:rsidP="004322AF">
            <w:pPr>
              <w:ind w:left="0"/>
              <w:cnfStyle w:val="100000000000" w:firstRow="1" w:lastRow="0" w:firstColumn="0" w:lastColumn="0" w:oddVBand="0" w:evenVBand="0" w:oddHBand="0" w:evenHBand="0" w:firstRowFirstColumn="0" w:firstRowLastColumn="0" w:lastRowFirstColumn="0" w:lastRowLastColumn="0"/>
            </w:pPr>
            <w:r w:rsidRPr="001E7C46">
              <w:t>Other job seekers</w:t>
            </w:r>
            <w:r w:rsidR="00E237B1" w:rsidRPr="001E7C46">
              <w:t>:</w:t>
            </w:r>
          </w:p>
          <w:p w14:paraId="1502C357" w14:textId="69710A26" w:rsidR="00535609" w:rsidRPr="001E7C46" w:rsidRDefault="00535609" w:rsidP="004322AF">
            <w:pPr>
              <w:ind w:left="0"/>
              <w:cnfStyle w:val="100000000000" w:firstRow="1" w:lastRow="0" w:firstColumn="0" w:lastColumn="0" w:oddVBand="0" w:evenVBand="0" w:oddHBand="0" w:evenHBand="0" w:firstRowFirstColumn="0" w:firstRowLastColumn="0" w:lastRowFirstColumn="0" w:lastRowLastColumn="0"/>
            </w:pPr>
            <w:r w:rsidRPr="001E7C46">
              <w:t>Reduced work capacity</w:t>
            </w:r>
          </w:p>
        </w:tc>
        <w:tc>
          <w:tcPr>
            <w:tcW w:w="978" w:type="pct"/>
            <w:vAlign w:val="center"/>
          </w:tcPr>
          <w:p w14:paraId="309F4313" w14:textId="398D2EAB" w:rsidR="00535609" w:rsidRPr="001E7C46" w:rsidRDefault="00535609" w:rsidP="004322AF">
            <w:pPr>
              <w:ind w:left="0"/>
              <w:cnfStyle w:val="100000000000" w:firstRow="1" w:lastRow="0" w:firstColumn="0" w:lastColumn="0" w:oddVBand="0" w:evenVBand="0" w:oddHBand="0" w:evenHBand="0" w:firstRowFirstColumn="0" w:firstRowLastColumn="0" w:lastRowFirstColumn="0" w:lastRowLastColumn="0"/>
            </w:pPr>
            <w:r w:rsidRPr="001E7C46">
              <w:t>Other job seekers</w:t>
            </w:r>
            <w:r w:rsidR="00E237B1" w:rsidRPr="001E7C46">
              <w:t>:</w:t>
            </w:r>
          </w:p>
          <w:p w14:paraId="260C9847" w14:textId="68DCFFA0" w:rsidR="00535609" w:rsidRPr="001E7C46" w:rsidRDefault="00535609" w:rsidP="004322AF">
            <w:pPr>
              <w:ind w:left="0"/>
              <w:cnfStyle w:val="100000000000" w:firstRow="1" w:lastRow="0" w:firstColumn="0" w:lastColumn="0" w:oddVBand="0" w:evenVBand="0" w:oddHBand="0" w:evenHBand="0" w:firstRowFirstColumn="0" w:firstRowLastColumn="0" w:lastRowFirstColumn="0" w:lastRowLastColumn="0"/>
            </w:pPr>
            <w:r w:rsidRPr="001E7C46">
              <w:t>Approved activity</w:t>
            </w:r>
          </w:p>
        </w:tc>
        <w:tc>
          <w:tcPr>
            <w:tcW w:w="770" w:type="pct"/>
            <w:gridSpan w:val="2"/>
            <w:vAlign w:val="center"/>
          </w:tcPr>
          <w:p w14:paraId="01478129" w14:textId="77777777" w:rsidR="00535609" w:rsidRPr="001E7C46" w:rsidRDefault="00535609" w:rsidP="004322AF">
            <w:pPr>
              <w:ind w:left="0"/>
              <w:cnfStyle w:val="100000000000" w:firstRow="1" w:lastRow="0" w:firstColumn="0" w:lastColumn="0" w:oddVBand="0" w:evenVBand="0" w:oddHBand="0" w:evenHBand="0" w:firstRowFirstColumn="0" w:firstRowLastColumn="0" w:lastRowFirstColumn="0" w:lastRowLastColumn="0"/>
            </w:pPr>
            <w:r w:rsidRPr="001E7C46">
              <w:t>Other Job Seekers:</w:t>
            </w:r>
          </w:p>
          <w:p w14:paraId="360911D8" w14:textId="04C88874" w:rsidR="00535609" w:rsidRPr="001E7C46" w:rsidRDefault="00535609" w:rsidP="004322AF">
            <w:pPr>
              <w:ind w:left="0"/>
              <w:cnfStyle w:val="100000000000" w:firstRow="1" w:lastRow="0" w:firstColumn="0" w:lastColumn="0" w:oddVBand="0" w:evenVBand="0" w:oddHBand="0" w:evenHBand="0" w:firstRowFirstColumn="0" w:firstRowLastColumn="0" w:lastRowFirstColumn="0" w:lastRowLastColumn="0"/>
              <w:rPr>
                <w:b w:val="0"/>
              </w:rPr>
            </w:pPr>
            <w:r w:rsidRPr="001E7C46">
              <w:t>Total</w:t>
            </w:r>
          </w:p>
        </w:tc>
        <w:tc>
          <w:tcPr>
            <w:tcW w:w="527" w:type="pct"/>
            <w:vAlign w:val="center"/>
          </w:tcPr>
          <w:p w14:paraId="360911D9" w14:textId="77777777" w:rsidR="00535609" w:rsidRPr="001E7C46" w:rsidRDefault="00535609" w:rsidP="004322AF">
            <w:pPr>
              <w:ind w:left="0"/>
              <w:cnfStyle w:val="100000000000" w:firstRow="1" w:lastRow="0" w:firstColumn="0" w:lastColumn="0" w:oddVBand="0" w:evenVBand="0" w:oddHBand="0" w:evenHBand="0" w:firstRowFirstColumn="0" w:firstRowLastColumn="0" w:lastRowFirstColumn="0" w:lastRowLastColumn="0"/>
            </w:pPr>
            <w:r w:rsidRPr="001E7C46">
              <w:t>Total job seekers</w:t>
            </w:r>
          </w:p>
        </w:tc>
      </w:tr>
      <w:tr w:rsidR="00E237B1" w:rsidRPr="004C2412" w14:paraId="360911EA" w14:textId="77777777" w:rsidTr="00910012">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463" w:type="pct"/>
          </w:tcPr>
          <w:p w14:paraId="360911E2" w14:textId="77777777" w:rsidR="00535609" w:rsidRPr="001E7C46" w:rsidRDefault="00535609" w:rsidP="00910012">
            <w:pPr>
              <w:spacing w:before="0"/>
              <w:ind w:left="0"/>
            </w:pPr>
            <w:r w:rsidRPr="001E7C46">
              <w:t>No.</w:t>
            </w:r>
          </w:p>
        </w:tc>
        <w:tc>
          <w:tcPr>
            <w:tcW w:w="305" w:type="pct"/>
            <w:vAlign w:val="center"/>
          </w:tcPr>
          <w:p w14:paraId="360911E3" w14:textId="34AE7642" w:rsidR="00535609" w:rsidRPr="001E7C46" w:rsidRDefault="00535609" w:rsidP="00910012">
            <w:pPr>
              <w:spacing w:before="0"/>
              <w:ind w:left="0"/>
              <w:cnfStyle w:val="100000000000" w:firstRow="1" w:lastRow="0" w:firstColumn="0" w:lastColumn="0" w:oddVBand="0" w:evenVBand="0" w:oddHBand="0" w:evenHBand="0" w:firstRowFirstColumn="0" w:firstRowLastColumn="0" w:lastRowFirstColumn="0" w:lastRowLastColumn="0"/>
            </w:pPr>
            <w:r w:rsidRPr="001E7C46">
              <w:rPr>
                <w:rFonts w:cs="Gill Sans MT"/>
                <w:color w:val="000000"/>
              </w:rPr>
              <w:t>%</w:t>
            </w:r>
          </w:p>
        </w:tc>
        <w:tc>
          <w:tcPr>
            <w:tcW w:w="978" w:type="pct"/>
            <w:vAlign w:val="center"/>
          </w:tcPr>
          <w:p w14:paraId="360911E4" w14:textId="7391D930" w:rsidR="00535609" w:rsidRPr="001E7C46" w:rsidRDefault="00535609" w:rsidP="00910012">
            <w:pPr>
              <w:spacing w:before="0"/>
              <w:ind w:left="0"/>
              <w:cnfStyle w:val="100000000000" w:firstRow="1" w:lastRow="0" w:firstColumn="0" w:lastColumn="0" w:oddVBand="0" w:evenVBand="0" w:oddHBand="0" w:evenHBand="0" w:firstRowFirstColumn="0" w:firstRowLastColumn="0" w:lastRowFirstColumn="0" w:lastRowLastColumn="0"/>
            </w:pPr>
            <w:r w:rsidRPr="001E7C46">
              <w:t>No.</w:t>
            </w:r>
          </w:p>
        </w:tc>
        <w:tc>
          <w:tcPr>
            <w:tcW w:w="978" w:type="pct"/>
            <w:vAlign w:val="center"/>
          </w:tcPr>
          <w:p w14:paraId="360911E5" w14:textId="087A952F" w:rsidR="00535609" w:rsidRPr="001E7C46" w:rsidRDefault="00535609" w:rsidP="00910012">
            <w:pPr>
              <w:spacing w:before="0"/>
              <w:ind w:left="0"/>
              <w:cnfStyle w:val="100000000000" w:firstRow="1" w:lastRow="0" w:firstColumn="0" w:lastColumn="0" w:oddVBand="0" w:evenVBand="0" w:oddHBand="0" w:evenHBand="0" w:firstRowFirstColumn="0" w:firstRowLastColumn="0" w:lastRowFirstColumn="0" w:lastRowLastColumn="0"/>
            </w:pPr>
            <w:r w:rsidRPr="001E7C46">
              <w:t>No.</w:t>
            </w:r>
          </w:p>
        </w:tc>
        <w:tc>
          <w:tcPr>
            <w:tcW w:w="978" w:type="pct"/>
            <w:vAlign w:val="center"/>
          </w:tcPr>
          <w:p w14:paraId="360911E6" w14:textId="1020F271" w:rsidR="00535609" w:rsidRPr="001E7C46" w:rsidRDefault="00535609" w:rsidP="00910012">
            <w:pPr>
              <w:spacing w:before="0"/>
              <w:ind w:left="0"/>
              <w:cnfStyle w:val="100000000000" w:firstRow="1" w:lastRow="0" w:firstColumn="0" w:lastColumn="0" w:oddVBand="0" w:evenVBand="0" w:oddHBand="0" w:evenHBand="0" w:firstRowFirstColumn="0" w:firstRowLastColumn="0" w:lastRowFirstColumn="0" w:lastRowLastColumn="0"/>
            </w:pPr>
            <w:r w:rsidRPr="001E7C46">
              <w:t>No.</w:t>
            </w:r>
          </w:p>
        </w:tc>
        <w:tc>
          <w:tcPr>
            <w:tcW w:w="481" w:type="pct"/>
          </w:tcPr>
          <w:p w14:paraId="360911E7" w14:textId="77777777" w:rsidR="00535609" w:rsidRPr="001E7C46" w:rsidRDefault="00535609" w:rsidP="00910012">
            <w:pPr>
              <w:spacing w:before="0"/>
              <w:ind w:left="0"/>
              <w:cnfStyle w:val="100000000000" w:firstRow="1" w:lastRow="0" w:firstColumn="0" w:lastColumn="0" w:oddVBand="0" w:evenVBand="0" w:oddHBand="0" w:evenHBand="0" w:firstRowFirstColumn="0" w:firstRowLastColumn="0" w:lastRowFirstColumn="0" w:lastRowLastColumn="0"/>
            </w:pPr>
            <w:r w:rsidRPr="001E7C46">
              <w:t>No.</w:t>
            </w:r>
          </w:p>
        </w:tc>
        <w:tc>
          <w:tcPr>
            <w:tcW w:w="289" w:type="pct"/>
          </w:tcPr>
          <w:p w14:paraId="360911E8" w14:textId="77777777" w:rsidR="00535609" w:rsidRPr="001E7C46" w:rsidRDefault="00535609" w:rsidP="00910012">
            <w:pPr>
              <w:spacing w:before="0"/>
              <w:ind w:left="0"/>
              <w:cnfStyle w:val="100000000000" w:firstRow="1" w:lastRow="0" w:firstColumn="0" w:lastColumn="0" w:oddVBand="0" w:evenVBand="0" w:oddHBand="0" w:evenHBand="0" w:firstRowFirstColumn="0" w:firstRowLastColumn="0" w:lastRowFirstColumn="0" w:lastRowLastColumn="0"/>
            </w:pPr>
            <w:r w:rsidRPr="001E7C46">
              <w:t>%</w:t>
            </w:r>
          </w:p>
        </w:tc>
        <w:tc>
          <w:tcPr>
            <w:tcW w:w="527" w:type="pct"/>
          </w:tcPr>
          <w:p w14:paraId="360911E9" w14:textId="77777777" w:rsidR="00535609" w:rsidRPr="001E7C46" w:rsidRDefault="00535609" w:rsidP="00910012">
            <w:pPr>
              <w:spacing w:before="0"/>
              <w:ind w:left="0"/>
              <w:cnfStyle w:val="100000000000" w:firstRow="1" w:lastRow="0" w:firstColumn="0" w:lastColumn="0" w:oddVBand="0" w:evenVBand="0" w:oddHBand="0" w:evenHBand="0" w:firstRowFirstColumn="0" w:firstRowLastColumn="0" w:lastRowFirstColumn="0" w:lastRowLastColumn="0"/>
            </w:pPr>
            <w:r w:rsidRPr="001E7C46">
              <w:t>No.</w:t>
            </w:r>
          </w:p>
        </w:tc>
      </w:tr>
      <w:tr w:rsidR="00D23460" w:rsidRPr="004C2412" w14:paraId="360911F3" w14:textId="77777777" w:rsidTr="00910012">
        <w:trPr>
          <w:trHeight w:val="456"/>
        </w:trPr>
        <w:tc>
          <w:tcPr>
            <w:cnfStyle w:val="001000000000" w:firstRow="0" w:lastRow="0" w:firstColumn="1" w:lastColumn="0" w:oddVBand="0" w:evenVBand="0" w:oddHBand="0" w:evenHBand="0" w:firstRowFirstColumn="0" w:firstRowLastColumn="0" w:lastRowFirstColumn="0" w:lastRowLastColumn="0"/>
            <w:tcW w:w="463" w:type="pct"/>
            <w:vAlign w:val="center"/>
          </w:tcPr>
          <w:p w14:paraId="360911EB" w14:textId="617242FD" w:rsidR="00D23460" w:rsidRPr="001E7C46" w:rsidRDefault="00D23460" w:rsidP="00D23460">
            <w:pPr>
              <w:autoSpaceDE w:val="0"/>
              <w:autoSpaceDN w:val="0"/>
              <w:adjustRightInd w:val="0"/>
              <w:spacing w:before="0"/>
              <w:ind w:left="0"/>
              <w:rPr>
                <w:rFonts w:cs="Gill Sans MT"/>
                <w:b w:val="0"/>
                <w:color w:val="000000"/>
              </w:rPr>
            </w:pPr>
            <w:r w:rsidRPr="001E7C46">
              <w:rPr>
                <w:rFonts w:cs="Gill Sans MT"/>
                <w:b w:val="0"/>
                <w:color w:val="000000"/>
              </w:rPr>
              <w:t>633,790</w:t>
            </w:r>
          </w:p>
        </w:tc>
        <w:tc>
          <w:tcPr>
            <w:tcW w:w="305" w:type="pct"/>
            <w:vAlign w:val="center"/>
          </w:tcPr>
          <w:p w14:paraId="360911EC" w14:textId="2C07F41A" w:rsidR="00D23460" w:rsidRPr="001E7C46" w:rsidRDefault="00D23460" w:rsidP="00D2346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1E7C46">
              <w:rPr>
                <w:rFonts w:cs="Gill Sans MT"/>
                <w:color w:val="000000"/>
              </w:rPr>
              <w:t>73%</w:t>
            </w:r>
          </w:p>
        </w:tc>
        <w:tc>
          <w:tcPr>
            <w:tcW w:w="978" w:type="pct"/>
            <w:vAlign w:val="center"/>
          </w:tcPr>
          <w:p w14:paraId="360911ED" w14:textId="0FAD9DF3" w:rsidR="00D23460" w:rsidRPr="001E7C46" w:rsidRDefault="00D23460" w:rsidP="00D2346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1E7C46">
              <w:rPr>
                <w:rFonts w:cs="Gill Sans MT"/>
                <w:color w:val="000000"/>
              </w:rPr>
              <w:t>116,228</w:t>
            </w:r>
          </w:p>
        </w:tc>
        <w:tc>
          <w:tcPr>
            <w:tcW w:w="978" w:type="pct"/>
            <w:vAlign w:val="center"/>
          </w:tcPr>
          <w:p w14:paraId="360911EE" w14:textId="058988DE" w:rsidR="00D23460" w:rsidRPr="001E7C46" w:rsidRDefault="00D23460" w:rsidP="00D2346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1E7C46">
              <w:rPr>
                <w:rFonts w:cs="Gill Sans MT"/>
                <w:color w:val="000000"/>
              </w:rPr>
              <w:t>29,833</w:t>
            </w:r>
          </w:p>
        </w:tc>
        <w:tc>
          <w:tcPr>
            <w:tcW w:w="978" w:type="pct"/>
            <w:vAlign w:val="center"/>
          </w:tcPr>
          <w:p w14:paraId="360911EF" w14:textId="038D1347" w:rsidR="00D23460" w:rsidRPr="001E7C46" w:rsidRDefault="00D23460" w:rsidP="00D2346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1E7C46">
              <w:rPr>
                <w:rFonts w:cs="Gill Sans MT"/>
                <w:color w:val="000000"/>
              </w:rPr>
              <w:t>90,425</w:t>
            </w:r>
          </w:p>
        </w:tc>
        <w:tc>
          <w:tcPr>
            <w:tcW w:w="481" w:type="pct"/>
            <w:vAlign w:val="center"/>
          </w:tcPr>
          <w:p w14:paraId="360911F0" w14:textId="772303C8" w:rsidR="00D23460" w:rsidRPr="001E7C46" w:rsidRDefault="00D23460" w:rsidP="00D2346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1E7C46">
              <w:rPr>
                <w:rFonts w:cs="Gill Sans MT"/>
                <w:color w:val="000000"/>
              </w:rPr>
              <w:t>236,486</w:t>
            </w:r>
          </w:p>
        </w:tc>
        <w:tc>
          <w:tcPr>
            <w:tcW w:w="289" w:type="pct"/>
            <w:vAlign w:val="center"/>
          </w:tcPr>
          <w:p w14:paraId="360911F1" w14:textId="3EDE3086" w:rsidR="00D23460" w:rsidRPr="001E7C46" w:rsidRDefault="00D23460" w:rsidP="00D2346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1E7C46">
              <w:rPr>
                <w:rFonts w:cs="Gill Sans MT"/>
                <w:color w:val="000000"/>
              </w:rPr>
              <w:t>27%</w:t>
            </w:r>
          </w:p>
        </w:tc>
        <w:tc>
          <w:tcPr>
            <w:tcW w:w="527" w:type="pct"/>
            <w:vAlign w:val="center"/>
          </w:tcPr>
          <w:p w14:paraId="360911F2" w14:textId="5D8DA988" w:rsidR="00D23460" w:rsidRPr="001E7C46" w:rsidRDefault="00D23460" w:rsidP="00D2346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1E7C46">
              <w:rPr>
                <w:rFonts w:cs="Gill Sans MT"/>
                <w:color w:val="000000"/>
              </w:rPr>
              <w:t>870,276</w:t>
            </w:r>
          </w:p>
        </w:tc>
      </w:tr>
    </w:tbl>
    <w:p w14:paraId="14727DCA" w14:textId="4E393844" w:rsidR="00F3209B" w:rsidRPr="004C2412" w:rsidRDefault="00211ADB" w:rsidP="00F65699">
      <w:pPr>
        <w:spacing w:after="0" w:line="240" w:lineRule="auto"/>
        <w:ind w:left="0"/>
        <w:rPr>
          <w:noProof/>
        </w:rPr>
      </w:pPr>
      <w:r w:rsidRPr="004C2412">
        <w:rPr>
          <w:noProof/>
        </w:rPr>
        <w:t xml:space="preserve">‘Total job seekers’ </w:t>
      </w:r>
      <w:r w:rsidR="00041A58" w:rsidRPr="004C2412">
        <w:rPr>
          <w:noProof/>
        </w:rPr>
        <w:t>comprises ‘</w:t>
      </w:r>
      <w:r w:rsidRPr="004C2412">
        <w:rPr>
          <w:noProof/>
        </w:rPr>
        <w:t>A</w:t>
      </w:r>
      <w:r w:rsidR="00041A58" w:rsidRPr="004C2412">
        <w:rPr>
          <w:noProof/>
        </w:rPr>
        <w:t>ctive job seekers’</w:t>
      </w:r>
      <w:r w:rsidRPr="004C2412">
        <w:rPr>
          <w:noProof/>
        </w:rPr>
        <w:t xml:space="preserve"> </w:t>
      </w:r>
      <w:r w:rsidR="006E3063" w:rsidRPr="004C2412">
        <w:rPr>
          <w:noProof/>
        </w:rPr>
        <w:t xml:space="preserve">who </w:t>
      </w:r>
      <w:r w:rsidRPr="004C2412">
        <w:rPr>
          <w:noProof/>
        </w:rPr>
        <w:t>curr</w:t>
      </w:r>
      <w:r w:rsidR="00AC7387" w:rsidRPr="004C2412">
        <w:rPr>
          <w:noProof/>
        </w:rPr>
        <w:t>e</w:t>
      </w:r>
      <w:r w:rsidR="00B75CE0" w:rsidRPr="004C2412">
        <w:rPr>
          <w:noProof/>
        </w:rPr>
        <w:t xml:space="preserve">ntly </w:t>
      </w:r>
      <w:r w:rsidR="006E3063" w:rsidRPr="004C2412">
        <w:rPr>
          <w:noProof/>
        </w:rPr>
        <w:t>need to use</w:t>
      </w:r>
      <w:r w:rsidRPr="004C2412">
        <w:rPr>
          <w:noProof/>
        </w:rPr>
        <w:t xml:space="preserve"> employment services (i.e. jobactive, Disability Employment Services (DES), the Community Development Programme (CDP) or the Transition to Work (TTW) Service), as well as </w:t>
      </w:r>
      <w:r w:rsidR="00B75CE0" w:rsidRPr="004C2412">
        <w:rPr>
          <w:noProof/>
        </w:rPr>
        <w:t>‘</w:t>
      </w:r>
      <w:r w:rsidR="00EC3067" w:rsidRPr="004C2412">
        <w:rPr>
          <w:noProof/>
        </w:rPr>
        <w:t>Other job seekers</w:t>
      </w:r>
      <w:r w:rsidR="00B75CE0" w:rsidRPr="004C2412">
        <w:rPr>
          <w:noProof/>
        </w:rPr>
        <w:t xml:space="preserve">’ </w:t>
      </w:r>
      <w:r w:rsidR="00EC3067" w:rsidRPr="004C2412">
        <w:rPr>
          <w:noProof/>
        </w:rPr>
        <w:t>who have a</w:t>
      </w:r>
      <w:r w:rsidR="00B75CE0" w:rsidRPr="004C2412">
        <w:rPr>
          <w:noProof/>
        </w:rPr>
        <w:t xml:space="preserve"> </w:t>
      </w:r>
      <w:r w:rsidR="00EC3067" w:rsidRPr="004C2412">
        <w:rPr>
          <w:noProof/>
        </w:rPr>
        <w:t>‘</w:t>
      </w:r>
      <w:r w:rsidR="00B75CE0" w:rsidRPr="004C2412">
        <w:rPr>
          <w:noProof/>
        </w:rPr>
        <w:t>Temporary exemption’, ‘Reduced work capa</w:t>
      </w:r>
      <w:r w:rsidR="00EC3067" w:rsidRPr="004C2412">
        <w:rPr>
          <w:noProof/>
        </w:rPr>
        <w:t>c</w:t>
      </w:r>
      <w:r w:rsidR="00B75CE0" w:rsidRPr="004C2412">
        <w:rPr>
          <w:noProof/>
        </w:rPr>
        <w:t>ity’ or</w:t>
      </w:r>
      <w:r w:rsidR="00EC3067" w:rsidRPr="004C2412">
        <w:rPr>
          <w:noProof/>
        </w:rPr>
        <w:t xml:space="preserve"> are undertaking an</w:t>
      </w:r>
      <w:r w:rsidR="00B75CE0" w:rsidRPr="004C2412">
        <w:rPr>
          <w:noProof/>
        </w:rPr>
        <w:t xml:space="preserve"> ‘Approved activity’</w:t>
      </w:r>
      <w:r w:rsidR="00722FEB" w:rsidRPr="004C2412">
        <w:rPr>
          <w:noProof/>
        </w:rPr>
        <w:t xml:space="preserve"> </w:t>
      </w:r>
      <w:r w:rsidR="009936A8" w:rsidRPr="004C2412">
        <w:rPr>
          <w:noProof/>
        </w:rPr>
        <w:t>- r</w:t>
      </w:r>
      <w:r w:rsidR="00B75CE0" w:rsidRPr="004C2412">
        <w:rPr>
          <w:noProof/>
        </w:rPr>
        <w:t>e</w:t>
      </w:r>
      <w:r w:rsidR="009936A8" w:rsidRPr="004C2412">
        <w:rPr>
          <w:noProof/>
        </w:rPr>
        <w:t xml:space="preserve">fer to ‘Glossary’ for further explanation of </w:t>
      </w:r>
      <w:r w:rsidR="001913B1" w:rsidRPr="004C2412">
        <w:rPr>
          <w:noProof/>
        </w:rPr>
        <w:t>these terms</w:t>
      </w:r>
      <w:r w:rsidR="009936A8" w:rsidRPr="004C2412">
        <w:rPr>
          <w:noProof/>
        </w:rPr>
        <w:t>.</w:t>
      </w:r>
    </w:p>
    <w:p w14:paraId="360911F6" w14:textId="77777777" w:rsidR="003D6984" w:rsidRPr="004C2412" w:rsidRDefault="006E682C" w:rsidP="00DE0A80">
      <w:pPr>
        <w:spacing w:after="0" w:line="240" w:lineRule="auto"/>
        <w:ind w:left="0"/>
        <w:rPr>
          <w:noProof/>
        </w:rPr>
      </w:pPr>
      <w:r w:rsidRPr="004C2412">
        <w:rPr>
          <w:noProof/>
        </w:rPr>
        <w:t>Note:</w:t>
      </w:r>
      <w:r w:rsidR="00211706" w:rsidRPr="004C2412">
        <w:rPr>
          <w:noProof/>
        </w:rPr>
        <w:t xml:space="preserve"> </w:t>
      </w:r>
      <w:r w:rsidR="00A75C1F" w:rsidRPr="004C2412">
        <w:rPr>
          <w:noProof/>
        </w:rPr>
        <w:t xml:space="preserve">As </w:t>
      </w:r>
      <w:r w:rsidR="00D14D6E" w:rsidRPr="004C2412">
        <w:rPr>
          <w:noProof/>
        </w:rPr>
        <w:t>TTW participants are not subject to the same job seeker compliance framework as other a</w:t>
      </w:r>
      <w:r w:rsidR="00CB5650" w:rsidRPr="004C2412">
        <w:rPr>
          <w:noProof/>
        </w:rPr>
        <w:t>ctivity tested job seekers</w:t>
      </w:r>
      <w:r w:rsidRPr="004C2412">
        <w:rPr>
          <w:noProof/>
        </w:rPr>
        <w:t xml:space="preserve"> they are </w:t>
      </w:r>
      <w:r w:rsidR="00D14D6E" w:rsidRPr="004C2412">
        <w:rPr>
          <w:noProof/>
        </w:rPr>
        <w:t>not included el</w:t>
      </w:r>
      <w:r w:rsidR="00C72483" w:rsidRPr="004C2412">
        <w:rPr>
          <w:noProof/>
        </w:rPr>
        <w:t>sewhere in this report.</w:t>
      </w:r>
    </w:p>
    <w:p w14:paraId="3CA5A95F" w14:textId="3B3F1452" w:rsidR="00F70312" w:rsidRPr="004C2412" w:rsidRDefault="00F70312" w:rsidP="00A609AA">
      <w:pPr>
        <w:pStyle w:val="Heading1"/>
        <w:rPr>
          <w:rStyle w:val="Heading2Char"/>
          <w:b/>
          <w:sz w:val="22"/>
          <w:szCs w:val="22"/>
        </w:rPr>
      </w:pPr>
      <w:r w:rsidRPr="004C2412">
        <w:rPr>
          <w:sz w:val="22"/>
          <w:szCs w:val="22"/>
        </w:rPr>
        <w:fldChar w:fldCharType="begin"/>
      </w:r>
      <w:r w:rsidRPr="004C2412">
        <w:rPr>
          <w:sz w:val="22"/>
          <w:szCs w:val="22"/>
        </w:rPr>
        <w:instrText xml:space="preserve"> SEQ Table \* ARABIC </w:instrText>
      </w:r>
      <w:r w:rsidRPr="004C2412">
        <w:rPr>
          <w:sz w:val="22"/>
          <w:szCs w:val="22"/>
        </w:rPr>
        <w:fldChar w:fldCharType="separate"/>
      </w:r>
      <w:bookmarkStart w:id="4" w:name="_Toc526864412"/>
      <w:r w:rsidR="00D85615">
        <w:rPr>
          <w:noProof/>
          <w:sz w:val="22"/>
          <w:szCs w:val="22"/>
        </w:rPr>
        <w:t>2</w:t>
      </w:r>
      <w:r w:rsidRPr="004C2412">
        <w:rPr>
          <w:sz w:val="22"/>
          <w:szCs w:val="22"/>
        </w:rPr>
        <w:fldChar w:fldCharType="end"/>
      </w:r>
      <w:r w:rsidRPr="004C2412">
        <w:rPr>
          <w:b w:val="0"/>
          <w:sz w:val="22"/>
          <w:szCs w:val="22"/>
        </w:rPr>
        <w:t xml:space="preserve"> </w:t>
      </w:r>
      <w:r w:rsidR="00E104E7" w:rsidRPr="004C2412">
        <w:rPr>
          <w:sz w:val="22"/>
          <w:szCs w:val="22"/>
        </w:rPr>
        <w:t>–</w:t>
      </w:r>
      <w:r w:rsidRPr="004C2412">
        <w:rPr>
          <w:b w:val="0"/>
          <w:sz w:val="22"/>
          <w:szCs w:val="22"/>
        </w:rPr>
        <w:t xml:space="preserve"> </w:t>
      </w:r>
      <w:r w:rsidRPr="004C2412">
        <w:rPr>
          <w:rStyle w:val="Heading2Char"/>
          <w:b/>
          <w:sz w:val="22"/>
          <w:szCs w:val="22"/>
        </w:rPr>
        <w:t xml:space="preserve">Job seekers with </w:t>
      </w:r>
      <w:r w:rsidR="00945CD3" w:rsidRPr="004C2412">
        <w:rPr>
          <w:rStyle w:val="Heading2Char"/>
          <w:b/>
          <w:sz w:val="22"/>
          <w:szCs w:val="22"/>
        </w:rPr>
        <w:t xml:space="preserve">a </w:t>
      </w:r>
      <w:r w:rsidRPr="004C2412">
        <w:rPr>
          <w:rStyle w:val="Heading2Char"/>
          <w:b/>
          <w:sz w:val="22"/>
          <w:szCs w:val="22"/>
        </w:rPr>
        <w:t xml:space="preserve">Vulnerability Indicator </w:t>
      </w:r>
      <w:r w:rsidR="00D170FA" w:rsidRPr="004C2412">
        <w:rPr>
          <w:rStyle w:val="Heading2Char"/>
          <w:b/>
          <w:sz w:val="22"/>
          <w:szCs w:val="22"/>
        </w:rPr>
        <w:t xml:space="preserve">- </w:t>
      </w:r>
      <w:r w:rsidRPr="004C2412">
        <w:rPr>
          <w:rStyle w:val="Heading2Char"/>
          <w:b/>
          <w:sz w:val="22"/>
          <w:szCs w:val="22"/>
        </w:rPr>
        <w:t xml:space="preserve">as at </w:t>
      </w:r>
      <w:r w:rsidR="000F2F9C">
        <w:rPr>
          <w:rStyle w:val="Heading2Char"/>
          <w:b/>
          <w:sz w:val="22"/>
          <w:szCs w:val="22"/>
        </w:rPr>
        <w:t>30 June</w:t>
      </w:r>
      <w:r w:rsidRPr="004C2412">
        <w:rPr>
          <w:rStyle w:val="Heading2Char"/>
          <w:b/>
          <w:sz w:val="22"/>
          <w:szCs w:val="22"/>
        </w:rPr>
        <w:t xml:space="preserve"> 201</w:t>
      </w:r>
      <w:r w:rsidR="00D31F69" w:rsidRPr="004C2412">
        <w:rPr>
          <w:rStyle w:val="Heading2Char"/>
          <w:b/>
          <w:sz w:val="22"/>
          <w:szCs w:val="22"/>
        </w:rPr>
        <w:t>8</w:t>
      </w:r>
      <w:bookmarkEnd w:id="4"/>
    </w:p>
    <w:tbl>
      <w:tblPr>
        <w:tblStyle w:val="CenterAlignTable"/>
        <w:tblW w:w="4980" w:type="pct"/>
        <w:tblInd w:w="0" w:type="dxa"/>
        <w:tblLook w:val="04A0" w:firstRow="1" w:lastRow="0" w:firstColumn="1" w:lastColumn="0" w:noHBand="0" w:noVBand="1"/>
        <w:tblCaption w:val=" Job Seekers with a Vulnerability Indicator"/>
        <w:tblDescription w:val=" Job Seekers with a Vulnerability Indicator"/>
      </w:tblPr>
      <w:tblGrid>
        <w:gridCol w:w="9746"/>
        <w:gridCol w:w="4927"/>
      </w:tblGrid>
      <w:tr w:rsidR="00E51AE4" w:rsidRPr="004C2412" w14:paraId="360911FB" w14:textId="77777777" w:rsidTr="0078760E">
        <w:trPr>
          <w:cnfStyle w:val="100000000000" w:firstRow="1" w:lastRow="0" w:firstColumn="0" w:lastColumn="0" w:oddVBand="0" w:evenVBand="0" w:oddHBand="0" w:evenHBand="0" w:firstRowFirstColumn="0" w:firstRowLastColumn="0" w:lastRowFirstColumn="0" w:lastRowLastColumn="0"/>
          <w:trHeight w:val="397"/>
          <w:tblHeader/>
        </w:trPr>
        <w:tc>
          <w:tcPr>
            <w:cnfStyle w:val="001000000000" w:firstRow="0" w:lastRow="0" w:firstColumn="1" w:lastColumn="0" w:oddVBand="0" w:evenVBand="0" w:oddHBand="0" w:evenHBand="0" w:firstRowFirstColumn="0" w:firstRowLastColumn="0" w:lastRowFirstColumn="0" w:lastRowLastColumn="0"/>
            <w:tcW w:w="3321" w:type="pct"/>
            <w:shd w:val="clear" w:color="auto" w:fill="auto"/>
            <w:vAlign w:val="center"/>
          </w:tcPr>
          <w:p w14:paraId="360911F9" w14:textId="77777777" w:rsidR="00E51AE4" w:rsidRPr="004C2412" w:rsidRDefault="00E51AE4" w:rsidP="004322AF">
            <w:pPr>
              <w:spacing w:before="0"/>
              <w:ind w:left="0"/>
              <w:rPr>
                <w:noProof/>
              </w:rPr>
            </w:pPr>
            <w:r w:rsidRPr="004C2412">
              <w:rPr>
                <w:noProof/>
              </w:rPr>
              <w:t>Number of job seekers with a Vulnerability Indicator</w:t>
            </w:r>
          </w:p>
        </w:tc>
        <w:tc>
          <w:tcPr>
            <w:tcW w:w="1679" w:type="pct"/>
            <w:vAlign w:val="center"/>
          </w:tcPr>
          <w:p w14:paraId="360911FA" w14:textId="77777777" w:rsidR="00E51AE4" w:rsidRPr="004C2412" w:rsidRDefault="00E51AE4" w:rsidP="004322AF">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 of all job seekers</w:t>
            </w:r>
          </w:p>
        </w:tc>
      </w:tr>
      <w:tr w:rsidR="000F2F9C" w:rsidRPr="004C2412" w14:paraId="360911FF" w14:textId="77777777" w:rsidTr="00910012">
        <w:trPr>
          <w:trHeight w:val="397"/>
        </w:trPr>
        <w:tc>
          <w:tcPr>
            <w:cnfStyle w:val="001000000000" w:firstRow="0" w:lastRow="0" w:firstColumn="1" w:lastColumn="0" w:oddVBand="0" w:evenVBand="0" w:oddHBand="0" w:evenHBand="0" w:firstRowFirstColumn="0" w:firstRowLastColumn="0" w:lastRowFirstColumn="0" w:lastRowLastColumn="0"/>
            <w:tcW w:w="3321" w:type="pct"/>
            <w:vAlign w:val="center"/>
          </w:tcPr>
          <w:p w14:paraId="360911FD" w14:textId="47DFAFF4" w:rsidR="000F2F9C" w:rsidRPr="000F2F9C" w:rsidRDefault="000F2F9C" w:rsidP="000F2F9C">
            <w:pPr>
              <w:autoSpaceDE w:val="0"/>
              <w:autoSpaceDN w:val="0"/>
              <w:adjustRightInd w:val="0"/>
              <w:spacing w:before="0"/>
              <w:ind w:left="0"/>
              <w:rPr>
                <w:rFonts w:cs="Gill Sans MT"/>
                <w:b w:val="0"/>
                <w:color w:val="000000"/>
              </w:rPr>
            </w:pPr>
            <w:r w:rsidRPr="000F2F9C">
              <w:rPr>
                <w:rFonts w:cs="Gill Sans MT"/>
                <w:b w:val="0"/>
                <w:color w:val="000000"/>
              </w:rPr>
              <w:t>43,926</w:t>
            </w:r>
          </w:p>
        </w:tc>
        <w:tc>
          <w:tcPr>
            <w:tcW w:w="1679" w:type="pct"/>
            <w:vAlign w:val="center"/>
          </w:tcPr>
          <w:p w14:paraId="360911FE" w14:textId="1B605C0D" w:rsidR="000F2F9C" w:rsidRPr="000F2F9C" w:rsidRDefault="000F2F9C" w:rsidP="000F2F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F2F9C">
              <w:rPr>
                <w:rFonts w:cs="Gill Sans MT"/>
                <w:color w:val="000000"/>
              </w:rPr>
              <w:t>5%</w:t>
            </w:r>
          </w:p>
        </w:tc>
      </w:tr>
    </w:tbl>
    <w:p w14:paraId="6201163D" w14:textId="673D49DA" w:rsidR="00106C5C" w:rsidRPr="004C2412" w:rsidRDefault="00106C5C" w:rsidP="008A2A10">
      <w:pPr>
        <w:pStyle w:val="Heading1"/>
        <w:spacing w:before="360" w:after="120"/>
        <w:rPr>
          <w:sz w:val="22"/>
          <w:szCs w:val="22"/>
        </w:rPr>
      </w:pPr>
      <w:bookmarkStart w:id="5" w:name="_Toc526864413"/>
      <w:r w:rsidRPr="004C2412">
        <w:rPr>
          <w:sz w:val="22"/>
          <w:szCs w:val="22"/>
        </w:rPr>
        <w:t xml:space="preserve">3 </w:t>
      </w:r>
      <w:r w:rsidR="00E104E7" w:rsidRPr="004C2412">
        <w:rPr>
          <w:sz w:val="22"/>
          <w:szCs w:val="22"/>
        </w:rPr>
        <w:t>–</w:t>
      </w:r>
      <w:r w:rsidRPr="004C2412">
        <w:rPr>
          <w:sz w:val="22"/>
          <w:szCs w:val="22"/>
        </w:rPr>
        <w:t xml:space="preserve"> </w:t>
      </w:r>
      <w:r w:rsidRPr="004C2412">
        <w:rPr>
          <w:rStyle w:val="Heading2Char"/>
          <w:b/>
          <w:sz w:val="22"/>
          <w:szCs w:val="22"/>
        </w:rPr>
        <w:t>Attendance at Appointments</w:t>
      </w:r>
      <w:r w:rsidR="00945CD3" w:rsidRPr="004C2412">
        <w:rPr>
          <w:rStyle w:val="Heading2Char"/>
          <w:b/>
          <w:sz w:val="22"/>
          <w:szCs w:val="22"/>
        </w:rPr>
        <w:t xml:space="preserve"> -</w:t>
      </w:r>
      <w:r w:rsidR="00945CD3" w:rsidRPr="004C2412">
        <w:rPr>
          <w:rStyle w:val="Heading2Char"/>
          <w:rFonts w:cs="Arial"/>
          <w:b/>
          <w:sz w:val="22"/>
          <w:szCs w:val="22"/>
        </w:rPr>
        <w:t xml:space="preserve"> 1 </w:t>
      </w:r>
      <w:r w:rsidR="000F2F9C">
        <w:rPr>
          <w:rStyle w:val="Heading2Char"/>
          <w:rFonts w:cs="Arial"/>
          <w:b/>
          <w:sz w:val="22"/>
          <w:szCs w:val="22"/>
        </w:rPr>
        <w:t>April</w:t>
      </w:r>
      <w:r w:rsidR="000F2F9C" w:rsidRPr="004C2412">
        <w:rPr>
          <w:rStyle w:val="Heading2Char"/>
          <w:rFonts w:cs="Arial"/>
          <w:b/>
          <w:sz w:val="22"/>
          <w:szCs w:val="22"/>
        </w:rPr>
        <w:t xml:space="preserve"> </w:t>
      </w:r>
      <w:r w:rsidR="00945CD3" w:rsidRPr="004C2412">
        <w:rPr>
          <w:rStyle w:val="Heading2Char"/>
          <w:rFonts w:cs="Arial"/>
          <w:b/>
          <w:sz w:val="22"/>
          <w:szCs w:val="22"/>
        </w:rPr>
        <w:t xml:space="preserve">to </w:t>
      </w:r>
      <w:r w:rsidR="000F2F9C">
        <w:rPr>
          <w:rStyle w:val="Heading2Char"/>
          <w:rFonts w:cs="Arial"/>
          <w:b/>
          <w:sz w:val="22"/>
          <w:szCs w:val="22"/>
        </w:rPr>
        <w:t>30 June</w:t>
      </w:r>
      <w:r w:rsidR="00945CD3" w:rsidRPr="004C2412">
        <w:rPr>
          <w:rStyle w:val="Heading2Char"/>
          <w:rFonts w:cs="Arial"/>
          <w:b/>
          <w:sz w:val="22"/>
          <w:szCs w:val="22"/>
        </w:rPr>
        <w:t xml:space="preserve"> 201</w:t>
      </w:r>
      <w:r w:rsidR="00A85E41" w:rsidRPr="004C2412">
        <w:rPr>
          <w:rStyle w:val="Heading2Char"/>
          <w:rFonts w:cs="Arial"/>
          <w:b/>
          <w:sz w:val="22"/>
          <w:szCs w:val="22"/>
        </w:rPr>
        <w:t>8</w:t>
      </w:r>
      <w:r w:rsidR="00192406">
        <w:rPr>
          <w:rStyle w:val="Heading2Char"/>
          <w:rFonts w:cs="Arial"/>
          <w:b/>
          <w:sz w:val="22"/>
          <w:szCs w:val="22"/>
        </w:rPr>
        <w:t xml:space="preserve"> and </w:t>
      </w:r>
      <w:r w:rsidR="00D01C77">
        <w:rPr>
          <w:rStyle w:val="Heading2Char"/>
          <w:rFonts w:cs="Arial"/>
          <w:b/>
          <w:sz w:val="22"/>
          <w:szCs w:val="22"/>
        </w:rPr>
        <w:t>1 July 2017 to 30 June 2018</w:t>
      </w:r>
      <w:bookmarkEnd w:id="5"/>
    </w:p>
    <w:p w14:paraId="1ADCFB01" w14:textId="3BB0E9B3" w:rsidR="00F70312" w:rsidRPr="004C2412" w:rsidRDefault="00A80828" w:rsidP="00DE0A80">
      <w:pPr>
        <w:pStyle w:val="Heading3"/>
        <w:numPr>
          <w:ilvl w:val="0"/>
          <w:numId w:val="0"/>
        </w:numPr>
        <w:rPr>
          <w:noProof/>
        </w:rPr>
      </w:pPr>
      <w:bookmarkStart w:id="6" w:name="_Toc526864414"/>
      <w:r w:rsidRPr="004C2412">
        <w:rPr>
          <w:noProof/>
        </w:rPr>
        <w:t>3</w:t>
      </w:r>
      <w:r w:rsidR="00C95ED9" w:rsidRPr="004C2412">
        <w:rPr>
          <w:noProof/>
        </w:rPr>
        <w:t xml:space="preserve"> </w:t>
      </w:r>
      <w:r w:rsidRPr="004C2412">
        <w:rPr>
          <w:noProof/>
        </w:rPr>
        <w:fldChar w:fldCharType="begin"/>
      </w:r>
      <w:r w:rsidRPr="004C2412">
        <w:rPr>
          <w:noProof/>
        </w:rPr>
        <w:instrText xml:space="preserve"> SEQ Table_3 \* alphabetic </w:instrText>
      </w:r>
      <w:r w:rsidRPr="004C2412">
        <w:rPr>
          <w:noProof/>
        </w:rPr>
        <w:fldChar w:fldCharType="separate"/>
      </w:r>
      <w:r w:rsidR="00D85615">
        <w:rPr>
          <w:noProof/>
        </w:rPr>
        <w:t>a</w:t>
      </w:r>
      <w:r w:rsidRPr="004C2412">
        <w:rPr>
          <w:noProof/>
        </w:rPr>
        <w:fldChar w:fldCharType="end"/>
      </w:r>
      <w:r w:rsidR="00106C5C" w:rsidRPr="004C2412">
        <w:rPr>
          <w:noProof/>
        </w:rPr>
        <w:t xml:space="preserve"> </w:t>
      </w:r>
      <w:r w:rsidR="00C95ED9" w:rsidRPr="004C2412">
        <w:t>–</w:t>
      </w:r>
      <w:r w:rsidRPr="004C2412">
        <w:rPr>
          <w:noProof/>
        </w:rPr>
        <w:t xml:space="preserve"> </w:t>
      </w:r>
      <w:r w:rsidR="00F70312" w:rsidRPr="004C2412">
        <w:rPr>
          <w:noProof/>
        </w:rPr>
        <w:t xml:space="preserve">Attendance at Appointments with employment services providers </w:t>
      </w:r>
      <w:r w:rsidR="00D170FA" w:rsidRPr="004C2412">
        <w:rPr>
          <w:noProof/>
        </w:rPr>
        <w:t>-</w:t>
      </w:r>
      <w:r w:rsidR="00F70312" w:rsidRPr="004C2412">
        <w:rPr>
          <w:noProof/>
        </w:rPr>
        <w:t xml:space="preserve"> 1 </w:t>
      </w:r>
      <w:r w:rsidR="000F2F9C">
        <w:rPr>
          <w:noProof/>
        </w:rPr>
        <w:t>April</w:t>
      </w:r>
      <w:r w:rsidR="000F2F9C" w:rsidRPr="004C2412">
        <w:rPr>
          <w:noProof/>
        </w:rPr>
        <w:t xml:space="preserve"> </w:t>
      </w:r>
      <w:r w:rsidR="00F70312" w:rsidRPr="004C2412">
        <w:rPr>
          <w:noProof/>
        </w:rPr>
        <w:t xml:space="preserve">to </w:t>
      </w:r>
      <w:r w:rsidR="000F2F9C">
        <w:rPr>
          <w:noProof/>
        </w:rPr>
        <w:t>30 June</w:t>
      </w:r>
      <w:r w:rsidR="00A85E41" w:rsidRPr="004C2412">
        <w:rPr>
          <w:noProof/>
        </w:rPr>
        <w:t xml:space="preserve"> </w:t>
      </w:r>
      <w:r w:rsidR="00F70312" w:rsidRPr="004C2412">
        <w:rPr>
          <w:noProof/>
        </w:rPr>
        <w:t>201</w:t>
      </w:r>
      <w:r w:rsidR="00A85E41" w:rsidRPr="004C2412">
        <w:rPr>
          <w:noProof/>
        </w:rPr>
        <w:t>8</w:t>
      </w:r>
      <w:bookmarkEnd w:id="6"/>
    </w:p>
    <w:tbl>
      <w:tblPr>
        <w:tblW w:w="5012" w:type="pct"/>
        <w:tblInd w:w="-34" w:type="dxa"/>
        <w:tblLook w:val="04A0" w:firstRow="1" w:lastRow="0" w:firstColumn="1" w:lastColumn="0" w:noHBand="0" w:noVBand="1"/>
      </w:tblPr>
      <w:tblGrid>
        <w:gridCol w:w="1411"/>
        <w:gridCol w:w="876"/>
        <w:gridCol w:w="3257"/>
        <w:gridCol w:w="3115"/>
        <w:gridCol w:w="2229"/>
        <w:gridCol w:w="1598"/>
        <w:gridCol w:w="585"/>
        <w:gridCol w:w="1696"/>
      </w:tblGrid>
      <w:tr w:rsidR="00CD2CE1" w:rsidRPr="004C2412" w14:paraId="50650D6B" w14:textId="77777777" w:rsidTr="00D01C77">
        <w:trPr>
          <w:trHeight w:val="862"/>
          <w:tblHeader/>
        </w:trPr>
        <w:tc>
          <w:tcPr>
            <w:tcW w:w="77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2B043C" w14:textId="60DD70E4" w:rsidR="00243B8F" w:rsidRPr="004C2412" w:rsidRDefault="00243B8F" w:rsidP="004322AF">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Appointments Attended</w:t>
            </w:r>
          </w:p>
        </w:tc>
        <w:tc>
          <w:tcPr>
            <w:tcW w:w="1103" w:type="pct"/>
            <w:tcBorders>
              <w:top w:val="single" w:sz="4" w:space="0" w:color="auto"/>
              <w:left w:val="nil"/>
              <w:bottom w:val="single" w:sz="4" w:space="0" w:color="auto"/>
              <w:right w:val="single" w:sz="4" w:space="0" w:color="auto"/>
            </w:tcBorders>
            <w:shd w:val="clear" w:color="auto" w:fill="auto"/>
            <w:vAlign w:val="center"/>
            <w:hideMark/>
          </w:tcPr>
          <w:p w14:paraId="2A4E44F8" w14:textId="6D111C85" w:rsidR="00243B8F" w:rsidRPr="004C2412" w:rsidRDefault="00243B8F" w:rsidP="00A609AA">
            <w:pPr>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Appointments N</w:t>
            </w:r>
            <w:r w:rsidR="00CD2CE1" w:rsidRPr="004C2412">
              <w:rPr>
                <w:rFonts w:eastAsia="Times New Roman" w:cs="Calibri"/>
                <w:b/>
                <w:bCs/>
                <w:color w:val="000000"/>
                <w:sz w:val="20"/>
                <w:szCs w:val="20"/>
                <w:lang w:eastAsia="en-AU"/>
              </w:rPr>
              <w:t xml:space="preserve">ot </w:t>
            </w:r>
            <w:r w:rsidRPr="004C2412">
              <w:rPr>
                <w:rFonts w:eastAsia="Times New Roman" w:cs="Calibri"/>
                <w:b/>
                <w:bCs/>
                <w:color w:val="000000"/>
                <w:sz w:val="20"/>
                <w:szCs w:val="20"/>
                <w:lang w:eastAsia="en-AU"/>
              </w:rPr>
              <w:t>Attended:</w:t>
            </w:r>
          </w:p>
          <w:p w14:paraId="17B8A966" w14:textId="77777777" w:rsidR="00243B8F" w:rsidRPr="004C2412" w:rsidRDefault="00243B8F" w:rsidP="00A609AA">
            <w:pPr>
              <w:pStyle w:val="ListParagraph"/>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Valid reason</w:t>
            </w:r>
          </w:p>
        </w:tc>
        <w:tc>
          <w:tcPr>
            <w:tcW w:w="1055" w:type="pct"/>
            <w:tcBorders>
              <w:top w:val="single" w:sz="4" w:space="0" w:color="auto"/>
              <w:left w:val="nil"/>
              <w:bottom w:val="single" w:sz="4" w:space="0" w:color="auto"/>
              <w:right w:val="single" w:sz="4" w:space="0" w:color="auto"/>
            </w:tcBorders>
            <w:shd w:val="clear" w:color="auto" w:fill="auto"/>
            <w:vAlign w:val="center"/>
          </w:tcPr>
          <w:p w14:paraId="22477696" w14:textId="77777777" w:rsidR="00243B8F" w:rsidRPr="004C2412" w:rsidRDefault="00243B8F" w:rsidP="00A609AA">
            <w:pPr>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Appointments Not Attended: Invalid reason</w:t>
            </w:r>
          </w:p>
        </w:tc>
        <w:tc>
          <w:tcPr>
            <w:tcW w:w="755" w:type="pct"/>
            <w:tcBorders>
              <w:top w:val="single" w:sz="4" w:space="0" w:color="auto"/>
              <w:left w:val="nil"/>
              <w:bottom w:val="single" w:sz="4" w:space="0" w:color="auto"/>
              <w:right w:val="single" w:sz="4" w:space="0" w:color="auto"/>
            </w:tcBorders>
            <w:vAlign w:val="center"/>
          </w:tcPr>
          <w:p w14:paraId="20FED5FE" w14:textId="0B3575D3" w:rsidR="00243B8F" w:rsidRPr="004C2412" w:rsidRDefault="00243B8F" w:rsidP="004322AF">
            <w:pPr>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Appointments Not Attended: Discretion</w:t>
            </w:r>
          </w:p>
        </w:tc>
        <w:tc>
          <w:tcPr>
            <w:tcW w:w="7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9D2BBD" w14:textId="6CFC2AB2" w:rsidR="00243B8F" w:rsidRPr="004C2412" w:rsidRDefault="00243B8F"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Appointments Not Attended: Total</w:t>
            </w:r>
          </w:p>
          <w:p w14:paraId="6AA3C3EE" w14:textId="77777777" w:rsidR="00243B8F" w:rsidRPr="004C2412" w:rsidRDefault="00243B8F" w:rsidP="00A609AA">
            <w:pPr>
              <w:spacing w:before="0" w:after="0" w:line="240" w:lineRule="auto"/>
              <w:ind w:left="0"/>
              <w:jc w:val="center"/>
              <w:rPr>
                <w:rFonts w:eastAsia="Times New Roman" w:cs="Calibri"/>
                <w:b/>
                <w:bCs/>
                <w:color w:val="000000"/>
                <w:lang w:eastAsia="en-AU"/>
              </w:rPr>
            </w:pP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A06C3C" w14:textId="77777777" w:rsidR="00243B8F" w:rsidRPr="004C2412" w:rsidRDefault="00243B8F"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Total Appointments</w:t>
            </w:r>
          </w:p>
        </w:tc>
      </w:tr>
      <w:tr w:rsidR="00CD2CE1" w:rsidRPr="004C2412" w14:paraId="70BA24B7" w14:textId="77777777" w:rsidTr="000F2F9C">
        <w:trPr>
          <w:trHeight w:val="397"/>
          <w:tblHeader/>
        </w:trPr>
        <w:tc>
          <w:tcPr>
            <w:tcW w:w="4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0909F" w14:textId="77777777" w:rsidR="00243B8F" w:rsidRPr="004C2412" w:rsidRDefault="00243B8F"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c>
          <w:tcPr>
            <w:tcW w:w="297" w:type="pct"/>
            <w:tcBorders>
              <w:top w:val="nil"/>
              <w:left w:val="nil"/>
              <w:bottom w:val="single" w:sz="4" w:space="0" w:color="auto"/>
              <w:right w:val="single" w:sz="4" w:space="0" w:color="auto"/>
            </w:tcBorders>
            <w:shd w:val="clear" w:color="auto" w:fill="auto"/>
            <w:noWrap/>
            <w:vAlign w:val="center"/>
            <w:hideMark/>
          </w:tcPr>
          <w:p w14:paraId="2978F9EE" w14:textId="77777777" w:rsidR="00243B8F" w:rsidRPr="004C2412" w:rsidRDefault="00243B8F"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1103" w:type="pct"/>
            <w:tcBorders>
              <w:top w:val="single" w:sz="4" w:space="0" w:color="auto"/>
              <w:left w:val="nil"/>
              <w:bottom w:val="single" w:sz="4" w:space="0" w:color="auto"/>
              <w:right w:val="single" w:sz="4" w:space="0" w:color="auto"/>
            </w:tcBorders>
            <w:shd w:val="clear" w:color="auto" w:fill="auto"/>
            <w:noWrap/>
            <w:vAlign w:val="center"/>
            <w:hideMark/>
          </w:tcPr>
          <w:p w14:paraId="2118F4F5" w14:textId="77777777" w:rsidR="00243B8F" w:rsidRPr="004C2412" w:rsidRDefault="00243B8F"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1055" w:type="pct"/>
            <w:tcBorders>
              <w:top w:val="single" w:sz="4" w:space="0" w:color="auto"/>
              <w:left w:val="nil"/>
              <w:bottom w:val="single" w:sz="4" w:space="0" w:color="auto"/>
              <w:right w:val="single" w:sz="4" w:space="0" w:color="auto"/>
            </w:tcBorders>
            <w:shd w:val="clear" w:color="auto" w:fill="auto"/>
            <w:noWrap/>
            <w:vAlign w:val="center"/>
            <w:hideMark/>
          </w:tcPr>
          <w:p w14:paraId="557A1825" w14:textId="77777777" w:rsidR="00243B8F" w:rsidRPr="004C2412" w:rsidRDefault="00243B8F"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755" w:type="pct"/>
            <w:tcBorders>
              <w:top w:val="single" w:sz="4" w:space="0" w:color="auto"/>
              <w:left w:val="nil"/>
              <w:bottom w:val="single" w:sz="4" w:space="0" w:color="auto"/>
              <w:right w:val="single" w:sz="4" w:space="0" w:color="auto"/>
            </w:tcBorders>
            <w:vAlign w:val="center"/>
          </w:tcPr>
          <w:p w14:paraId="7EAB8B58" w14:textId="0E12F0C9" w:rsidR="00243B8F" w:rsidRPr="004C2412" w:rsidRDefault="00243B8F" w:rsidP="00A609AA">
            <w:pPr>
              <w:spacing w:before="0" w:after="0" w:line="240" w:lineRule="auto"/>
              <w:ind w:left="0"/>
              <w:jc w:val="center"/>
              <w:rPr>
                <w:rFonts w:eastAsia="Times New Roman" w:cs="Calibri"/>
                <w:b/>
                <w:bCs/>
                <w:color w:val="000000"/>
                <w:lang w:eastAsia="en-AU"/>
              </w:rPr>
            </w:pPr>
            <w:r w:rsidRPr="004C2412">
              <w:rPr>
                <w:b/>
              </w:rPr>
              <w:t>%</w:t>
            </w:r>
          </w:p>
        </w:tc>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D25AC" w14:textId="6B643754" w:rsidR="00243B8F" w:rsidRPr="004C2412" w:rsidRDefault="00243B8F"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c>
          <w:tcPr>
            <w:tcW w:w="198" w:type="pct"/>
            <w:tcBorders>
              <w:top w:val="single" w:sz="4" w:space="0" w:color="auto"/>
              <w:left w:val="nil"/>
              <w:bottom w:val="single" w:sz="4" w:space="0" w:color="auto"/>
              <w:right w:val="single" w:sz="4" w:space="0" w:color="auto"/>
            </w:tcBorders>
            <w:shd w:val="clear" w:color="auto" w:fill="auto"/>
            <w:noWrap/>
            <w:vAlign w:val="center"/>
            <w:hideMark/>
          </w:tcPr>
          <w:p w14:paraId="559B1658" w14:textId="77777777" w:rsidR="00243B8F" w:rsidRPr="004C2412" w:rsidRDefault="00243B8F"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574" w:type="pct"/>
            <w:tcBorders>
              <w:top w:val="nil"/>
              <w:left w:val="nil"/>
              <w:bottom w:val="single" w:sz="4" w:space="0" w:color="auto"/>
              <w:right w:val="single" w:sz="4" w:space="0" w:color="auto"/>
            </w:tcBorders>
            <w:shd w:val="clear" w:color="auto" w:fill="auto"/>
            <w:noWrap/>
            <w:vAlign w:val="center"/>
            <w:hideMark/>
          </w:tcPr>
          <w:p w14:paraId="39B50629" w14:textId="77777777" w:rsidR="00243B8F" w:rsidRPr="004C2412" w:rsidRDefault="00243B8F"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r>
      <w:tr w:rsidR="000F2F9C" w:rsidRPr="004C2412" w14:paraId="067C3A73" w14:textId="77777777" w:rsidTr="000F2F9C">
        <w:trPr>
          <w:trHeight w:val="401"/>
        </w:trPr>
        <w:tc>
          <w:tcPr>
            <w:tcW w:w="4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1F67CF" w14:textId="66263687"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2,393,489</w:t>
            </w: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3FDE3642" w14:textId="67B40E02"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71%</w:t>
            </w:r>
          </w:p>
        </w:tc>
        <w:tc>
          <w:tcPr>
            <w:tcW w:w="1103" w:type="pct"/>
            <w:tcBorders>
              <w:top w:val="single" w:sz="4" w:space="0" w:color="auto"/>
              <w:left w:val="nil"/>
              <w:bottom w:val="single" w:sz="4" w:space="0" w:color="auto"/>
              <w:right w:val="single" w:sz="4" w:space="0" w:color="auto"/>
            </w:tcBorders>
            <w:shd w:val="clear" w:color="auto" w:fill="auto"/>
            <w:noWrap/>
            <w:vAlign w:val="center"/>
          </w:tcPr>
          <w:p w14:paraId="4AD45572" w14:textId="640646BC"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10%</w:t>
            </w:r>
          </w:p>
        </w:tc>
        <w:tc>
          <w:tcPr>
            <w:tcW w:w="1055" w:type="pct"/>
            <w:tcBorders>
              <w:top w:val="single" w:sz="4" w:space="0" w:color="auto"/>
              <w:left w:val="nil"/>
              <w:bottom w:val="single" w:sz="4" w:space="0" w:color="auto"/>
              <w:right w:val="single" w:sz="4" w:space="0" w:color="auto"/>
            </w:tcBorders>
            <w:shd w:val="clear" w:color="auto" w:fill="auto"/>
            <w:noWrap/>
            <w:vAlign w:val="center"/>
          </w:tcPr>
          <w:p w14:paraId="4EDEDD97" w14:textId="7F02DD0D"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15%</w:t>
            </w:r>
          </w:p>
        </w:tc>
        <w:tc>
          <w:tcPr>
            <w:tcW w:w="755" w:type="pct"/>
            <w:tcBorders>
              <w:top w:val="single" w:sz="4" w:space="0" w:color="auto"/>
              <w:left w:val="nil"/>
              <w:bottom w:val="single" w:sz="4" w:space="0" w:color="auto"/>
              <w:right w:val="single" w:sz="4" w:space="0" w:color="auto"/>
            </w:tcBorders>
            <w:vAlign w:val="center"/>
          </w:tcPr>
          <w:p w14:paraId="280B6574" w14:textId="1E50962F"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4%</w:t>
            </w:r>
          </w:p>
        </w:tc>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E7C844" w14:textId="5BF222D3"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956,586</w:t>
            </w:r>
          </w:p>
        </w:tc>
        <w:tc>
          <w:tcPr>
            <w:tcW w:w="198" w:type="pct"/>
            <w:tcBorders>
              <w:top w:val="single" w:sz="4" w:space="0" w:color="auto"/>
              <w:left w:val="nil"/>
              <w:bottom w:val="single" w:sz="4" w:space="0" w:color="auto"/>
              <w:right w:val="single" w:sz="4" w:space="0" w:color="auto"/>
            </w:tcBorders>
            <w:shd w:val="clear" w:color="auto" w:fill="auto"/>
            <w:noWrap/>
            <w:vAlign w:val="center"/>
          </w:tcPr>
          <w:p w14:paraId="14FAAD73" w14:textId="09671181"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29%</w:t>
            </w:r>
          </w:p>
        </w:tc>
        <w:tc>
          <w:tcPr>
            <w:tcW w:w="574" w:type="pct"/>
            <w:tcBorders>
              <w:top w:val="nil"/>
              <w:left w:val="nil"/>
              <w:bottom w:val="single" w:sz="4" w:space="0" w:color="auto"/>
              <w:right w:val="single" w:sz="4" w:space="0" w:color="auto"/>
            </w:tcBorders>
            <w:shd w:val="clear" w:color="auto" w:fill="auto"/>
            <w:noWrap/>
            <w:vAlign w:val="center"/>
          </w:tcPr>
          <w:p w14:paraId="6FDCD8F6" w14:textId="7C7AD3C2"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3,350,075</w:t>
            </w:r>
          </w:p>
        </w:tc>
      </w:tr>
    </w:tbl>
    <w:p w14:paraId="37E6F3A3" w14:textId="23D0F7CF" w:rsidR="00D01C77" w:rsidRPr="004C2412" w:rsidRDefault="00D01C77" w:rsidP="00D01C77">
      <w:pPr>
        <w:pStyle w:val="Heading3"/>
        <w:numPr>
          <w:ilvl w:val="0"/>
          <w:numId w:val="0"/>
        </w:numPr>
        <w:rPr>
          <w:noProof/>
        </w:rPr>
      </w:pPr>
      <w:bookmarkStart w:id="7" w:name="_Toc526864415"/>
      <w:r w:rsidRPr="004C2412">
        <w:rPr>
          <w:noProof/>
        </w:rPr>
        <w:t xml:space="preserve">3 </w:t>
      </w:r>
      <w:r>
        <w:rPr>
          <w:noProof/>
        </w:rPr>
        <w:t>b</w:t>
      </w:r>
      <w:r w:rsidRPr="004C2412">
        <w:rPr>
          <w:noProof/>
        </w:rPr>
        <w:t xml:space="preserve"> </w:t>
      </w:r>
      <w:r w:rsidRPr="004C2412">
        <w:t>–</w:t>
      </w:r>
      <w:r w:rsidRPr="004C2412">
        <w:rPr>
          <w:noProof/>
        </w:rPr>
        <w:t xml:space="preserve"> Attendance at Appointments with employment services providers - 1 </w:t>
      </w:r>
      <w:r>
        <w:rPr>
          <w:noProof/>
        </w:rPr>
        <w:t>July 2017</w:t>
      </w:r>
      <w:r w:rsidRPr="004C2412">
        <w:rPr>
          <w:noProof/>
        </w:rPr>
        <w:t xml:space="preserve"> to </w:t>
      </w:r>
      <w:r>
        <w:rPr>
          <w:noProof/>
        </w:rPr>
        <w:t>30 June</w:t>
      </w:r>
      <w:r w:rsidRPr="004C2412">
        <w:rPr>
          <w:noProof/>
        </w:rPr>
        <w:t xml:space="preserve"> 2018</w:t>
      </w:r>
      <w:bookmarkEnd w:id="7"/>
    </w:p>
    <w:tbl>
      <w:tblPr>
        <w:tblW w:w="5012" w:type="pct"/>
        <w:tblInd w:w="-34" w:type="dxa"/>
        <w:tblLook w:val="04A0" w:firstRow="1" w:lastRow="0" w:firstColumn="1" w:lastColumn="0" w:noHBand="0" w:noVBand="1"/>
      </w:tblPr>
      <w:tblGrid>
        <w:gridCol w:w="1411"/>
        <w:gridCol w:w="876"/>
        <w:gridCol w:w="3257"/>
        <w:gridCol w:w="3115"/>
        <w:gridCol w:w="2229"/>
        <w:gridCol w:w="1598"/>
        <w:gridCol w:w="585"/>
        <w:gridCol w:w="1696"/>
      </w:tblGrid>
      <w:tr w:rsidR="00D01C77" w:rsidRPr="004C2412" w14:paraId="1B376B7B" w14:textId="77777777" w:rsidTr="00BA4C67">
        <w:trPr>
          <w:trHeight w:val="862"/>
          <w:tblHeader/>
        </w:trPr>
        <w:tc>
          <w:tcPr>
            <w:tcW w:w="77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1D77BA"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Appointments Attended</w:t>
            </w:r>
          </w:p>
        </w:tc>
        <w:tc>
          <w:tcPr>
            <w:tcW w:w="1103" w:type="pct"/>
            <w:tcBorders>
              <w:top w:val="single" w:sz="4" w:space="0" w:color="auto"/>
              <w:left w:val="nil"/>
              <w:bottom w:val="single" w:sz="4" w:space="0" w:color="auto"/>
              <w:right w:val="single" w:sz="4" w:space="0" w:color="auto"/>
            </w:tcBorders>
            <w:shd w:val="clear" w:color="auto" w:fill="auto"/>
            <w:vAlign w:val="center"/>
            <w:hideMark/>
          </w:tcPr>
          <w:p w14:paraId="2F86E74C" w14:textId="77777777" w:rsidR="00D01C77" w:rsidRPr="004C2412" w:rsidRDefault="00D01C77" w:rsidP="00763831">
            <w:pPr>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Appointments Not Attended:</w:t>
            </w:r>
          </w:p>
          <w:p w14:paraId="65642872" w14:textId="77777777" w:rsidR="00D01C77" w:rsidRPr="004C2412" w:rsidRDefault="00D01C77" w:rsidP="00763831">
            <w:pPr>
              <w:pStyle w:val="ListParagraph"/>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Valid reason</w:t>
            </w:r>
          </w:p>
        </w:tc>
        <w:tc>
          <w:tcPr>
            <w:tcW w:w="1055" w:type="pct"/>
            <w:tcBorders>
              <w:top w:val="single" w:sz="4" w:space="0" w:color="auto"/>
              <w:left w:val="nil"/>
              <w:bottom w:val="single" w:sz="4" w:space="0" w:color="auto"/>
              <w:right w:val="single" w:sz="4" w:space="0" w:color="auto"/>
            </w:tcBorders>
            <w:shd w:val="clear" w:color="auto" w:fill="auto"/>
            <w:vAlign w:val="center"/>
          </w:tcPr>
          <w:p w14:paraId="4E709573" w14:textId="77777777" w:rsidR="00D01C77" w:rsidRPr="004C2412" w:rsidRDefault="00D01C77" w:rsidP="00763831">
            <w:pPr>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Appointments Not Attended: Invalid reason</w:t>
            </w:r>
          </w:p>
        </w:tc>
        <w:tc>
          <w:tcPr>
            <w:tcW w:w="755" w:type="pct"/>
            <w:tcBorders>
              <w:top w:val="single" w:sz="4" w:space="0" w:color="auto"/>
              <w:left w:val="nil"/>
              <w:bottom w:val="single" w:sz="4" w:space="0" w:color="auto"/>
              <w:right w:val="single" w:sz="4" w:space="0" w:color="auto"/>
            </w:tcBorders>
            <w:vAlign w:val="center"/>
          </w:tcPr>
          <w:p w14:paraId="5022362B" w14:textId="77777777" w:rsidR="00D01C77" w:rsidRPr="004C2412" w:rsidRDefault="00D01C77" w:rsidP="00763831">
            <w:pPr>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Appointments Not Attended: Discretion</w:t>
            </w:r>
          </w:p>
        </w:tc>
        <w:tc>
          <w:tcPr>
            <w:tcW w:w="7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84DDD9"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Appointments Not Attended: Total</w:t>
            </w:r>
          </w:p>
          <w:p w14:paraId="433F9996" w14:textId="77777777" w:rsidR="00D01C77" w:rsidRPr="004C2412" w:rsidRDefault="00D01C77" w:rsidP="00763831">
            <w:pPr>
              <w:spacing w:before="0" w:after="0" w:line="240" w:lineRule="auto"/>
              <w:ind w:left="0"/>
              <w:jc w:val="center"/>
              <w:rPr>
                <w:rFonts w:eastAsia="Times New Roman" w:cs="Calibri"/>
                <w:b/>
                <w:bCs/>
                <w:color w:val="000000"/>
                <w:lang w:eastAsia="en-AU"/>
              </w:rPr>
            </w:pP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F3DB77"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Total Appointments</w:t>
            </w:r>
          </w:p>
        </w:tc>
      </w:tr>
      <w:tr w:rsidR="00D01C77" w:rsidRPr="004C2412" w14:paraId="79E6213B" w14:textId="77777777" w:rsidTr="00763831">
        <w:trPr>
          <w:trHeight w:val="397"/>
          <w:tblHeader/>
        </w:trPr>
        <w:tc>
          <w:tcPr>
            <w:tcW w:w="4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2FBEA"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c>
          <w:tcPr>
            <w:tcW w:w="297" w:type="pct"/>
            <w:tcBorders>
              <w:top w:val="nil"/>
              <w:left w:val="nil"/>
              <w:bottom w:val="single" w:sz="4" w:space="0" w:color="auto"/>
              <w:right w:val="single" w:sz="4" w:space="0" w:color="auto"/>
            </w:tcBorders>
            <w:shd w:val="clear" w:color="auto" w:fill="auto"/>
            <w:noWrap/>
            <w:vAlign w:val="center"/>
            <w:hideMark/>
          </w:tcPr>
          <w:p w14:paraId="31271C9F"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1103" w:type="pct"/>
            <w:tcBorders>
              <w:top w:val="single" w:sz="4" w:space="0" w:color="auto"/>
              <w:left w:val="nil"/>
              <w:bottom w:val="single" w:sz="4" w:space="0" w:color="auto"/>
              <w:right w:val="single" w:sz="4" w:space="0" w:color="auto"/>
            </w:tcBorders>
            <w:shd w:val="clear" w:color="auto" w:fill="auto"/>
            <w:noWrap/>
            <w:vAlign w:val="center"/>
            <w:hideMark/>
          </w:tcPr>
          <w:p w14:paraId="4481C6B8"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1055" w:type="pct"/>
            <w:tcBorders>
              <w:top w:val="single" w:sz="4" w:space="0" w:color="auto"/>
              <w:left w:val="nil"/>
              <w:bottom w:val="single" w:sz="4" w:space="0" w:color="auto"/>
              <w:right w:val="single" w:sz="4" w:space="0" w:color="auto"/>
            </w:tcBorders>
            <w:shd w:val="clear" w:color="auto" w:fill="auto"/>
            <w:noWrap/>
            <w:vAlign w:val="center"/>
            <w:hideMark/>
          </w:tcPr>
          <w:p w14:paraId="41B15B35"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755" w:type="pct"/>
            <w:tcBorders>
              <w:top w:val="single" w:sz="4" w:space="0" w:color="auto"/>
              <w:left w:val="nil"/>
              <w:bottom w:val="single" w:sz="4" w:space="0" w:color="auto"/>
              <w:right w:val="single" w:sz="4" w:space="0" w:color="auto"/>
            </w:tcBorders>
            <w:vAlign w:val="center"/>
          </w:tcPr>
          <w:p w14:paraId="4C04DC57"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b/>
              </w:rPr>
              <w:t>%</w:t>
            </w:r>
          </w:p>
        </w:tc>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5D882"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c>
          <w:tcPr>
            <w:tcW w:w="198" w:type="pct"/>
            <w:tcBorders>
              <w:top w:val="single" w:sz="4" w:space="0" w:color="auto"/>
              <w:left w:val="nil"/>
              <w:bottom w:val="single" w:sz="4" w:space="0" w:color="auto"/>
              <w:right w:val="single" w:sz="4" w:space="0" w:color="auto"/>
            </w:tcBorders>
            <w:shd w:val="clear" w:color="auto" w:fill="auto"/>
            <w:noWrap/>
            <w:vAlign w:val="center"/>
            <w:hideMark/>
          </w:tcPr>
          <w:p w14:paraId="36CFEA70"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574" w:type="pct"/>
            <w:tcBorders>
              <w:top w:val="nil"/>
              <w:left w:val="nil"/>
              <w:bottom w:val="single" w:sz="4" w:space="0" w:color="auto"/>
              <w:right w:val="single" w:sz="4" w:space="0" w:color="auto"/>
            </w:tcBorders>
            <w:shd w:val="clear" w:color="auto" w:fill="auto"/>
            <w:noWrap/>
            <w:vAlign w:val="center"/>
            <w:hideMark/>
          </w:tcPr>
          <w:p w14:paraId="6161A43A" w14:textId="77777777" w:rsidR="00D01C77" w:rsidRPr="004C2412" w:rsidRDefault="00D01C77"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r>
      <w:tr w:rsidR="00D01C77" w:rsidRPr="004C2412" w14:paraId="5C46341B" w14:textId="77777777" w:rsidTr="00763831">
        <w:trPr>
          <w:trHeight w:val="401"/>
        </w:trPr>
        <w:tc>
          <w:tcPr>
            <w:tcW w:w="4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95BE50" w14:textId="04473141" w:rsidR="00D01C77" w:rsidRPr="004C2412" w:rsidRDefault="00D01C77" w:rsidP="00D01C77">
            <w:pPr>
              <w:autoSpaceDE w:val="0"/>
              <w:autoSpaceDN w:val="0"/>
              <w:adjustRightInd w:val="0"/>
              <w:spacing w:before="0" w:after="0" w:line="240" w:lineRule="auto"/>
              <w:ind w:left="0"/>
              <w:jc w:val="center"/>
              <w:rPr>
                <w:rFonts w:cs="Gill Sans MT"/>
                <w:color w:val="000000"/>
              </w:rPr>
            </w:pPr>
            <w:r w:rsidRPr="00DF57E9">
              <w:rPr>
                <w:rFonts w:cs="Gill Sans MT"/>
                <w:color w:val="000000"/>
              </w:rPr>
              <w:t>9,618,281</w:t>
            </w: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67B2A980" w14:textId="3A394E59" w:rsidR="00D01C77" w:rsidRPr="004C2412" w:rsidRDefault="00D01C77" w:rsidP="00D01C77">
            <w:pPr>
              <w:autoSpaceDE w:val="0"/>
              <w:autoSpaceDN w:val="0"/>
              <w:adjustRightInd w:val="0"/>
              <w:spacing w:before="0" w:after="0" w:line="240" w:lineRule="auto"/>
              <w:ind w:left="0"/>
              <w:jc w:val="center"/>
              <w:rPr>
                <w:rFonts w:cs="Gill Sans MT"/>
                <w:color w:val="000000"/>
              </w:rPr>
            </w:pPr>
            <w:r w:rsidRPr="00DF57E9">
              <w:rPr>
                <w:rFonts w:cs="Gill Sans MT"/>
                <w:color w:val="000000"/>
              </w:rPr>
              <w:t>71%</w:t>
            </w:r>
          </w:p>
        </w:tc>
        <w:tc>
          <w:tcPr>
            <w:tcW w:w="1103" w:type="pct"/>
            <w:tcBorders>
              <w:top w:val="single" w:sz="4" w:space="0" w:color="auto"/>
              <w:left w:val="nil"/>
              <w:bottom w:val="single" w:sz="4" w:space="0" w:color="auto"/>
              <w:right w:val="single" w:sz="4" w:space="0" w:color="auto"/>
            </w:tcBorders>
            <w:shd w:val="clear" w:color="auto" w:fill="auto"/>
            <w:noWrap/>
            <w:vAlign w:val="center"/>
          </w:tcPr>
          <w:p w14:paraId="4C1D744F" w14:textId="437F8DF7" w:rsidR="00D01C77" w:rsidRPr="004C2412" w:rsidRDefault="00D01C77" w:rsidP="00D01C77">
            <w:pPr>
              <w:autoSpaceDE w:val="0"/>
              <w:autoSpaceDN w:val="0"/>
              <w:adjustRightInd w:val="0"/>
              <w:spacing w:before="0" w:after="0" w:line="240" w:lineRule="auto"/>
              <w:ind w:left="0"/>
              <w:jc w:val="center"/>
              <w:rPr>
                <w:rFonts w:cs="Gill Sans MT"/>
                <w:color w:val="000000"/>
              </w:rPr>
            </w:pPr>
            <w:r w:rsidRPr="00DF57E9">
              <w:rPr>
                <w:rFonts w:cs="Gill Sans MT"/>
                <w:color w:val="000000"/>
              </w:rPr>
              <w:t>10%</w:t>
            </w:r>
          </w:p>
        </w:tc>
        <w:tc>
          <w:tcPr>
            <w:tcW w:w="1055" w:type="pct"/>
            <w:tcBorders>
              <w:top w:val="single" w:sz="4" w:space="0" w:color="auto"/>
              <w:left w:val="nil"/>
              <w:bottom w:val="single" w:sz="4" w:space="0" w:color="auto"/>
              <w:right w:val="single" w:sz="4" w:space="0" w:color="auto"/>
            </w:tcBorders>
            <w:shd w:val="clear" w:color="auto" w:fill="auto"/>
            <w:noWrap/>
            <w:vAlign w:val="center"/>
          </w:tcPr>
          <w:p w14:paraId="2103C841" w14:textId="0F760A36" w:rsidR="00D01C77" w:rsidRPr="004C2412" w:rsidRDefault="00D01C77" w:rsidP="00D01C77">
            <w:pPr>
              <w:autoSpaceDE w:val="0"/>
              <w:autoSpaceDN w:val="0"/>
              <w:adjustRightInd w:val="0"/>
              <w:spacing w:before="0" w:after="0" w:line="240" w:lineRule="auto"/>
              <w:ind w:left="0"/>
              <w:jc w:val="center"/>
              <w:rPr>
                <w:rFonts w:cs="Gill Sans MT"/>
                <w:color w:val="000000"/>
              </w:rPr>
            </w:pPr>
            <w:r w:rsidRPr="00DF57E9">
              <w:rPr>
                <w:rFonts w:cs="Gill Sans MT"/>
                <w:color w:val="000000"/>
              </w:rPr>
              <w:t>15%</w:t>
            </w:r>
          </w:p>
        </w:tc>
        <w:tc>
          <w:tcPr>
            <w:tcW w:w="755" w:type="pct"/>
            <w:tcBorders>
              <w:top w:val="single" w:sz="4" w:space="0" w:color="auto"/>
              <w:left w:val="nil"/>
              <w:bottom w:val="single" w:sz="4" w:space="0" w:color="auto"/>
              <w:right w:val="single" w:sz="4" w:space="0" w:color="auto"/>
            </w:tcBorders>
            <w:vAlign w:val="center"/>
          </w:tcPr>
          <w:p w14:paraId="29261904" w14:textId="3E72660D" w:rsidR="00D01C77" w:rsidRPr="004C2412" w:rsidRDefault="00D01C77" w:rsidP="00D01C77">
            <w:pPr>
              <w:autoSpaceDE w:val="0"/>
              <w:autoSpaceDN w:val="0"/>
              <w:adjustRightInd w:val="0"/>
              <w:spacing w:before="0" w:after="0" w:line="240" w:lineRule="auto"/>
              <w:ind w:left="0"/>
              <w:jc w:val="center"/>
              <w:rPr>
                <w:rFonts w:cs="Gill Sans MT"/>
                <w:color w:val="000000"/>
              </w:rPr>
            </w:pPr>
            <w:r w:rsidRPr="00DF57E9">
              <w:rPr>
                <w:rFonts w:cs="Gill Sans MT"/>
                <w:color w:val="000000"/>
              </w:rPr>
              <w:t>4%</w:t>
            </w:r>
          </w:p>
        </w:tc>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9A7928" w14:textId="45C1CF8C" w:rsidR="00D01C77" w:rsidRPr="004C2412" w:rsidRDefault="00D01C77" w:rsidP="00D01C77">
            <w:pPr>
              <w:autoSpaceDE w:val="0"/>
              <w:autoSpaceDN w:val="0"/>
              <w:adjustRightInd w:val="0"/>
              <w:spacing w:before="0" w:after="0" w:line="240" w:lineRule="auto"/>
              <w:ind w:left="0"/>
              <w:jc w:val="center"/>
              <w:rPr>
                <w:rFonts w:cs="Gill Sans MT"/>
                <w:color w:val="000000"/>
              </w:rPr>
            </w:pPr>
            <w:r w:rsidRPr="00DF57E9">
              <w:rPr>
                <w:rFonts w:cs="Gill Sans MT"/>
                <w:color w:val="000000"/>
              </w:rPr>
              <w:t>3,916,382</w:t>
            </w:r>
          </w:p>
        </w:tc>
        <w:tc>
          <w:tcPr>
            <w:tcW w:w="198" w:type="pct"/>
            <w:tcBorders>
              <w:top w:val="single" w:sz="4" w:space="0" w:color="auto"/>
              <w:left w:val="nil"/>
              <w:bottom w:val="single" w:sz="4" w:space="0" w:color="auto"/>
              <w:right w:val="single" w:sz="4" w:space="0" w:color="auto"/>
            </w:tcBorders>
            <w:shd w:val="clear" w:color="auto" w:fill="auto"/>
            <w:noWrap/>
            <w:vAlign w:val="center"/>
          </w:tcPr>
          <w:p w14:paraId="0226D10C" w14:textId="37440AFF" w:rsidR="00D01C77" w:rsidRPr="004C2412" w:rsidRDefault="00D01C77" w:rsidP="00D01C77">
            <w:pPr>
              <w:autoSpaceDE w:val="0"/>
              <w:autoSpaceDN w:val="0"/>
              <w:adjustRightInd w:val="0"/>
              <w:spacing w:before="0" w:after="0" w:line="240" w:lineRule="auto"/>
              <w:ind w:left="0"/>
              <w:jc w:val="center"/>
              <w:rPr>
                <w:rFonts w:cs="Gill Sans MT"/>
                <w:color w:val="000000"/>
              </w:rPr>
            </w:pPr>
            <w:r w:rsidRPr="00DF57E9">
              <w:rPr>
                <w:rFonts w:cs="Gill Sans MT"/>
                <w:color w:val="000000"/>
              </w:rPr>
              <w:t>29%</w:t>
            </w:r>
          </w:p>
        </w:tc>
        <w:tc>
          <w:tcPr>
            <w:tcW w:w="574" w:type="pct"/>
            <w:tcBorders>
              <w:top w:val="nil"/>
              <w:left w:val="nil"/>
              <w:bottom w:val="single" w:sz="4" w:space="0" w:color="auto"/>
              <w:right w:val="single" w:sz="4" w:space="0" w:color="auto"/>
            </w:tcBorders>
            <w:shd w:val="clear" w:color="auto" w:fill="auto"/>
            <w:noWrap/>
            <w:vAlign w:val="center"/>
          </w:tcPr>
          <w:p w14:paraId="262E60D9" w14:textId="4866AA02" w:rsidR="00D01C77" w:rsidRPr="004C2412" w:rsidRDefault="00D01C77" w:rsidP="00D01C77">
            <w:pPr>
              <w:autoSpaceDE w:val="0"/>
              <w:autoSpaceDN w:val="0"/>
              <w:adjustRightInd w:val="0"/>
              <w:spacing w:before="0" w:after="0" w:line="240" w:lineRule="auto"/>
              <w:ind w:left="0"/>
              <w:jc w:val="center"/>
              <w:rPr>
                <w:rFonts w:cs="Gill Sans MT"/>
                <w:color w:val="000000"/>
              </w:rPr>
            </w:pPr>
            <w:r w:rsidRPr="00DF57E9">
              <w:rPr>
                <w:rFonts w:cs="Gill Sans MT"/>
                <w:color w:val="000000"/>
              </w:rPr>
              <w:t>13,534,663</w:t>
            </w:r>
          </w:p>
        </w:tc>
      </w:tr>
    </w:tbl>
    <w:p w14:paraId="29273DE3" w14:textId="236C4F84" w:rsidR="00F70312" w:rsidRPr="004C2412" w:rsidRDefault="00A80828" w:rsidP="00A609AA">
      <w:pPr>
        <w:pStyle w:val="Heading3"/>
        <w:numPr>
          <w:ilvl w:val="0"/>
          <w:numId w:val="0"/>
        </w:numPr>
        <w:rPr>
          <w:noProof/>
        </w:rPr>
      </w:pPr>
      <w:bookmarkStart w:id="8" w:name="_Toc526864416"/>
      <w:r w:rsidRPr="004C2412">
        <w:rPr>
          <w:noProof/>
        </w:rPr>
        <w:t>3</w:t>
      </w:r>
      <w:r w:rsidR="00C95ED9" w:rsidRPr="004C2412">
        <w:rPr>
          <w:noProof/>
        </w:rPr>
        <w:t xml:space="preserve"> </w:t>
      </w:r>
      <w:r w:rsidR="00D01C77">
        <w:rPr>
          <w:noProof/>
        </w:rPr>
        <w:t>c</w:t>
      </w:r>
      <w:r w:rsidRPr="004C2412">
        <w:rPr>
          <w:noProof/>
        </w:rPr>
        <w:t xml:space="preserve"> </w:t>
      </w:r>
      <w:r w:rsidR="00C95ED9" w:rsidRPr="004C2412">
        <w:t>–</w:t>
      </w:r>
      <w:r w:rsidRPr="004C2412">
        <w:rPr>
          <w:noProof/>
        </w:rPr>
        <w:t xml:space="preserve"> </w:t>
      </w:r>
      <w:r w:rsidR="00F70312" w:rsidRPr="004C2412">
        <w:rPr>
          <w:noProof/>
        </w:rPr>
        <w:t xml:space="preserve">Attendance at Re-engagement Appointments with employment services providers </w:t>
      </w:r>
      <w:r w:rsidR="00D170FA" w:rsidRPr="004C2412">
        <w:rPr>
          <w:noProof/>
        </w:rPr>
        <w:t>-</w:t>
      </w:r>
      <w:r w:rsidR="00F70312" w:rsidRPr="004C2412">
        <w:rPr>
          <w:noProof/>
        </w:rPr>
        <w:t xml:space="preserve"> 1 </w:t>
      </w:r>
      <w:r w:rsidR="000F2F9C">
        <w:rPr>
          <w:noProof/>
        </w:rPr>
        <w:t>April</w:t>
      </w:r>
      <w:r w:rsidR="000F2F9C" w:rsidRPr="004C2412">
        <w:rPr>
          <w:noProof/>
        </w:rPr>
        <w:t xml:space="preserve"> </w:t>
      </w:r>
      <w:r w:rsidR="00F70312" w:rsidRPr="004C2412">
        <w:rPr>
          <w:noProof/>
        </w:rPr>
        <w:t xml:space="preserve">to </w:t>
      </w:r>
      <w:r w:rsidR="000F2F9C">
        <w:rPr>
          <w:noProof/>
        </w:rPr>
        <w:t>30 June</w:t>
      </w:r>
      <w:r w:rsidR="00F70312" w:rsidRPr="004C2412">
        <w:rPr>
          <w:noProof/>
        </w:rPr>
        <w:t xml:space="preserve"> 201</w:t>
      </w:r>
      <w:r w:rsidR="00A85E41" w:rsidRPr="004C2412">
        <w:rPr>
          <w:noProof/>
        </w:rPr>
        <w:t>8</w:t>
      </w:r>
      <w:bookmarkEnd w:id="8"/>
    </w:p>
    <w:tbl>
      <w:tblPr>
        <w:tblW w:w="5015" w:type="pct"/>
        <w:tblInd w:w="-34" w:type="dxa"/>
        <w:tblLook w:val="04A0" w:firstRow="1" w:lastRow="0" w:firstColumn="1" w:lastColumn="0" w:noHBand="0" w:noVBand="1"/>
        <w:tblDescription w:val="Attendance at Re-engagement Appointments with employment services providers "/>
      </w:tblPr>
      <w:tblGrid>
        <w:gridCol w:w="1304"/>
        <w:gridCol w:w="848"/>
        <w:gridCol w:w="3868"/>
        <w:gridCol w:w="3653"/>
        <w:gridCol w:w="2411"/>
        <w:gridCol w:w="990"/>
        <w:gridCol w:w="1702"/>
      </w:tblGrid>
      <w:tr w:rsidR="00C109D9" w:rsidRPr="004C2412" w14:paraId="3609122A" w14:textId="77777777" w:rsidTr="00763831">
        <w:trPr>
          <w:trHeight w:val="722"/>
          <w:tblHeader/>
        </w:trPr>
        <w:tc>
          <w:tcPr>
            <w:tcW w:w="72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091227" w14:textId="393F0338" w:rsidR="00243B8F" w:rsidRPr="004C2412" w:rsidRDefault="00C109D9" w:rsidP="004322AF">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Appointments Attended</w:t>
            </w:r>
          </w:p>
        </w:tc>
        <w:tc>
          <w:tcPr>
            <w:tcW w:w="1309" w:type="pct"/>
            <w:tcBorders>
              <w:top w:val="single" w:sz="4" w:space="0" w:color="auto"/>
              <w:left w:val="nil"/>
              <w:bottom w:val="single" w:sz="4" w:space="0" w:color="auto"/>
              <w:right w:val="single" w:sz="4" w:space="0" w:color="auto"/>
            </w:tcBorders>
            <w:shd w:val="clear" w:color="auto" w:fill="auto"/>
            <w:vAlign w:val="center"/>
            <w:hideMark/>
          </w:tcPr>
          <w:p w14:paraId="7AB566BF" w14:textId="6C77D2FD" w:rsidR="00C109D9" w:rsidRPr="004C2412" w:rsidRDefault="00C109D9" w:rsidP="00A609AA">
            <w:pPr>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Appointments Not Attended</w:t>
            </w:r>
            <w:r w:rsidR="00243B8F" w:rsidRPr="004C2412">
              <w:rPr>
                <w:rFonts w:eastAsia="Times New Roman" w:cs="Calibri"/>
                <w:b/>
                <w:bCs/>
                <w:color w:val="000000"/>
                <w:sz w:val="20"/>
                <w:szCs w:val="20"/>
                <w:lang w:eastAsia="en-AU"/>
              </w:rPr>
              <w:t>:</w:t>
            </w:r>
          </w:p>
          <w:p w14:paraId="279F6FC0" w14:textId="4A202D52" w:rsidR="00C109D9" w:rsidRPr="004C2412" w:rsidRDefault="00C109D9" w:rsidP="00A609AA">
            <w:pPr>
              <w:pStyle w:val="ListParagraph"/>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Valid reason</w:t>
            </w:r>
          </w:p>
        </w:tc>
        <w:tc>
          <w:tcPr>
            <w:tcW w:w="1236" w:type="pct"/>
            <w:tcBorders>
              <w:top w:val="single" w:sz="4" w:space="0" w:color="auto"/>
              <w:left w:val="nil"/>
              <w:bottom w:val="single" w:sz="4" w:space="0" w:color="auto"/>
              <w:right w:val="single" w:sz="4" w:space="0" w:color="auto"/>
            </w:tcBorders>
            <w:shd w:val="clear" w:color="auto" w:fill="auto"/>
            <w:vAlign w:val="center"/>
          </w:tcPr>
          <w:p w14:paraId="2A8EDD76" w14:textId="6CDD7AC5" w:rsidR="00C109D9" w:rsidRPr="004C2412" w:rsidRDefault="00C109D9" w:rsidP="00A609AA">
            <w:pPr>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Appointments Not A</w:t>
            </w:r>
            <w:r w:rsidR="00243B8F" w:rsidRPr="004C2412">
              <w:rPr>
                <w:rFonts w:eastAsia="Times New Roman" w:cs="Calibri"/>
                <w:b/>
                <w:bCs/>
                <w:color w:val="000000"/>
                <w:sz w:val="20"/>
                <w:szCs w:val="20"/>
                <w:lang w:eastAsia="en-AU"/>
              </w:rPr>
              <w:t xml:space="preserve">ttended: </w:t>
            </w:r>
            <w:r w:rsidRPr="004C2412">
              <w:rPr>
                <w:rFonts w:eastAsia="Times New Roman" w:cs="Calibri"/>
                <w:b/>
                <w:bCs/>
                <w:color w:val="000000"/>
                <w:sz w:val="20"/>
                <w:szCs w:val="20"/>
                <w:lang w:eastAsia="en-AU"/>
              </w:rPr>
              <w:t>Invalid reason</w:t>
            </w:r>
          </w:p>
        </w:tc>
        <w:tc>
          <w:tcPr>
            <w:tcW w:w="1151" w:type="pct"/>
            <w:gridSpan w:val="2"/>
            <w:tcBorders>
              <w:top w:val="single" w:sz="4" w:space="0" w:color="auto"/>
              <w:left w:val="nil"/>
              <w:bottom w:val="single" w:sz="4" w:space="0" w:color="auto"/>
              <w:right w:val="single" w:sz="4" w:space="0" w:color="auto"/>
            </w:tcBorders>
            <w:shd w:val="clear" w:color="auto" w:fill="auto"/>
            <w:vAlign w:val="center"/>
          </w:tcPr>
          <w:p w14:paraId="36091228" w14:textId="00043C9F" w:rsidR="00243B8F" w:rsidRPr="004C2412" w:rsidRDefault="00C109D9" w:rsidP="004322AF">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Appointments Not Attended</w:t>
            </w:r>
            <w:r w:rsidR="00243B8F" w:rsidRPr="004C2412">
              <w:rPr>
                <w:rFonts w:eastAsia="Times New Roman" w:cs="Calibri"/>
                <w:b/>
                <w:bCs/>
                <w:color w:val="000000"/>
                <w:lang w:eastAsia="en-AU"/>
              </w:rPr>
              <w:t>: Total</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091229" w14:textId="77777777" w:rsidR="00C109D9" w:rsidRPr="004C2412" w:rsidRDefault="00C109D9"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Total Appointments</w:t>
            </w:r>
          </w:p>
        </w:tc>
      </w:tr>
      <w:tr w:rsidR="00243B8F" w:rsidRPr="004C2412" w14:paraId="3609123A" w14:textId="77777777" w:rsidTr="004322AF">
        <w:trPr>
          <w:trHeight w:val="495"/>
          <w:tblHeader/>
        </w:trPr>
        <w:tc>
          <w:tcPr>
            <w:tcW w:w="4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91233" w14:textId="77777777" w:rsidR="00F3209B" w:rsidRPr="004C2412" w:rsidRDefault="00F3209B"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c>
          <w:tcPr>
            <w:tcW w:w="287" w:type="pct"/>
            <w:tcBorders>
              <w:top w:val="nil"/>
              <w:left w:val="nil"/>
              <w:bottom w:val="single" w:sz="4" w:space="0" w:color="auto"/>
              <w:right w:val="single" w:sz="4" w:space="0" w:color="auto"/>
            </w:tcBorders>
            <w:shd w:val="clear" w:color="auto" w:fill="auto"/>
            <w:noWrap/>
            <w:vAlign w:val="center"/>
            <w:hideMark/>
          </w:tcPr>
          <w:p w14:paraId="36091234" w14:textId="77777777" w:rsidR="00F3209B" w:rsidRPr="004C2412" w:rsidRDefault="00F3209B"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1309" w:type="pct"/>
            <w:tcBorders>
              <w:top w:val="single" w:sz="4" w:space="0" w:color="auto"/>
              <w:left w:val="nil"/>
              <w:bottom w:val="single" w:sz="4" w:space="0" w:color="auto"/>
              <w:right w:val="single" w:sz="4" w:space="0" w:color="auto"/>
            </w:tcBorders>
            <w:shd w:val="clear" w:color="auto" w:fill="auto"/>
            <w:noWrap/>
            <w:vAlign w:val="center"/>
            <w:hideMark/>
          </w:tcPr>
          <w:p w14:paraId="36091235" w14:textId="77777777" w:rsidR="00F3209B" w:rsidRPr="004C2412" w:rsidRDefault="00F3209B"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1236" w:type="pct"/>
            <w:tcBorders>
              <w:top w:val="single" w:sz="4" w:space="0" w:color="auto"/>
              <w:left w:val="nil"/>
              <w:bottom w:val="single" w:sz="4" w:space="0" w:color="auto"/>
              <w:right w:val="single" w:sz="4" w:space="0" w:color="auto"/>
            </w:tcBorders>
            <w:shd w:val="clear" w:color="auto" w:fill="auto"/>
            <w:noWrap/>
            <w:vAlign w:val="center"/>
            <w:hideMark/>
          </w:tcPr>
          <w:p w14:paraId="36091236" w14:textId="77777777" w:rsidR="00F3209B" w:rsidRPr="004C2412" w:rsidRDefault="00F3209B"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816" w:type="pct"/>
            <w:tcBorders>
              <w:top w:val="single" w:sz="4" w:space="0" w:color="auto"/>
              <w:left w:val="nil"/>
              <w:bottom w:val="single" w:sz="4" w:space="0" w:color="auto"/>
              <w:right w:val="single" w:sz="4" w:space="0" w:color="auto"/>
            </w:tcBorders>
            <w:shd w:val="clear" w:color="auto" w:fill="auto"/>
            <w:noWrap/>
            <w:vAlign w:val="center"/>
            <w:hideMark/>
          </w:tcPr>
          <w:p w14:paraId="36091237" w14:textId="77777777" w:rsidR="00F3209B" w:rsidRPr="004C2412" w:rsidRDefault="00F3209B"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c>
          <w:tcPr>
            <w:tcW w:w="335" w:type="pct"/>
            <w:tcBorders>
              <w:top w:val="single" w:sz="4" w:space="0" w:color="auto"/>
              <w:left w:val="nil"/>
              <w:bottom w:val="single" w:sz="4" w:space="0" w:color="auto"/>
              <w:right w:val="single" w:sz="4" w:space="0" w:color="auto"/>
            </w:tcBorders>
            <w:shd w:val="clear" w:color="auto" w:fill="auto"/>
            <w:noWrap/>
            <w:vAlign w:val="center"/>
            <w:hideMark/>
          </w:tcPr>
          <w:p w14:paraId="36091238" w14:textId="77777777" w:rsidR="00F3209B" w:rsidRPr="004C2412" w:rsidRDefault="00F3209B"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576" w:type="pct"/>
            <w:tcBorders>
              <w:top w:val="nil"/>
              <w:left w:val="nil"/>
              <w:bottom w:val="single" w:sz="4" w:space="0" w:color="auto"/>
              <w:right w:val="single" w:sz="4" w:space="0" w:color="auto"/>
            </w:tcBorders>
            <w:shd w:val="clear" w:color="auto" w:fill="auto"/>
            <w:noWrap/>
            <w:vAlign w:val="center"/>
            <w:hideMark/>
          </w:tcPr>
          <w:p w14:paraId="36091239" w14:textId="77777777" w:rsidR="00F3209B" w:rsidRPr="004C2412" w:rsidRDefault="00F3209B" w:rsidP="00A609AA">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r>
      <w:tr w:rsidR="000F2F9C" w:rsidRPr="004C2412" w14:paraId="36091243" w14:textId="77777777" w:rsidTr="00C361F9">
        <w:trPr>
          <w:trHeight w:val="500"/>
        </w:trPr>
        <w:tc>
          <w:tcPr>
            <w:tcW w:w="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09123C" w14:textId="3C4A7F50"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264,107</w:t>
            </w:r>
          </w:p>
        </w:tc>
        <w:tc>
          <w:tcPr>
            <w:tcW w:w="287" w:type="pct"/>
            <w:tcBorders>
              <w:top w:val="single" w:sz="4" w:space="0" w:color="auto"/>
              <w:left w:val="nil"/>
              <w:bottom w:val="single" w:sz="4" w:space="0" w:color="auto"/>
              <w:right w:val="single" w:sz="4" w:space="0" w:color="auto"/>
            </w:tcBorders>
            <w:shd w:val="clear" w:color="auto" w:fill="auto"/>
            <w:noWrap/>
            <w:vAlign w:val="center"/>
          </w:tcPr>
          <w:p w14:paraId="3609123D" w14:textId="7A018F55"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87%</w:t>
            </w:r>
          </w:p>
        </w:tc>
        <w:tc>
          <w:tcPr>
            <w:tcW w:w="1309" w:type="pct"/>
            <w:tcBorders>
              <w:top w:val="single" w:sz="4" w:space="0" w:color="auto"/>
              <w:left w:val="nil"/>
              <w:bottom w:val="single" w:sz="4" w:space="0" w:color="auto"/>
              <w:right w:val="single" w:sz="4" w:space="0" w:color="auto"/>
            </w:tcBorders>
            <w:shd w:val="clear" w:color="auto" w:fill="auto"/>
            <w:noWrap/>
            <w:vAlign w:val="center"/>
          </w:tcPr>
          <w:p w14:paraId="3609123E" w14:textId="559FE237"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2%</w:t>
            </w:r>
          </w:p>
        </w:tc>
        <w:tc>
          <w:tcPr>
            <w:tcW w:w="1236" w:type="pct"/>
            <w:tcBorders>
              <w:top w:val="single" w:sz="4" w:space="0" w:color="auto"/>
              <w:left w:val="nil"/>
              <w:bottom w:val="single" w:sz="4" w:space="0" w:color="auto"/>
              <w:right w:val="single" w:sz="4" w:space="0" w:color="auto"/>
            </w:tcBorders>
            <w:shd w:val="clear" w:color="auto" w:fill="auto"/>
            <w:noWrap/>
            <w:vAlign w:val="center"/>
          </w:tcPr>
          <w:p w14:paraId="3609123F" w14:textId="7BBF02E1"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11%</w:t>
            </w:r>
          </w:p>
        </w:tc>
        <w:tc>
          <w:tcPr>
            <w:tcW w:w="816" w:type="pct"/>
            <w:tcBorders>
              <w:top w:val="single" w:sz="4" w:space="0" w:color="auto"/>
              <w:left w:val="nil"/>
              <w:bottom w:val="single" w:sz="4" w:space="0" w:color="auto"/>
              <w:right w:val="single" w:sz="4" w:space="0" w:color="auto"/>
            </w:tcBorders>
            <w:shd w:val="clear" w:color="auto" w:fill="auto"/>
            <w:noWrap/>
            <w:vAlign w:val="center"/>
          </w:tcPr>
          <w:p w14:paraId="36091240" w14:textId="16C1E637"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38,245</w:t>
            </w:r>
          </w:p>
        </w:tc>
        <w:tc>
          <w:tcPr>
            <w:tcW w:w="335" w:type="pct"/>
            <w:tcBorders>
              <w:top w:val="single" w:sz="4" w:space="0" w:color="auto"/>
              <w:left w:val="nil"/>
              <w:bottom w:val="single" w:sz="4" w:space="0" w:color="auto"/>
              <w:right w:val="single" w:sz="4" w:space="0" w:color="auto"/>
            </w:tcBorders>
            <w:shd w:val="clear" w:color="auto" w:fill="auto"/>
            <w:noWrap/>
            <w:vAlign w:val="center"/>
          </w:tcPr>
          <w:p w14:paraId="36091241" w14:textId="6C089683"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13%</w:t>
            </w:r>
          </w:p>
        </w:tc>
        <w:tc>
          <w:tcPr>
            <w:tcW w:w="576" w:type="pct"/>
            <w:tcBorders>
              <w:top w:val="nil"/>
              <w:left w:val="nil"/>
              <w:bottom w:val="single" w:sz="4" w:space="0" w:color="auto"/>
              <w:right w:val="single" w:sz="4" w:space="0" w:color="auto"/>
            </w:tcBorders>
            <w:shd w:val="clear" w:color="auto" w:fill="auto"/>
            <w:noWrap/>
            <w:vAlign w:val="center"/>
          </w:tcPr>
          <w:p w14:paraId="36091242" w14:textId="07B44ADD" w:rsidR="000F2F9C" w:rsidRPr="004C2412" w:rsidRDefault="000F2F9C" w:rsidP="000F2F9C">
            <w:pPr>
              <w:autoSpaceDE w:val="0"/>
              <w:autoSpaceDN w:val="0"/>
              <w:adjustRightInd w:val="0"/>
              <w:spacing w:before="0" w:after="0" w:line="240" w:lineRule="auto"/>
              <w:ind w:left="0"/>
              <w:jc w:val="center"/>
              <w:rPr>
                <w:rFonts w:cs="Gill Sans MT"/>
                <w:color w:val="000000"/>
              </w:rPr>
            </w:pPr>
            <w:r w:rsidRPr="00DF57E9">
              <w:rPr>
                <w:rFonts w:cs="Gill Sans MT"/>
                <w:color w:val="000000"/>
              </w:rPr>
              <w:t>302,352</w:t>
            </w:r>
          </w:p>
        </w:tc>
      </w:tr>
    </w:tbl>
    <w:p w14:paraId="36091244" w14:textId="1703B80C" w:rsidR="00923758" w:rsidRPr="004C2412" w:rsidRDefault="00B10E31" w:rsidP="00A609AA">
      <w:pPr>
        <w:spacing w:after="120" w:line="240" w:lineRule="auto"/>
        <w:ind w:left="0"/>
        <w:rPr>
          <w:rFonts w:cs="Arial"/>
        </w:rPr>
      </w:pPr>
      <w:r w:rsidRPr="004C2412">
        <w:rPr>
          <w:noProof/>
        </w:rPr>
        <w:t>This</w:t>
      </w:r>
      <w:r w:rsidR="00B202FF" w:rsidRPr="004C2412">
        <w:rPr>
          <w:noProof/>
        </w:rPr>
        <w:t xml:space="preserve"> table </w:t>
      </w:r>
      <w:r w:rsidR="00390033" w:rsidRPr="004C2412">
        <w:rPr>
          <w:noProof/>
        </w:rPr>
        <w:t xml:space="preserve">includes </w:t>
      </w:r>
      <w:r w:rsidR="00B202FF" w:rsidRPr="004C2412">
        <w:rPr>
          <w:rFonts w:cs="Arial"/>
        </w:rPr>
        <w:t xml:space="preserve">re-engagement appointments where reconnection </w:t>
      </w:r>
      <w:r w:rsidR="001E3D66" w:rsidRPr="004C2412">
        <w:rPr>
          <w:rFonts w:cs="Arial"/>
        </w:rPr>
        <w:t>wa</w:t>
      </w:r>
      <w:r w:rsidR="00FF2F20" w:rsidRPr="004C2412">
        <w:rPr>
          <w:rFonts w:cs="Arial"/>
        </w:rPr>
        <w:t>s</w:t>
      </w:r>
      <w:r w:rsidR="00D556D7" w:rsidRPr="004C2412">
        <w:rPr>
          <w:rFonts w:cs="Arial"/>
        </w:rPr>
        <w:t xml:space="preserve"> </w:t>
      </w:r>
      <w:r w:rsidR="00B202FF" w:rsidRPr="004C2412">
        <w:rPr>
          <w:rFonts w:cs="Arial"/>
        </w:rPr>
        <w:t>required following</w:t>
      </w:r>
      <w:r w:rsidR="00390033" w:rsidRPr="004C2412">
        <w:rPr>
          <w:rFonts w:cs="Arial"/>
        </w:rPr>
        <w:t xml:space="preserve"> </w:t>
      </w:r>
      <w:r w:rsidR="00B202FF" w:rsidRPr="004C2412">
        <w:rPr>
          <w:rFonts w:cs="Arial"/>
        </w:rPr>
        <w:t>a</w:t>
      </w:r>
      <w:r w:rsidR="00390033" w:rsidRPr="004C2412">
        <w:rPr>
          <w:rFonts w:cs="Arial"/>
        </w:rPr>
        <w:t xml:space="preserve"> missed</w:t>
      </w:r>
      <w:r w:rsidR="00B202FF" w:rsidRPr="004C2412">
        <w:rPr>
          <w:rFonts w:cs="Arial"/>
        </w:rPr>
        <w:t xml:space="preserve"> appointment with an</w:t>
      </w:r>
      <w:r w:rsidR="004322AF" w:rsidRPr="004C2412">
        <w:rPr>
          <w:rFonts w:cs="Arial"/>
        </w:rPr>
        <w:t xml:space="preserve"> employment services provider.</w:t>
      </w:r>
    </w:p>
    <w:p w14:paraId="36091245" w14:textId="0BF43360" w:rsidR="00AD526D" w:rsidRDefault="00C9361F" w:rsidP="00A609AA">
      <w:pPr>
        <w:spacing w:after="120" w:line="240" w:lineRule="auto"/>
        <w:ind w:left="0"/>
        <w:rPr>
          <w:noProof/>
        </w:rPr>
      </w:pPr>
      <w:r w:rsidRPr="004C2412">
        <w:rPr>
          <w:noProof/>
        </w:rPr>
        <w:t xml:space="preserve">The </w:t>
      </w:r>
      <w:r w:rsidR="00B10E31" w:rsidRPr="004C2412">
        <w:rPr>
          <w:noProof/>
        </w:rPr>
        <w:t>“</w:t>
      </w:r>
      <w:r w:rsidRPr="004C2412">
        <w:rPr>
          <w:noProof/>
        </w:rPr>
        <w:t>not attended</w:t>
      </w:r>
      <w:r w:rsidR="00B10E31" w:rsidRPr="004C2412">
        <w:rPr>
          <w:noProof/>
        </w:rPr>
        <w:t>”</w:t>
      </w:r>
      <w:r w:rsidRPr="004C2412">
        <w:rPr>
          <w:noProof/>
        </w:rPr>
        <w:t xml:space="preserve"> result of </w:t>
      </w:r>
      <w:r w:rsidR="00B202FF" w:rsidRPr="004C2412">
        <w:rPr>
          <w:noProof/>
        </w:rPr>
        <w:t>“Discretion” is not available</w:t>
      </w:r>
      <w:r w:rsidR="00C41921" w:rsidRPr="004C2412">
        <w:rPr>
          <w:noProof/>
        </w:rPr>
        <w:t xml:space="preserve"> to employment services providers</w:t>
      </w:r>
      <w:r w:rsidR="00B202FF" w:rsidRPr="004C2412">
        <w:rPr>
          <w:noProof/>
        </w:rPr>
        <w:t xml:space="preserve"> for</w:t>
      </w:r>
      <w:r w:rsidR="00C41921" w:rsidRPr="004C2412">
        <w:rPr>
          <w:noProof/>
        </w:rPr>
        <w:t xml:space="preserve"> </w:t>
      </w:r>
      <w:r w:rsidRPr="004C2412">
        <w:rPr>
          <w:noProof/>
        </w:rPr>
        <w:t>this type of appointment</w:t>
      </w:r>
      <w:r w:rsidR="004322AF" w:rsidRPr="004C2412">
        <w:rPr>
          <w:noProof/>
        </w:rPr>
        <w:t>.</w:t>
      </w:r>
    </w:p>
    <w:p w14:paraId="779CF563" w14:textId="324227D0" w:rsidR="00763831" w:rsidRPr="004C2412" w:rsidRDefault="00763831" w:rsidP="00763831">
      <w:pPr>
        <w:pStyle w:val="Heading3"/>
        <w:numPr>
          <w:ilvl w:val="0"/>
          <w:numId w:val="0"/>
        </w:numPr>
        <w:rPr>
          <w:noProof/>
        </w:rPr>
      </w:pPr>
      <w:bookmarkStart w:id="9" w:name="_Toc526864417"/>
      <w:r w:rsidRPr="004C2412">
        <w:rPr>
          <w:noProof/>
        </w:rPr>
        <w:t xml:space="preserve">3 </w:t>
      </w:r>
      <w:r>
        <w:rPr>
          <w:noProof/>
        </w:rPr>
        <w:t>d</w:t>
      </w:r>
      <w:r w:rsidRPr="004C2412">
        <w:rPr>
          <w:noProof/>
        </w:rPr>
        <w:t xml:space="preserve"> </w:t>
      </w:r>
      <w:r w:rsidRPr="004C2412">
        <w:t>–</w:t>
      </w:r>
      <w:r w:rsidRPr="004C2412">
        <w:rPr>
          <w:noProof/>
        </w:rPr>
        <w:t xml:space="preserve"> Attendance at Re-engagement Appointments with employment services providers - 1 </w:t>
      </w:r>
      <w:r>
        <w:rPr>
          <w:noProof/>
        </w:rPr>
        <w:t>July 2017</w:t>
      </w:r>
      <w:r w:rsidRPr="004C2412">
        <w:rPr>
          <w:noProof/>
        </w:rPr>
        <w:t xml:space="preserve"> to </w:t>
      </w:r>
      <w:r>
        <w:rPr>
          <w:noProof/>
        </w:rPr>
        <w:t>30 June</w:t>
      </w:r>
      <w:r w:rsidRPr="004C2412">
        <w:rPr>
          <w:noProof/>
        </w:rPr>
        <w:t xml:space="preserve"> 2018</w:t>
      </w:r>
      <w:bookmarkEnd w:id="9"/>
    </w:p>
    <w:tbl>
      <w:tblPr>
        <w:tblW w:w="5015" w:type="pct"/>
        <w:tblInd w:w="-34" w:type="dxa"/>
        <w:tblLook w:val="04A0" w:firstRow="1" w:lastRow="0" w:firstColumn="1" w:lastColumn="0" w:noHBand="0" w:noVBand="1"/>
        <w:tblDescription w:val="Attendance at Re-engagement Appointments with employment services providers "/>
      </w:tblPr>
      <w:tblGrid>
        <w:gridCol w:w="1304"/>
        <w:gridCol w:w="848"/>
        <w:gridCol w:w="3868"/>
        <w:gridCol w:w="3653"/>
        <w:gridCol w:w="2411"/>
        <w:gridCol w:w="990"/>
        <w:gridCol w:w="1702"/>
      </w:tblGrid>
      <w:tr w:rsidR="00763831" w:rsidRPr="004C2412" w14:paraId="260D1509" w14:textId="77777777" w:rsidTr="00763831">
        <w:trPr>
          <w:trHeight w:val="722"/>
          <w:tblHeader/>
        </w:trPr>
        <w:tc>
          <w:tcPr>
            <w:tcW w:w="72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7EC316" w14:textId="77777777" w:rsidR="00763831" w:rsidRPr="004C2412" w:rsidRDefault="00763831"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Appointments Attended</w:t>
            </w:r>
          </w:p>
        </w:tc>
        <w:tc>
          <w:tcPr>
            <w:tcW w:w="1309" w:type="pct"/>
            <w:tcBorders>
              <w:top w:val="single" w:sz="4" w:space="0" w:color="auto"/>
              <w:left w:val="nil"/>
              <w:bottom w:val="single" w:sz="4" w:space="0" w:color="auto"/>
              <w:right w:val="single" w:sz="4" w:space="0" w:color="auto"/>
            </w:tcBorders>
            <w:shd w:val="clear" w:color="auto" w:fill="auto"/>
            <w:vAlign w:val="center"/>
            <w:hideMark/>
          </w:tcPr>
          <w:p w14:paraId="290F0107" w14:textId="77777777" w:rsidR="00763831" w:rsidRPr="004C2412" w:rsidRDefault="00763831" w:rsidP="00763831">
            <w:pPr>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Appointments Not Attended:</w:t>
            </w:r>
          </w:p>
          <w:p w14:paraId="3FA741CF" w14:textId="77777777" w:rsidR="00763831" w:rsidRPr="004C2412" w:rsidRDefault="00763831" w:rsidP="00763831">
            <w:pPr>
              <w:pStyle w:val="ListParagraph"/>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Valid reason</w:t>
            </w:r>
          </w:p>
        </w:tc>
        <w:tc>
          <w:tcPr>
            <w:tcW w:w="1236" w:type="pct"/>
            <w:tcBorders>
              <w:top w:val="single" w:sz="4" w:space="0" w:color="auto"/>
              <w:left w:val="nil"/>
              <w:bottom w:val="single" w:sz="4" w:space="0" w:color="auto"/>
              <w:right w:val="single" w:sz="4" w:space="0" w:color="auto"/>
            </w:tcBorders>
            <w:shd w:val="clear" w:color="auto" w:fill="auto"/>
            <w:vAlign w:val="center"/>
          </w:tcPr>
          <w:p w14:paraId="0E947AFE" w14:textId="77777777" w:rsidR="00763831" w:rsidRPr="004C2412" w:rsidRDefault="00763831" w:rsidP="00763831">
            <w:pPr>
              <w:spacing w:before="0" w:after="0" w:line="240" w:lineRule="auto"/>
              <w:ind w:left="0"/>
              <w:jc w:val="center"/>
              <w:rPr>
                <w:rFonts w:eastAsia="Times New Roman" w:cs="Calibri"/>
                <w:b/>
                <w:bCs/>
                <w:color w:val="000000"/>
                <w:sz w:val="20"/>
                <w:szCs w:val="20"/>
                <w:lang w:eastAsia="en-AU"/>
              </w:rPr>
            </w:pPr>
            <w:r w:rsidRPr="004C2412">
              <w:rPr>
                <w:rFonts w:eastAsia="Times New Roman" w:cs="Calibri"/>
                <w:b/>
                <w:bCs/>
                <w:color w:val="000000"/>
                <w:sz w:val="20"/>
                <w:szCs w:val="20"/>
                <w:lang w:eastAsia="en-AU"/>
              </w:rPr>
              <w:t>Appointments Not Attended: Invalid reason</w:t>
            </w:r>
          </w:p>
        </w:tc>
        <w:tc>
          <w:tcPr>
            <w:tcW w:w="1151" w:type="pct"/>
            <w:gridSpan w:val="2"/>
            <w:tcBorders>
              <w:top w:val="single" w:sz="4" w:space="0" w:color="auto"/>
              <w:left w:val="nil"/>
              <w:bottom w:val="single" w:sz="4" w:space="0" w:color="auto"/>
              <w:right w:val="single" w:sz="4" w:space="0" w:color="auto"/>
            </w:tcBorders>
            <w:shd w:val="clear" w:color="auto" w:fill="auto"/>
            <w:vAlign w:val="center"/>
          </w:tcPr>
          <w:p w14:paraId="713F1F1D" w14:textId="77777777" w:rsidR="00763831" w:rsidRPr="004C2412" w:rsidRDefault="00763831"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Appointments Not Attended: Total</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998842" w14:textId="77777777" w:rsidR="00763831" w:rsidRPr="004C2412" w:rsidRDefault="00763831"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Total Appointments</w:t>
            </w:r>
          </w:p>
        </w:tc>
      </w:tr>
      <w:tr w:rsidR="00763831" w:rsidRPr="004C2412" w14:paraId="1AE4225C" w14:textId="77777777" w:rsidTr="00763831">
        <w:trPr>
          <w:trHeight w:val="495"/>
          <w:tblHeader/>
        </w:trPr>
        <w:tc>
          <w:tcPr>
            <w:tcW w:w="4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CB191" w14:textId="77777777" w:rsidR="00763831" w:rsidRPr="004C2412" w:rsidRDefault="00763831"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c>
          <w:tcPr>
            <w:tcW w:w="287" w:type="pct"/>
            <w:tcBorders>
              <w:top w:val="nil"/>
              <w:left w:val="nil"/>
              <w:bottom w:val="single" w:sz="4" w:space="0" w:color="auto"/>
              <w:right w:val="single" w:sz="4" w:space="0" w:color="auto"/>
            </w:tcBorders>
            <w:shd w:val="clear" w:color="auto" w:fill="auto"/>
            <w:noWrap/>
            <w:vAlign w:val="center"/>
            <w:hideMark/>
          </w:tcPr>
          <w:p w14:paraId="3964E377" w14:textId="77777777" w:rsidR="00763831" w:rsidRPr="004C2412" w:rsidRDefault="00763831"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1309" w:type="pct"/>
            <w:tcBorders>
              <w:top w:val="single" w:sz="4" w:space="0" w:color="auto"/>
              <w:left w:val="nil"/>
              <w:bottom w:val="single" w:sz="4" w:space="0" w:color="auto"/>
              <w:right w:val="single" w:sz="4" w:space="0" w:color="auto"/>
            </w:tcBorders>
            <w:shd w:val="clear" w:color="auto" w:fill="auto"/>
            <w:noWrap/>
            <w:vAlign w:val="center"/>
            <w:hideMark/>
          </w:tcPr>
          <w:p w14:paraId="6E771343" w14:textId="77777777" w:rsidR="00763831" w:rsidRPr="004C2412" w:rsidRDefault="00763831"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1236" w:type="pct"/>
            <w:tcBorders>
              <w:top w:val="single" w:sz="4" w:space="0" w:color="auto"/>
              <w:left w:val="nil"/>
              <w:bottom w:val="single" w:sz="4" w:space="0" w:color="auto"/>
              <w:right w:val="single" w:sz="4" w:space="0" w:color="auto"/>
            </w:tcBorders>
            <w:shd w:val="clear" w:color="auto" w:fill="auto"/>
            <w:noWrap/>
            <w:vAlign w:val="center"/>
            <w:hideMark/>
          </w:tcPr>
          <w:p w14:paraId="692AD2AB" w14:textId="77777777" w:rsidR="00763831" w:rsidRPr="004C2412" w:rsidRDefault="00763831"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816" w:type="pct"/>
            <w:tcBorders>
              <w:top w:val="single" w:sz="4" w:space="0" w:color="auto"/>
              <w:left w:val="nil"/>
              <w:bottom w:val="single" w:sz="4" w:space="0" w:color="auto"/>
              <w:right w:val="single" w:sz="4" w:space="0" w:color="auto"/>
            </w:tcBorders>
            <w:shd w:val="clear" w:color="auto" w:fill="auto"/>
            <w:noWrap/>
            <w:vAlign w:val="center"/>
            <w:hideMark/>
          </w:tcPr>
          <w:p w14:paraId="2AE0E887" w14:textId="77777777" w:rsidR="00763831" w:rsidRPr="004C2412" w:rsidRDefault="00763831"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c>
          <w:tcPr>
            <w:tcW w:w="335" w:type="pct"/>
            <w:tcBorders>
              <w:top w:val="single" w:sz="4" w:space="0" w:color="auto"/>
              <w:left w:val="nil"/>
              <w:bottom w:val="single" w:sz="4" w:space="0" w:color="auto"/>
              <w:right w:val="single" w:sz="4" w:space="0" w:color="auto"/>
            </w:tcBorders>
            <w:shd w:val="clear" w:color="auto" w:fill="auto"/>
            <w:noWrap/>
            <w:vAlign w:val="center"/>
            <w:hideMark/>
          </w:tcPr>
          <w:p w14:paraId="114546EE" w14:textId="77777777" w:rsidR="00763831" w:rsidRPr="004C2412" w:rsidRDefault="00763831"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w:t>
            </w:r>
          </w:p>
        </w:tc>
        <w:tc>
          <w:tcPr>
            <w:tcW w:w="576" w:type="pct"/>
            <w:tcBorders>
              <w:top w:val="nil"/>
              <w:left w:val="nil"/>
              <w:bottom w:val="single" w:sz="4" w:space="0" w:color="auto"/>
              <w:right w:val="single" w:sz="4" w:space="0" w:color="auto"/>
            </w:tcBorders>
            <w:shd w:val="clear" w:color="auto" w:fill="auto"/>
            <w:noWrap/>
            <w:vAlign w:val="center"/>
            <w:hideMark/>
          </w:tcPr>
          <w:p w14:paraId="29BEE1AB" w14:textId="77777777" w:rsidR="00763831" w:rsidRPr="004C2412" w:rsidRDefault="00763831" w:rsidP="00763831">
            <w:pPr>
              <w:spacing w:before="0" w:after="0" w:line="240" w:lineRule="auto"/>
              <w:ind w:left="0"/>
              <w:jc w:val="center"/>
              <w:rPr>
                <w:rFonts w:eastAsia="Times New Roman" w:cs="Calibri"/>
                <w:b/>
                <w:bCs/>
                <w:color w:val="000000"/>
                <w:lang w:eastAsia="en-AU"/>
              </w:rPr>
            </w:pPr>
            <w:r w:rsidRPr="004C2412">
              <w:rPr>
                <w:rFonts w:eastAsia="Times New Roman" w:cs="Calibri"/>
                <w:b/>
                <w:bCs/>
                <w:color w:val="000000"/>
                <w:lang w:eastAsia="en-AU"/>
              </w:rPr>
              <w:t>No.</w:t>
            </w:r>
          </w:p>
        </w:tc>
      </w:tr>
      <w:tr w:rsidR="00763831" w:rsidRPr="004C2412" w14:paraId="1FAC0ABC" w14:textId="77777777" w:rsidTr="00763831">
        <w:trPr>
          <w:trHeight w:val="500"/>
        </w:trPr>
        <w:tc>
          <w:tcPr>
            <w:tcW w:w="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06D09B" w14:textId="26B5F29F" w:rsidR="00763831" w:rsidRPr="004C2412" w:rsidRDefault="00763831" w:rsidP="00763831">
            <w:pPr>
              <w:autoSpaceDE w:val="0"/>
              <w:autoSpaceDN w:val="0"/>
              <w:adjustRightInd w:val="0"/>
              <w:spacing w:before="0" w:after="0" w:line="240" w:lineRule="auto"/>
              <w:ind w:left="0"/>
              <w:jc w:val="center"/>
              <w:rPr>
                <w:rFonts w:cs="Gill Sans MT"/>
                <w:color w:val="000000"/>
              </w:rPr>
            </w:pPr>
            <w:r w:rsidRPr="00DF57E9">
              <w:rPr>
                <w:rFonts w:cs="Gill Sans MT"/>
                <w:color w:val="000000"/>
              </w:rPr>
              <w:t>1,078,380</w:t>
            </w:r>
          </w:p>
        </w:tc>
        <w:tc>
          <w:tcPr>
            <w:tcW w:w="287" w:type="pct"/>
            <w:tcBorders>
              <w:top w:val="single" w:sz="4" w:space="0" w:color="auto"/>
              <w:left w:val="nil"/>
              <w:bottom w:val="single" w:sz="4" w:space="0" w:color="auto"/>
              <w:right w:val="single" w:sz="4" w:space="0" w:color="auto"/>
            </w:tcBorders>
            <w:shd w:val="clear" w:color="auto" w:fill="auto"/>
            <w:noWrap/>
            <w:vAlign w:val="center"/>
          </w:tcPr>
          <w:p w14:paraId="497D9217" w14:textId="2D2976C9" w:rsidR="00763831" w:rsidRPr="004C2412" w:rsidRDefault="00763831" w:rsidP="00763831">
            <w:pPr>
              <w:autoSpaceDE w:val="0"/>
              <w:autoSpaceDN w:val="0"/>
              <w:adjustRightInd w:val="0"/>
              <w:spacing w:before="0" w:after="0" w:line="240" w:lineRule="auto"/>
              <w:ind w:left="0"/>
              <w:jc w:val="center"/>
              <w:rPr>
                <w:rFonts w:cs="Gill Sans MT"/>
                <w:color w:val="000000"/>
              </w:rPr>
            </w:pPr>
            <w:r w:rsidRPr="00DF57E9">
              <w:rPr>
                <w:rFonts w:cs="Gill Sans MT"/>
                <w:color w:val="000000"/>
              </w:rPr>
              <w:t>87%</w:t>
            </w:r>
          </w:p>
        </w:tc>
        <w:tc>
          <w:tcPr>
            <w:tcW w:w="1309" w:type="pct"/>
            <w:tcBorders>
              <w:top w:val="single" w:sz="4" w:space="0" w:color="auto"/>
              <w:left w:val="nil"/>
              <w:bottom w:val="single" w:sz="4" w:space="0" w:color="auto"/>
              <w:right w:val="single" w:sz="4" w:space="0" w:color="auto"/>
            </w:tcBorders>
            <w:shd w:val="clear" w:color="auto" w:fill="auto"/>
            <w:noWrap/>
            <w:vAlign w:val="center"/>
          </w:tcPr>
          <w:p w14:paraId="715A56A4" w14:textId="2ABEB943" w:rsidR="00763831" w:rsidRPr="004C2412" w:rsidRDefault="00763831" w:rsidP="00763831">
            <w:pPr>
              <w:autoSpaceDE w:val="0"/>
              <w:autoSpaceDN w:val="0"/>
              <w:adjustRightInd w:val="0"/>
              <w:spacing w:before="0" w:after="0" w:line="240" w:lineRule="auto"/>
              <w:ind w:left="0"/>
              <w:jc w:val="center"/>
              <w:rPr>
                <w:rFonts w:cs="Gill Sans MT"/>
                <w:color w:val="000000"/>
              </w:rPr>
            </w:pPr>
            <w:r w:rsidRPr="00DF57E9">
              <w:rPr>
                <w:rFonts w:cs="Gill Sans MT"/>
                <w:color w:val="000000"/>
              </w:rPr>
              <w:t>2%</w:t>
            </w:r>
          </w:p>
        </w:tc>
        <w:tc>
          <w:tcPr>
            <w:tcW w:w="1236" w:type="pct"/>
            <w:tcBorders>
              <w:top w:val="single" w:sz="4" w:space="0" w:color="auto"/>
              <w:left w:val="nil"/>
              <w:bottom w:val="single" w:sz="4" w:space="0" w:color="auto"/>
              <w:right w:val="single" w:sz="4" w:space="0" w:color="auto"/>
            </w:tcBorders>
            <w:shd w:val="clear" w:color="auto" w:fill="auto"/>
            <w:noWrap/>
            <w:vAlign w:val="center"/>
          </w:tcPr>
          <w:p w14:paraId="31BACD10" w14:textId="71D61AAD" w:rsidR="00763831" w:rsidRPr="004C2412" w:rsidRDefault="00763831" w:rsidP="00763831">
            <w:pPr>
              <w:autoSpaceDE w:val="0"/>
              <w:autoSpaceDN w:val="0"/>
              <w:adjustRightInd w:val="0"/>
              <w:spacing w:before="0" w:after="0" w:line="240" w:lineRule="auto"/>
              <w:ind w:left="0"/>
              <w:jc w:val="center"/>
              <w:rPr>
                <w:rFonts w:cs="Gill Sans MT"/>
                <w:color w:val="000000"/>
              </w:rPr>
            </w:pPr>
            <w:r w:rsidRPr="00DF57E9">
              <w:rPr>
                <w:rFonts w:cs="Gill Sans MT"/>
                <w:color w:val="000000"/>
              </w:rPr>
              <w:t>11%</w:t>
            </w:r>
          </w:p>
        </w:tc>
        <w:tc>
          <w:tcPr>
            <w:tcW w:w="816" w:type="pct"/>
            <w:tcBorders>
              <w:top w:val="single" w:sz="4" w:space="0" w:color="auto"/>
              <w:left w:val="nil"/>
              <w:bottom w:val="single" w:sz="4" w:space="0" w:color="auto"/>
              <w:right w:val="single" w:sz="4" w:space="0" w:color="auto"/>
            </w:tcBorders>
            <w:shd w:val="clear" w:color="auto" w:fill="auto"/>
            <w:noWrap/>
            <w:vAlign w:val="center"/>
          </w:tcPr>
          <w:p w14:paraId="66599F79" w14:textId="3DCA48CC" w:rsidR="00763831" w:rsidRPr="004C2412" w:rsidRDefault="00763831" w:rsidP="00763831">
            <w:pPr>
              <w:autoSpaceDE w:val="0"/>
              <w:autoSpaceDN w:val="0"/>
              <w:adjustRightInd w:val="0"/>
              <w:spacing w:before="0" w:after="0" w:line="240" w:lineRule="auto"/>
              <w:ind w:left="0"/>
              <w:jc w:val="center"/>
              <w:rPr>
                <w:rFonts w:cs="Gill Sans MT"/>
                <w:color w:val="000000"/>
              </w:rPr>
            </w:pPr>
            <w:r w:rsidRPr="00DF57E9">
              <w:rPr>
                <w:rFonts w:cs="Gill Sans MT"/>
                <w:color w:val="000000"/>
              </w:rPr>
              <w:t>162,292</w:t>
            </w:r>
          </w:p>
        </w:tc>
        <w:tc>
          <w:tcPr>
            <w:tcW w:w="335" w:type="pct"/>
            <w:tcBorders>
              <w:top w:val="single" w:sz="4" w:space="0" w:color="auto"/>
              <w:left w:val="nil"/>
              <w:bottom w:val="single" w:sz="4" w:space="0" w:color="auto"/>
              <w:right w:val="single" w:sz="4" w:space="0" w:color="auto"/>
            </w:tcBorders>
            <w:shd w:val="clear" w:color="auto" w:fill="auto"/>
            <w:noWrap/>
            <w:vAlign w:val="center"/>
          </w:tcPr>
          <w:p w14:paraId="1747DBCC" w14:textId="14578DF5" w:rsidR="00763831" w:rsidRPr="004C2412" w:rsidRDefault="00763831" w:rsidP="00763831">
            <w:pPr>
              <w:autoSpaceDE w:val="0"/>
              <w:autoSpaceDN w:val="0"/>
              <w:adjustRightInd w:val="0"/>
              <w:spacing w:before="0" w:after="0" w:line="240" w:lineRule="auto"/>
              <w:ind w:left="0"/>
              <w:jc w:val="center"/>
              <w:rPr>
                <w:rFonts w:cs="Gill Sans MT"/>
                <w:color w:val="000000"/>
              </w:rPr>
            </w:pPr>
            <w:r w:rsidRPr="00DF57E9">
              <w:rPr>
                <w:rFonts w:cs="Gill Sans MT"/>
                <w:color w:val="000000"/>
              </w:rPr>
              <w:t>13%</w:t>
            </w:r>
          </w:p>
        </w:tc>
        <w:tc>
          <w:tcPr>
            <w:tcW w:w="576" w:type="pct"/>
            <w:tcBorders>
              <w:top w:val="nil"/>
              <w:left w:val="nil"/>
              <w:bottom w:val="single" w:sz="4" w:space="0" w:color="auto"/>
              <w:right w:val="single" w:sz="4" w:space="0" w:color="auto"/>
            </w:tcBorders>
            <w:shd w:val="clear" w:color="auto" w:fill="auto"/>
            <w:noWrap/>
            <w:vAlign w:val="center"/>
          </w:tcPr>
          <w:p w14:paraId="3AC7D7BC" w14:textId="7DEDAD4B" w:rsidR="00763831" w:rsidRPr="004C2412" w:rsidRDefault="00763831" w:rsidP="00763831">
            <w:pPr>
              <w:autoSpaceDE w:val="0"/>
              <w:autoSpaceDN w:val="0"/>
              <w:adjustRightInd w:val="0"/>
              <w:spacing w:before="0" w:after="0" w:line="240" w:lineRule="auto"/>
              <w:ind w:left="0"/>
              <w:jc w:val="center"/>
              <w:rPr>
                <w:rFonts w:cs="Gill Sans MT"/>
                <w:color w:val="000000"/>
              </w:rPr>
            </w:pPr>
            <w:r w:rsidRPr="00DF57E9">
              <w:rPr>
                <w:rFonts w:cs="Gill Sans MT"/>
                <w:color w:val="000000"/>
              </w:rPr>
              <w:t>1,240,672</w:t>
            </w:r>
          </w:p>
        </w:tc>
      </w:tr>
    </w:tbl>
    <w:p w14:paraId="072CC700" w14:textId="77777777" w:rsidR="00763831" w:rsidRPr="004C2412" w:rsidRDefault="00763831" w:rsidP="00763831">
      <w:pPr>
        <w:spacing w:after="120" w:line="240" w:lineRule="auto"/>
        <w:ind w:left="0"/>
        <w:rPr>
          <w:rFonts w:cs="Arial"/>
        </w:rPr>
      </w:pPr>
      <w:r w:rsidRPr="004C2412">
        <w:rPr>
          <w:noProof/>
        </w:rPr>
        <w:t xml:space="preserve">This table includes </w:t>
      </w:r>
      <w:r w:rsidRPr="004C2412">
        <w:rPr>
          <w:rFonts w:cs="Arial"/>
        </w:rPr>
        <w:t>re-engagement appointments where reconnection was required following a missed appointment with an employment services provider.</w:t>
      </w:r>
    </w:p>
    <w:p w14:paraId="5BDB06A4" w14:textId="77777777" w:rsidR="00763831" w:rsidRDefault="00763831" w:rsidP="00763831">
      <w:pPr>
        <w:spacing w:after="120" w:line="240" w:lineRule="auto"/>
        <w:ind w:left="0"/>
        <w:rPr>
          <w:noProof/>
        </w:rPr>
      </w:pPr>
      <w:r w:rsidRPr="004C2412">
        <w:rPr>
          <w:noProof/>
        </w:rPr>
        <w:t>The “not attended” result of “Discretion” is not available to employment services providers for this type of appointment.</w:t>
      </w:r>
    </w:p>
    <w:p w14:paraId="6936A2A2" w14:textId="77777777" w:rsidR="00763831" w:rsidRDefault="00763831" w:rsidP="00A609AA">
      <w:pPr>
        <w:spacing w:after="120" w:line="240" w:lineRule="auto"/>
        <w:ind w:left="0"/>
        <w:rPr>
          <w:noProof/>
        </w:rPr>
        <w:sectPr w:rsidR="00763831" w:rsidSect="008A2A10">
          <w:type w:val="continuous"/>
          <w:pgSz w:w="16838" w:h="11906" w:orient="landscape"/>
          <w:pgMar w:top="142" w:right="962" w:bottom="720" w:left="1134" w:header="567" w:footer="0" w:gutter="0"/>
          <w:cols w:space="708"/>
          <w:docGrid w:linePitch="360"/>
        </w:sectPr>
      </w:pPr>
    </w:p>
    <w:p w14:paraId="50B26F96" w14:textId="667B8548" w:rsidR="00F70312" w:rsidRDefault="00A80828" w:rsidP="00A609AA">
      <w:pPr>
        <w:pStyle w:val="Heading1"/>
        <w:rPr>
          <w:rStyle w:val="Heading2Char"/>
          <w:rFonts w:cs="Arial"/>
          <w:b/>
          <w:sz w:val="22"/>
          <w:szCs w:val="22"/>
        </w:rPr>
      </w:pPr>
      <w:bookmarkStart w:id="10" w:name="_Toc526864418"/>
      <w:r w:rsidRPr="004C2412">
        <w:rPr>
          <w:rFonts w:eastAsiaTheme="minorHAnsi" w:cs="Arial"/>
          <w:bCs w:val="0"/>
          <w:noProof/>
          <w:sz w:val="22"/>
          <w:szCs w:val="22"/>
        </w:rPr>
        <w:t>4</w:t>
      </w:r>
      <w:r w:rsidRPr="004C2412">
        <w:rPr>
          <w:rFonts w:eastAsiaTheme="minorHAnsi" w:cs="Arial"/>
          <w:b w:val="0"/>
          <w:bCs w:val="0"/>
          <w:noProof/>
          <w:sz w:val="22"/>
          <w:szCs w:val="22"/>
        </w:rPr>
        <w:t xml:space="preserve"> </w:t>
      </w:r>
      <w:r w:rsidR="00E104E7" w:rsidRPr="004C2412">
        <w:rPr>
          <w:sz w:val="22"/>
          <w:szCs w:val="22"/>
        </w:rPr>
        <w:t xml:space="preserve">– </w:t>
      </w:r>
      <w:r w:rsidR="00D1085F" w:rsidRPr="004C2412">
        <w:rPr>
          <w:rStyle w:val="Heading2Char"/>
          <w:rFonts w:cs="Arial"/>
          <w:b/>
          <w:sz w:val="22"/>
          <w:szCs w:val="22"/>
        </w:rPr>
        <w:t xml:space="preserve">Income </w:t>
      </w:r>
      <w:r w:rsidR="00B10E31" w:rsidRPr="004C2412">
        <w:rPr>
          <w:rStyle w:val="Heading2Char"/>
          <w:rFonts w:cs="Arial"/>
          <w:b/>
          <w:sz w:val="22"/>
          <w:szCs w:val="22"/>
        </w:rPr>
        <w:t>S</w:t>
      </w:r>
      <w:r w:rsidR="00D1085F" w:rsidRPr="004C2412">
        <w:rPr>
          <w:rStyle w:val="Heading2Char"/>
          <w:rFonts w:cs="Arial"/>
          <w:b/>
          <w:sz w:val="22"/>
          <w:szCs w:val="22"/>
        </w:rPr>
        <w:t xml:space="preserve">upport </w:t>
      </w:r>
      <w:r w:rsidR="005D768E" w:rsidRPr="004C2412">
        <w:rPr>
          <w:rStyle w:val="Heading2Char"/>
          <w:rFonts w:cs="Arial"/>
          <w:b/>
          <w:sz w:val="22"/>
          <w:szCs w:val="22"/>
        </w:rPr>
        <w:t>p</w:t>
      </w:r>
      <w:r w:rsidR="00D1085F" w:rsidRPr="004C2412">
        <w:rPr>
          <w:rStyle w:val="Heading2Char"/>
          <w:rFonts w:cs="Arial"/>
          <w:b/>
          <w:sz w:val="22"/>
          <w:szCs w:val="22"/>
        </w:rPr>
        <w:t xml:space="preserve">ayment </w:t>
      </w:r>
      <w:r w:rsidR="005D768E" w:rsidRPr="004C2412">
        <w:rPr>
          <w:rStyle w:val="Heading2Char"/>
          <w:rFonts w:cs="Arial"/>
          <w:b/>
          <w:sz w:val="22"/>
          <w:szCs w:val="22"/>
        </w:rPr>
        <w:t>s</w:t>
      </w:r>
      <w:r w:rsidR="00D1085F" w:rsidRPr="004C2412">
        <w:rPr>
          <w:rStyle w:val="Heading2Char"/>
          <w:rFonts w:cs="Arial"/>
          <w:b/>
          <w:sz w:val="22"/>
          <w:szCs w:val="22"/>
        </w:rPr>
        <w:t>uspensions for non-attendance at appointments/activities</w:t>
      </w:r>
      <w:r w:rsidR="00F3209B" w:rsidRPr="004C2412">
        <w:rPr>
          <w:rStyle w:val="Heading2Char"/>
          <w:rFonts w:cs="Arial"/>
          <w:b/>
          <w:sz w:val="22"/>
          <w:szCs w:val="22"/>
        </w:rPr>
        <w:t xml:space="preserve"> </w:t>
      </w:r>
      <w:r w:rsidR="00D170FA" w:rsidRPr="004C2412">
        <w:rPr>
          <w:rStyle w:val="Heading2Char"/>
          <w:rFonts w:cs="Arial"/>
          <w:b/>
          <w:sz w:val="22"/>
          <w:szCs w:val="22"/>
        </w:rPr>
        <w:t>-</w:t>
      </w:r>
      <w:r w:rsidR="00F3209B" w:rsidRPr="004C2412">
        <w:rPr>
          <w:rStyle w:val="Heading2Char"/>
          <w:rFonts w:cs="Arial"/>
          <w:b/>
          <w:sz w:val="22"/>
          <w:szCs w:val="22"/>
        </w:rPr>
        <w:t xml:space="preserve"> 1 </w:t>
      </w:r>
      <w:r w:rsidR="000F2F9C">
        <w:rPr>
          <w:rStyle w:val="Heading2Char"/>
          <w:rFonts w:cs="Arial"/>
          <w:b/>
          <w:sz w:val="22"/>
          <w:szCs w:val="22"/>
        </w:rPr>
        <w:t>April</w:t>
      </w:r>
      <w:r w:rsidR="000F2F9C" w:rsidRPr="004C2412">
        <w:rPr>
          <w:rStyle w:val="Heading2Char"/>
          <w:rFonts w:cs="Arial"/>
          <w:b/>
          <w:sz w:val="22"/>
          <w:szCs w:val="22"/>
        </w:rPr>
        <w:t xml:space="preserve"> </w:t>
      </w:r>
      <w:r w:rsidR="00F3209B" w:rsidRPr="004C2412">
        <w:rPr>
          <w:rStyle w:val="Heading2Char"/>
          <w:rFonts w:cs="Arial"/>
          <w:b/>
          <w:sz w:val="22"/>
          <w:szCs w:val="22"/>
        </w:rPr>
        <w:t xml:space="preserve">to </w:t>
      </w:r>
      <w:r w:rsidR="000F2F9C">
        <w:rPr>
          <w:rStyle w:val="Heading2Char"/>
          <w:rFonts w:cs="Arial"/>
          <w:b/>
          <w:sz w:val="22"/>
          <w:szCs w:val="22"/>
        </w:rPr>
        <w:t>30 June</w:t>
      </w:r>
      <w:r w:rsidR="00A85E41" w:rsidRPr="004C2412">
        <w:rPr>
          <w:rStyle w:val="Heading2Char"/>
          <w:rFonts w:cs="Arial"/>
          <w:b/>
          <w:sz w:val="22"/>
          <w:szCs w:val="22"/>
        </w:rPr>
        <w:t xml:space="preserve"> </w:t>
      </w:r>
      <w:r w:rsidR="00F3209B" w:rsidRPr="004C2412">
        <w:rPr>
          <w:rStyle w:val="Heading2Char"/>
          <w:rFonts w:cs="Arial"/>
          <w:b/>
          <w:sz w:val="22"/>
          <w:szCs w:val="22"/>
        </w:rPr>
        <w:t>201</w:t>
      </w:r>
      <w:r w:rsidR="00A85E41" w:rsidRPr="004C2412">
        <w:rPr>
          <w:rStyle w:val="Heading2Char"/>
          <w:rFonts w:cs="Arial"/>
          <w:b/>
          <w:sz w:val="22"/>
          <w:szCs w:val="22"/>
        </w:rPr>
        <w:t>8</w:t>
      </w:r>
      <w:r w:rsidR="00763831">
        <w:rPr>
          <w:rStyle w:val="Heading2Char"/>
          <w:rFonts w:cs="Arial"/>
          <w:b/>
          <w:sz w:val="22"/>
          <w:szCs w:val="22"/>
        </w:rPr>
        <w:t xml:space="preserve"> and 1 July 2017 to 30 June 2018</w:t>
      </w:r>
      <w:bookmarkEnd w:id="10"/>
    </w:p>
    <w:p w14:paraId="2BB4F96B" w14:textId="5C5284AB" w:rsidR="00763831" w:rsidRPr="00763831" w:rsidRDefault="00763831" w:rsidP="00763831">
      <w:pPr>
        <w:pStyle w:val="Heading3"/>
        <w:numPr>
          <w:ilvl w:val="0"/>
          <w:numId w:val="0"/>
        </w:numPr>
      </w:pPr>
      <w:bookmarkStart w:id="11" w:name="_Toc526864419"/>
      <w:r>
        <w:t>4 a</w:t>
      </w:r>
      <w:r w:rsidRPr="004C2412">
        <w:rPr>
          <w:noProof/>
        </w:rPr>
        <w:t xml:space="preserve"> </w:t>
      </w:r>
      <w:r w:rsidRPr="004C2412">
        <w:t>–</w:t>
      </w:r>
      <w:r w:rsidRPr="004C2412">
        <w:rPr>
          <w:noProof/>
        </w:rPr>
        <w:t xml:space="preserve"> </w:t>
      </w:r>
      <w:r>
        <w:rPr>
          <w:noProof/>
        </w:rPr>
        <w:t>Income Support payment suspensions for non-attendance at appointments/activities – 1 April to 30 June 2018</w:t>
      </w:r>
      <w:bookmarkEnd w:id="11"/>
    </w:p>
    <w:tbl>
      <w:tblPr>
        <w:tblStyle w:val="CenterAlignTable"/>
        <w:tblW w:w="5000" w:type="pct"/>
        <w:tblInd w:w="0" w:type="dxa"/>
        <w:tblLook w:val="04A0" w:firstRow="1" w:lastRow="0" w:firstColumn="1" w:lastColumn="0" w:noHBand="0" w:noVBand="1"/>
        <w:tblCaption w:val="Income support payment suspensions for non-attendance at appointments/activities"/>
        <w:tblDescription w:val="Income support payment suspensions for non-attendance at appointments/activities"/>
      </w:tblPr>
      <w:tblGrid>
        <w:gridCol w:w="3877"/>
        <w:gridCol w:w="4249"/>
        <w:gridCol w:w="4246"/>
        <w:gridCol w:w="2360"/>
      </w:tblGrid>
      <w:tr w:rsidR="00F3209B" w:rsidRPr="004C2412" w14:paraId="3609124D" w14:textId="77777777" w:rsidTr="00763831">
        <w:trPr>
          <w:cnfStyle w:val="100000000000" w:firstRow="1" w:lastRow="0" w:firstColumn="0" w:lastColumn="0" w:oddVBand="0" w:evenVBand="0" w:oddHBand="0" w:evenHBand="0" w:firstRowFirstColumn="0" w:firstRowLastColumn="0" w:lastRowFirstColumn="0" w:lastRowLastColumn="0"/>
          <w:trHeight w:val="1023"/>
          <w:tblHeader/>
        </w:trPr>
        <w:tc>
          <w:tcPr>
            <w:cnfStyle w:val="001000000000" w:firstRow="0" w:lastRow="0" w:firstColumn="1" w:lastColumn="0" w:oddVBand="0" w:evenVBand="0" w:oddHBand="0" w:evenHBand="0" w:firstRowFirstColumn="0" w:firstRowLastColumn="0" w:lastRowFirstColumn="0" w:lastRowLastColumn="0"/>
            <w:tcW w:w="1316" w:type="pct"/>
            <w:shd w:val="clear" w:color="auto" w:fill="auto"/>
            <w:vAlign w:val="center"/>
          </w:tcPr>
          <w:p w14:paraId="36091249" w14:textId="4D38C76D" w:rsidR="00F3209B" w:rsidRPr="004C2412" w:rsidRDefault="00F3209B" w:rsidP="002602C9">
            <w:pPr>
              <w:spacing w:before="0"/>
              <w:ind w:left="0"/>
            </w:pPr>
            <w:r w:rsidRPr="004C2412">
              <w:t>Number of income support payment suspensions for job seekers missing appointment with their provider</w:t>
            </w:r>
          </w:p>
        </w:tc>
        <w:tc>
          <w:tcPr>
            <w:tcW w:w="1442" w:type="pct"/>
            <w:vAlign w:val="center"/>
          </w:tcPr>
          <w:p w14:paraId="3609124A" w14:textId="0C6B80A9" w:rsidR="00F3209B" w:rsidRPr="004C2412" w:rsidRDefault="00F3209B" w:rsidP="002602C9">
            <w:pPr>
              <w:spacing w:before="0"/>
              <w:ind w:left="0"/>
              <w:cnfStyle w:val="100000000000" w:firstRow="1" w:lastRow="0" w:firstColumn="0" w:lastColumn="0" w:oddVBand="0" w:evenVBand="0" w:oddHBand="0" w:evenHBand="0" w:firstRowFirstColumn="0" w:firstRowLastColumn="0" w:lastRowFirstColumn="0" w:lastRowLastColumn="0"/>
            </w:pPr>
            <w:r w:rsidRPr="004C2412">
              <w:t>Number of income support payment suspensions for job seekers missing  appointment with a third party</w:t>
            </w:r>
          </w:p>
        </w:tc>
        <w:tc>
          <w:tcPr>
            <w:tcW w:w="1441" w:type="pct"/>
            <w:vAlign w:val="center"/>
          </w:tcPr>
          <w:p w14:paraId="3609124B" w14:textId="77777777" w:rsidR="00F3209B" w:rsidRPr="004C2412" w:rsidRDefault="00F3209B" w:rsidP="002602C9">
            <w:pPr>
              <w:spacing w:before="0"/>
              <w:ind w:left="0"/>
              <w:cnfStyle w:val="100000000000" w:firstRow="1" w:lastRow="0" w:firstColumn="0" w:lastColumn="0" w:oddVBand="0" w:evenVBand="0" w:oddHBand="0" w:evenHBand="0" w:firstRowFirstColumn="0" w:firstRowLastColumn="0" w:lastRowFirstColumn="0" w:lastRowLastColumn="0"/>
            </w:pPr>
            <w:r w:rsidRPr="004C2412">
              <w:t>Number of income support payment suspensions for job seekers following disengagement from an activity</w:t>
            </w:r>
          </w:p>
        </w:tc>
        <w:tc>
          <w:tcPr>
            <w:tcW w:w="801" w:type="pct"/>
            <w:vAlign w:val="center"/>
          </w:tcPr>
          <w:p w14:paraId="3609124C" w14:textId="77777777" w:rsidR="00F3209B" w:rsidRPr="004C2412" w:rsidRDefault="00F3209B" w:rsidP="002602C9">
            <w:pPr>
              <w:spacing w:before="0"/>
              <w:ind w:left="0"/>
              <w:cnfStyle w:val="100000000000" w:firstRow="1" w:lastRow="0" w:firstColumn="0" w:lastColumn="0" w:oddVBand="0" w:evenVBand="0" w:oddHBand="0" w:evenHBand="0" w:firstRowFirstColumn="0" w:firstRowLastColumn="0" w:lastRowFirstColumn="0" w:lastRowLastColumn="0"/>
            </w:pPr>
            <w:r w:rsidRPr="004C2412">
              <w:t>Total Income Support Payment Suspensions</w:t>
            </w:r>
          </w:p>
        </w:tc>
      </w:tr>
      <w:tr w:rsidR="000F2F9C" w:rsidRPr="004C2412" w14:paraId="36091253" w14:textId="77777777" w:rsidTr="00910012">
        <w:trPr>
          <w:trHeight w:val="454"/>
        </w:trPr>
        <w:tc>
          <w:tcPr>
            <w:cnfStyle w:val="001000000000" w:firstRow="0" w:lastRow="0" w:firstColumn="1" w:lastColumn="0" w:oddVBand="0" w:evenVBand="0" w:oddHBand="0" w:evenHBand="0" w:firstRowFirstColumn="0" w:firstRowLastColumn="0" w:lastRowFirstColumn="0" w:lastRowLastColumn="0"/>
            <w:tcW w:w="1316" w:type="pct"/>
            <w:vAlign w:val="center"/>
          </w:tcPr>
          <w:p w14:paraId="3609124F" w14:textId="3AA6DF19" w:rsidR="000F2F9C" w:rsidRPr="000F2F9C" w:rsidRDefault="000F2F9C" w:rsidP="000F2F9C">
            <w:pPr>
              <w:spacing w:before="0"/>
              <w:ind w:left="0"/>
              <w:rPr>
                <w:rFonts w:cs="Arial"/>
                <w:b w:val="0"/>
              </w:rPr>
            </w:pPr>
            <w:r w:rsidRPr="000F2F9C">
              <w:rPr>
                <w:rFonts w:cs="Gill Sans MT"/>
                <w:b w:val="0"/>
                <w:color w:val="000000"/>
              </w:rPr>
              <w:t>357,353</w:t>
            </w:r>
          </w:p>
        </w:tc>
        <w:tc>
          <w:tcPr>
            <w:tcW w:w="1442" w:type="pct"/>
            <w:vAlign w:val="center"/>
          </w:tcPr>
          <w:p w14:paraId="36091250" w14:textId="5852ED89" w:rsidR="000F2F9C" w:rsidRPr="000F2F9C" w:rsidRDefault="000F2F9C" w:rsidP="000F2F9C">
            <w:pPr>
              <w:spacing w:before="0"/>
              <w:ind w:left="0"/>
              <w:cnfStyle w:val="000000000000" w:firstRow="0" w:lastRow="0" w:firstColumn="0" w:lastColumn="0" w:oddVBand="0" w:evenVBand="0" w:oddHBand="0" w:evenHBand="0" w:firstRowFirstColumn="0" w:firstRowLastColumn="0" w:lastRowFirstColumn="0" w:lastRowLastColumn="0"/>
              <w:rPr>
                <w:rFonts w:cs="Arial"/>
              </w:rPr>
            </w:pPr>
            <w:r w:rsidRPr="000F2F9C">
              <w:rPr>
                <w:rFonts w:cs="Gill Sans MT"/>
                <w:color w:val="000000"/>
              </w:rPr>
              <w:t>361</w:t>
            </w:r>
          </w:p>
        </w:tc>
        <w:tc>
          <w:tcPr>
            <w:tcW w:w="1441" w:type="pct"/>
            <w:vAlign w:val="center"/>
          </w:tcPr>
          <w:p w14:paraId="36091251" w14:textId="2AD7727A" w:rsidR="000F2F9C" w:rsidRPr="000F2F9C" w:rsidRDefault="000F2F9C" w:rsidP="000F2F9C">
            <w:pPr>
              <w:spacing w:before="0"/>
              <w:ind w:left="0"/>
              <w:cnfStyle w:val="000000000000" w:firstRow="0" w:lastRow="0" w:firstColumn="0" w:lastColumn="0" w:oddVBand="0" w:evenVBand="0" w:oddHBand="0" w:evenHBand="0" w:firstRowFirstColumn="0" w:firstRowLastColumn="0" w:lastRowFirstColumn="0" w:lastRowLastColumn="0"/>
              <w:rPr>
                <w:rFonts w:cs="Arial"/>
              </w:rPr>
            </w:pPr>
            <w:r w:rsidRPr="000F2F9C">
              <w:rPr>
                <w:rFonts w:cs="Gill Sans MT"/>
                <w:color w:val="000000"/>
              </w:rPr>
              <w:t>23,810</w:t>
            </w:r>
          </w:p>
        </w:tc>
        <w:tc>
          <w:tcPr>
            <w:tcW w:w="801" w:type="pct"/>
            <w:vAlign w:val="center"/>
          </w:tcPr>
          <w:p w14:paraId="36091252" w14:textId="32AD26A6" w:rsidR="000F2F9C" w:rsidRPr="000F2F9C" w:rsidRDefault="000F2F9C" w:rsidP="000F2F9C">
            <w:pPr>
              <w:spacing w:before="0"/>
              <w:ind w:left="0"/>
              <w:cnfStyle w:val="000000000000" w:firstRow="0" w:lastRow="0" w:firstColumn="0" w:lastColumn="0" w:oddVBand="0" w:evenVBand="0" w:oddHBand="0" w:evenHBand="0" w:firstRowFirstColumn="0" w:firstRowLastColumn="0" w:lastRowFirstColumn="0" w:lastRowLastColumn="0"/>
              <w:rPr>
                <w:rFonts w:cs="Arial"/>
              </w:rPr>
            </w:pPr>
            <w:r w:rsidRPr="000F2F9C">
              <w:rPr>
                <w:rFonts w:cs="Gill Sans MT"/>
                <w:color w:val="000000"/>
              </w:rPr>
              <w:t>381,524</w:t>
            </w:r>
          </w:p>
        </w:tc>
      </w:tr>
    </w:tbl>
    <w:p w14:paraId="3D15C404" w14:textId="77777777" w:rsidR="00763831" w:rsidRPr="004C2412" w:rsidRDefault="00763831" w:rsidP="00763831">
      <w:pPr>
        <w:spacing w:after="120" w:line="240" w:lineRule="auto"/>
        <w:ind w:left="0"/>
      </w:pPr>
      <w:r w:rsidRPr="004C2412">
        <w:t xml:space="preserve">This table is a count of all income support payment suspensions applied </w:t>
      </w:r>
      <w:proofErr w:type="gramStart"/>
      <w:r w:rsidRPr="004C2412">
        <w:t>as a result</w:t>
      </w:r>
      <w:proofErr w:type="gramEnd"/>
      <w:r w:rsidRPr="004C2412">
        <w:t xml:space="preserve"> of providers submitting:</w:t>
      </w:r>
    </w:p>
    <w:p w14:paraId="070DACFE" w14:textId="65C5E68C" w:rsidR="00763831" w:rsidRPr="004C2412" w:rsidRDefault="00763831" w:rsidP="00763831">
      <w:pPr>
        <w:pStyle w:val="ListParagraph"/>
        <w:numPr>
          <w:ilvl w:val="0"/>
          <w:numId w:val="5"/>
        </w:numPr>
        <w:spacing w:after="120" w:line="240" w:lineRule="auto"/>
        <w:ind w:left="851" w:hanging="284"/>
        <w:contextualSpacing w:val="0"/>
      </w:pPr>
      <w:r w:rsidRPr="004C2412">
        <w:t>Non-Attendance Reports for non-attendance at a provider appointment (see note to Table 5</w:t>
      </w:r>
      <w:r w:rsidR="004F2938">
        <w:t>a</w:t>
      </w:r>
      <w:r w:rsidRPr="004C2412">
        <w:t>); or</w:t>
      </w:r>
    </w:p>
    <w:p w14:paraId="32B23017" w14:textId="77777777" w:rsidR="00763831" w:rsidRPr="004C2412" w:rsidRDefault="00763831" w:rsidP="00763831">
      <w:pPr>
        <w:pStyle w:val="ListParagraph"/>
        <w:numPr>
          <w:ilvl w:val="0"/>
          <w:numId w:val="5"/>
        </w:numPr>
        <w:spacing w:after="120" w:line="240" w:lineRule="auto"/>
        <w:ind w:left="851" w:hanging="284"/>
        <w:contextualSpacing w:val="0"/>
      </w:pPr>
      <w:r w:rsidRPr="004C2412">
        <w:t>Participation Reports for non-attendance at a third party appointment (such as an initial appointment with a Work for the Dole Host or Skills for Employment and Education provider) or disengagement from an activity.</w:t>
      </w:r>
    </w:p>
    <w:p w14:paraId="7101A35A" w14:textId="77777777" w:rsidR="00763831" w:rsidRDefault="00763831" w:rsidP="00763831">
      <w:pPr>
        <w:spacing w:after="120" w:line="240" w:lineRule="auto"/>
        <w:ind w:left="0"/>
      </w:pPr>
      <w:r w:rsidRPr="004C2412">
        <w:t>Where an income support payment suspension has started it will continue until it is lifted, which is usually when a job seeker attends the appointment.</w:t>
      </w:r>
    </w:p>
    <w:p w14:paraId="05D5C8E7" w14:textId="25921A24" w:rsidR="00763831" w:rsidRPr="00763831" w:rsidRDefault="00763831" w:rsidP="00763831">
      <w:pPr>
        <w:pStyle w:val="Heading3"/>
        <w:numPr>
          <w:ilvl w:val="0"/>
          <w:numId w:val="0"/>
        </w:numPr>
      </w:pPr>
      <w:bookmarkStart w:id="12" w:name="_Toc526864420"/>
      <w:r>
        <w:t>4 b</w:t>
      </w:r>
      <w:r w:rsidRPr="004C2412">
        <w:rPr>
          <w:noProof/>
        </w:rPr>
        <w:t xml:space="preserve"> </w:t>
      </w:r>
      <w:r w:rsidRPr="004C2412">
        <w:t>–</w:t>
      </w:r>
      <w:r w:rsidRPr="004C2412">
        <w:rPr>
          <w:noProof/>
        </w:rPr>
        <w:t xml:space="preserve"> </w:t>
      </w:r>
      <w:r>
        <w:rPr>
          <w:noProof/>
        </w:rPr>
        <w:t>Income Support payment suspensions for non-attendance at appointments/activities – 1 July 2017 to 30 June 2018</w:t>
      </w:r>
      <w:bookmarkEnd w:id="12"/>
    </w:p>
    <w:tbl>
      <w:tblPr>
        <w:tblStyle w:val="CenterAlignTable"/>
        <w:tblW w:w="5000" w:type="pct"/>
        <w:tblInd w:w="0" w:type="dxa"/>
        <w:tblLook w:val="04A0" w:firstRow="1" w:lastRow="0" w:firstColumn="1" w:lastColumn="0" w:noHBand="0" w:noVBand="1"/>
        <w:tblCaption w:val="Income support payment suspensions for non-attendance at appointments/activities"/>
        <w:tblDescription w:val="Income support payment suspensions for non-attendance at appointments/activities"/>
      </w:tblPr>
      <w:tblGrid>
        <w:gridCol w:w="3877"/>
        <w:gridCol w:w="4249"/>
        <w:gridCol w:w="4246"/>
        <w:gridCol w:w="2360"/>
      </w:tblGrid>
      <w:tr w:rsidR="00763831" w:rsidRPr="004C2412" w14:paraId="5970FEC7" w14:textId="77777777" w:rsidTr="00763831">
        <w:trPr>
          <w:cnfStyle w:val="100000000000" w:firstRow="1" w:lastRow="0" w:firstColumn="0" w:lastColumn="0" w:oddVBand="0" w:evenVBand="0" w:oddHBand="0" w:evenHBand="0" w:firstRowFirstColumn="0" w:firstRowLastColumn="0" w:lastRowFirstColumn="0" w:lastRowLastColumn="0"/>
          <w:trHeight w:val="1023"/>
          <w:tblHeader/>
        </w:trPr>
        <w:tc>
          <w:tcPr>
            <w:cnfStyle w:val="001000000000" w:firstRow="0" w:lastRow="0" w:firstColumn="1" w:lastColumn="0" w:oddVBand="0" w:evenVBand="0" w:oddHBand="0" w:evenHBand="0" w:firstRowFirstColumn="0" w:firstRowLastColumn="0" w:lastRowFirstColumn="0" w:lastRowLastColumn="0"/>
            <w:tcW w:w="1316" w:type="pct"/>
            <w:shd w:val="clear" w:color="auto" w:fill="auto"/>
            <w:vAlign w:val="center"/>
          </w:tcPr>
          <w:p w14:paraId="7588F1D3" w14:textId="77777777" w:rsidR="00763831" w:rsidRPr="004C2412" w:rsidRDefault="00763831" w:rsidP="00763831">
            <w:pPr>
              <w:spacing w:before="0"/>
              <w:ind w:left="0"/>
            </w:pPr>
            <w:r w:rsidRPr="004C2412">
              <w:t>Number of income support payment suspensions for job seekers missing appointment with their provider</w:t>
            </w:r>
          </w:p>
        </w:tc>
        <w:tc>
          <w:tcPr>
            <w:tcW w:w="1442" w:type="pct"/>
            <w:vAlign w:val="center"/>
          </w:tcPr>
          <w:p w14:paraId="21B2166D" w14:textId="77777777" w:rsidR="00763831" w:rsidRPr="004C2412" w:rsidRDefault="00763831" w:rsidP="00763831">
            <w:pPr>
              <w:spacing w:before="0"/>
              <w:ind w:left="0"/>
              <w:cnfStyle w:val="100000000000" w:firstRow="1" w:lastRow="0" w:firstColumn="0" w:lastColumn="0" w:oddVBand="0" w:evenVBand="0" w:oddHBand="0" w:evenHBand="0" w:firstRowFirstColumn="0" w:firstRowLastColumn="0" w:lastRowFirstColumn="0" w:lastRowLastColumn="0"/>
            </w:pPr>
            <w:r w:rsidRPr="004C2412">
              <w:t>Number of income support payment suspensions for job seekers missing  appointment with a third party</w:t>
            </w:r>
          </w:p>
        </w:tc>
        <w:tc>
          <w:tcPr>
            <w:tcW w:w="1441" w:type="pct"/>
            <w:vAlign w:val="center"/>
          </w:tcPr>
          <w:p w14:paraId="4813274B" w14:textId="77777777" w:rsidR="00763831" w:rsidRPr="004C2412" w:rsidRDefault="00763831" w:rsidP="00763831">
            <w:pPr>
              <w:spacing w:before="0"/>
              <w:ind w:left="0"/>
              <w:cnfStyle w:val="100000000000" w:firstRow="1" w:lastRow="0" w:firstColumn="0" w:lastColumn="0" w:oddVBand="0" w:evenVBand="0" w:oddHBand="0" w:evenHBand="0" w:firstRowFirstColumn="0" w:firstRowLastColumn="0" w:lastRowFirstColumn="0" w:lastRowLastColumn="0"/>
            </w:pPr>
            <w:r w:rsidRPr="004C2412">
              <w:t>Number of income support payment suspensions for job seekers following disengagement from an activity</w:t>
            </w:r>
          </w:p>
        </w:tc>
        <w:tc>
          <w:tcPr>
            <w:tcW w:w="801" w:type="pct"/>
            <w:vAlign w:val="center"/>
          </w:tcPr>
          <w:p w14:paraId="21D73DF7" w14:textId="77777777" w:rsidR="00763831" w:rsidRPr="004C2412" w:rsidRDefault="00763831" w:rsidP="00763831">
            <w:pPr>
              <w:spacing w:before="0"/>
              <w:ind w:left="0"/>
              <w:cnfStyle w:val="100000000000" w:firstRow="1" w:lastRow="0" w:firstColumn="0" w:lastColumn="0" w:oddVBand="0" w:evenVBand="0" w:oddHBand="0" w:evenHBand="0" w:firstRowFirstColumn="0" w:firstRowLastColumn="0" w:lastRowFirstColumn="0" w:lastRowLastColumn="0"/>
            </w:pPr>
            <w:r w:rsidRPr="004C2412">
              <w:t>Total Income Support Payment Suspensions</w:t>
            </w:r>
          </w:p>
        </w:tc>
      </w:tr>
      <w:tr w:rsidR="00763831" w:rsidRPr="004C2412" w14:paraId="4B8313E6" w14:textId="77777777" w:rsidTr="00763831">
        <w:trPr>
          <w:trHeight w:val="454"/>
        </w:trPr>
        <w:tc>
          <w:tcPr>
            <w:cnfStyle w:val="001000000000" w:firstRow="0" w:lastRow="0" w:firstColumn="1" w:lastColumn="0" w:oddVBand="0" w:evenVBand="0" w:oddHBand="0" w:evenHBand="0" w:firstRowFirstColumn="0" w:firstRowLastColumn="0" w:lastRowFirstColumn="0" w:lastRowLastColumn="0"/>
            <w:tcW w:w="1316" w:type="pct"/>
            <w:vAlign w:val="center"/>
          </w:tcPr>
          <w:p w14:paraId="5EEAEE29" w14:textId="04480F4F" w:rsidR="00763831" w:rsidRPr="00763831" w:rsidRDefault="00763831" w:rsidP="00763831">
            <w:pPr>
              <w:spacing w:before="0"/>
              <w:ind w:left="0"/>
              <w:rPr>
                <w:rFonts w:cs="Arial"/>
                <w:b w:val="0"/>
              </w:rPr>
            </w:pPr>
            <w:r w:rsidRPr="00763831">
              <w:rPr>
                <w:rFonts w:cs="Gill Sans MT"/>
                <w:b w:val="0"/>
                <w:color w:val="000000"/>
              </w:rPr>
              <w:t>1,504,368</w:t>
            </w:r>
          </w:p>
        </w:tc>
        <w:tc>
          <w:tcPr>
            <w:tcW w:w="1442" w:type="pct"/>
            <w:vAlign w:val="center"/>
          </w:tcPr>
          <w:p w14:paraId="75BF7AE0" w14:textId="5B7FF635" w:rsidR="00763831" w:rsidRPr="000F2F9C" w:rsidRDefault="00763831" w:rsidP="00763831">
            <w:pPr>
              <w:spacing w:before="0"/>
              <w:ind w:left="0"/>
              <w:cnfStyle w:val="000000000000" w:firstRow="0" w:lastRow="0" w:firstColumn="0" w:lastColumn="0" w:oddVBand="0" w:evenVBand="0" w:oddHBand="0" w:evenHBand="0" w:firstRowFirstColumn="0" w:firstRowLastColumn="0" w:lastRowFirstColumn="0" w:lastRowLastColumn="0"/>
              <w:rPr>
                <w:rFonts w:cs="Arial"/>
              </w:rPr>
            </w:pPr>
            <w:r w:rsidRPr="00DF57E9">
              <w:rPr>
                <w:rFonts w:cs="Gill Sans MT"/>
                <w:color w:val="000000"/>
              </w:rPr>
              <w:t>1,398</w:t>
            </w:r>
          </w:p>
        </w:tc>
        <w:tc>
          <w:tcPr>
            <w:tcW w:w="1441" w:type="pct"/>
            <w:vAlign w:val="center"/>
          </w:tcPr>
          <w:p w14:paraId="4DD9D75D" w14:textId="5715250C" w:rsidR="00763831" w:rsidRPr="000F2F9C" w:rsidRDefault="00763831" w:rsidP="00763831">
            <w:pPr>
              <w:spacing w:before="0"/>
              <w:ind w:left="0"/>
              <w:cnfStyle w:val="000000000000" w:firstRow="0" w:lastRow="0" w:firstColumn="0" w:lastColumn="0" w:oddVBand="0" w:evenVBand="0" w:oddHBand="0" w:evenHBand="0" w:firstRowFirstColumn="0" w:firstRowLastColumn="0" w:lastRowFirstColumn="0" w:lastRowLastColumn="0"/>
              <w:rPr>
                <w:rFonts w:cs="Arial"/>
              </w:rPr>
            </w:pPr>
            <w:r w:rsidRPr="00DF57E9">
              <w:rPr>
                <w:rFonts w:cs="Gill Sans MT"/>
                <w:color w:val="000000"/>
              </w:rPr>
              <w:t>103,655</w:t>
            </w:r>
          </w:p>
        </w:tc>
        <w:tc>
          <w:tcPr>
            <w:tcW w:w="801" w:type="pct"/>
            <w:vAlign w:val="center"/>
          </w:tcPr>
          <w:p w14:paraId="3927EB85" w14:textId="613B165F" w:rsidR="00763831" w:rsidRPr="000F2F9C" w:rsidRDefault="00763831" w:rsidP="00763831">
            <w:pPr>
              <w:spacing w:before="0"/>
              <w:ind w:left="0"/>
              <w:cnfStyle w:val="000000000000" w:firstRow="0" w:lastRow="0" w:firstColumn="0" w:lastColumn="0" w:oddVBand="0" w:evenVBand="0" w:oddHBand="0" w:evenHBand="0" w:firstRowFirstColumn="0" w:firstRowLastColumn="0" w:lastRowFirstColumn="0" w:lastRowLastColumn="0"/>
              <w:rPr>
                <w:rFonts w:cs="Arial"/>
              </w:rPr>
            </w:pPr>
            <w:r w:rsidRPr="00DF57E9">
              <w:rPr>
                <w:rFonts w:cs="Gill Sans MT"/>
                <w:color w:val="000000"/>
              </w:rPr>
              <w:t>1,609,421</w:t>
            </w:r>
          </w:p>
        </w:tc>
      </w:tr>
    </w:tbl>
    <w:p w14:paraId="36091254" w14:textId="526A166F" w:rsidR="00C72483" w:rsidRPr="004C2412" w:rsidRDefault="00C72483" w:rsidP="00A609AA">
      <w:pPr>
        <w:spacing w:after="120" w:line="240" w:lineRule="auto"/>
        <w:ind w:left="0"/>
      </w:pPr>
      <w:r w:rsidRPr="004C2412">
        <w:t xml:space="preserve">This table is a count of all </w:t>
      </w:r>
      <w:r w:rsidR="009B68AE" w:rsidRPr="004C2412">
        <w:t xml:space="preserve">income support payment </w:t>
      </w:r>
      <w:r w:rsidRPr="004C2412">
        <w:t xml:space="preserve">suspensions applied </w:t>
      </w:r>
      <w:proofErr w:type="gramStart"/>
      <w:r w:rsidRPr="004C2412">
        <w:t>as a result</w:t>
      </w:r>
      <w:proofErr w:type="gramEnd"/>
      <w:r w:rsidRPr="004C2412">
        <w:t xml:space="preserve"> of providers submitting:</w:t>
      </w:r>
    </w:p>
    <w:p w14:paraId="36091255" w14:textId="511AD73E" w:rsidR="00C72483" w:rsidRPr="004C2412" w:rsidRDefault="00C72483" w:rsidP="004322AF">
      <w:pPr>
        <w:pStyle w:val="ListParagraph"/>
        <w:numPr>
          <w:ilvl w:val="0"/>
          <w:numId w:val="5"/>
        </w:numPr>
        <w:spacing w:after="120" w:line="240" w:lineRule="auto"/>
        <w:ind w:left="851" w:hanging="284"/>
        <w:contextualSpacing w:val="0"/>
      </w:pPr>
      <w:r w:rsidRPr="004C2412">
        <w:t>Non-Attendance Reports for non-attendance at a provider appointment (see note to Table 5</w:t>
      </w:r>
      <w:r w:rsidR="004F2938">
        <w:t>b</w:t>
      </w:r>
      <w:r w:rsidRPr="004C2412">
        <w:t xml:space="preserve">); </w:t>
      </w:r>
      <w:r w:rsidR="004322AF" w:rsidRPr="004C2412">
        <w:t>or</w:t>
      </w:r>
    </w:p>
    <w:p w14:paraId="36091256" w14:textId="1DEE54BE" w:rsidR="00C72483" w:rsidRPr="004C2412" w:rsidRDefault="00C72483" w:rsidP="004322AF">
      <w:pPr>
        <w:pStyle w:val="ListParagraph"/>
        <w:numPr>
          <w:ilvl w:val="0"/>
          <w:numId w:val="5"/>
        </w:numPr>
        <w:spacing w:after="120" w:line="240" w:lineRule="auto"/>
        <w:ind w:left="851" w:hanging="284"/>
        <w:contextualSpacing w:val="0"/>
      </w:pPr>
      <w:r w:rsidRPr="004C2412">
        <w:t>Participation Reports for non-attendance at a third party appointment (such as an initial appointment with a Work for the Dole Host or Skills for Employment and Education provider) or disengagement from an activity.</w:t>
      </w:r>
    </w:p>
    <w:p w14:paraId="36091257" w14:textId="77777777" w:rsidR="00C427EC" w:rsidRPr="004C2412" w:rsidRDefault="00C72483" w:rsidP="00A609AA">
      <w:pPr>
        <w:spacing w:after="120" w:line="240" w:lineRule="auto"/>
        <w:ind w:left="0"/>
      </w:pPr>
      <w:r w:rsidRPr="004C2412">
        <w:t>Where an income support payment suspension has started it will continue until it is lifted, which is usually when a job seeker attends the appointment.</w:t>
      </w:r>
      <w:r w:rsidR="00C427EC" w:rsidRPr="004C2412">
        <w:br w:type="page"/>
      </w:r>
    </w:p>
    <w:p w14:paraId="353BD762" w14:textId="2E50A7FC" w:rsidR="00F70312" w:rsidRDefault="00A80828" w:rsidP="00A609AA">
      <w:pPr>
        <w:pStyle w:val="Heading1"/>
        <w:rPr>
          <w:rStyle w:val="Heading2Char"/>
          <w:b/>
          <w:sz w:val="22"/>
          <w:szCs w:val="22"/>
        </w:rPr>
      </w:pPr>
      <w:bookmarkStart w:id="13" w:name="_Toc526864421"/>
      <w:r w:rsidRPr="004C2412">
        <w:rPr>
          <w:rFonts w:eastAsiaTheme="minorHAnsi" w:cs="Arial"/>
          <w:bCs w:val="0"/>
          <w:noProof/>
          <w:sz w:val="22"/>
          <w:szCs w:val="22"/>
        </w:rPr>
        <w:t xml:space="preserve">5 </w:t>
      </w:r>
      <w:r w:rsidR="00BA4C67" w:rsidRPr="004C2412">
        <w:rPr>
          <w:sz w:val="22"/>
          <w:szCs w:val="22"/>
        </w:rPr>
        <w:t xml:space="preserve">– </w:t>
      </w:r>
      <w:r w:rsidR="00BA4C67" w:rsidRPr="004C2412">
        <w:rPr>
          <w:rFonts w:eastAsiaTheme="minorHAnsi" w:cs="Arial"/>
          <w:bCs w:val="0"/>
          <w:noProof/>
          <w:sz w:val="22"/>
          <w:szCs w:val="22"/>
        </w:rPr>
        <w:t>Numbers</w:t>
      </w:r>
      <w:r w:rsidR="00456F16" w:rsidRPr="004C2412">
        <w:rPr>
          <w:rStyle w:val="Heading2Char"/>
          <w:b/>
          <w:sz w:val="22"/>
          <w:szCs w:val="22"/>
        </w:rPr>
        <w:t xml:space="preserve"> of Non-Attendance Reports, Participation Reports and Provider Appointment Reports</w:t>
      </w:r>
      <w:r w:rsidR="00970C39" w:rsidRPr="004C2412">
        <w:rPr>
          <w:rStyle w:val="Heading2Char"/>
          <w:b/>
          <w:sz w:val="22"/>
          <w:szCs w:val="22"/>
        </w:rPr>
        <w:t xml:space="preserve"> </w:t>
      </w:r>
      <w:r w:rsidR="00D170FA" w:rsidRPr="004C2412">
        <w:rPr>
          <w:rStyle w:val="Heading2Char"/>
          <w:b/>
          <w:sz w:val="22"/>
          <w:szCs w:val="22"/>
        </w:rPr>
        <w:t>-</w:t>
      </w:r>
      <w:r w:rsidR="00F3209B" w:rsidRPr="004C2412">
        <w:rPr>
          <w:rStyle w:val="Heading2Char"/>
          <w:b/>
          <w:sz w:val="22"/>
          <w:szCs w:val="22"/>
        </w:rPr>
        <w:t xml:space="preserve"> 1 </w:t>
      </w:r>
      <w:r w:rsidR="000F2F9C">
        <w:rPr>
          <w:rStyle w:val="Heading2Char"/>
          <w:b/>
          <w:sz w:val="22"/>
          <w:szCs w:val="22"/>
        </w:rPr>
        <w:t>April</w:t>
      </w:r>
      <w:r w:rsidR="000F2F9C" w:rsidRPr="004C2412">
        <w:rPr>
          <w:rStyle w:val="Heading2Char"/>
          <w:b/>
          <w:sz w:val="22"/>
          <w:szCs w:val="22"/>
        </w:rPr>
        <w:t xml:space="preserve"> </w:t>
      </w:r>
      <w:r w:rsidR="00F3209B" w:rsidRPr="004C2412">
        <w:rPr>
          <w:rStyle w:val="Heading2Char"/>
          <w:b/>
          <w:sz w:val="22"/>
          <w:szCs w:val="22"/>
        </w:rPr>
        <w:t xml:space="preserve">to </w:t>
      </w:r>
      <w:r w:rsidR="000F2F9C">
        <w:rPr>
          <w:rStyle w:val="Heading2Char"/>
          <w:b/>
          <w:sz w:val="22"/>
          <w:szCs w:val="22"/>
        </w:rPr>
        <w:t>30 June</w:t>
      </w:r>
      <w:r w:rsidR="00F3209B" w:rsidRPr="004C2412">
        <w:rPr>
          <w:rStyle w:val="Heading2Char"/>
          <w:b/>
          <w:sz w:val="22"/>
          <w:szCs w:val="22"/>
        </w:rPr>
        <w:t xml:space="preserve"> 201</w:t>
      </w:r>
      <w:r w:rsidR="00A85E41" w:rsidRPr="004C2412">
        <w:rPr>
          <w:rStyle w:val="Heading2Char"/>
          <w:b/>
          <w:sz w:val="22"/>
          <w:szCs w:val="22"/>
        </w:rPr>
        <w:t>8</w:t>
      </w:r>
      <w:r w:rsidR="00763831">
        <w:rPr>
          <w:rStyle w:val="Heading2Char"/>
          <w:b/>
          <w:sz w:val="22"/>
          <w:szCs w:val="22"/>
        </w:rPr>
        <w:t xml:space="preserve"> and 1 July 2017 to 30 June 2018</w:t>
      </w:r>
      <w:bookmarkEnd w:id="13"/>
    </w:p>
    <w:p w14:paraId="2ADD1D03" w14:textId="3FD3C076" w:rsidR="00763831" w:rsidRPr="00763831" w:rsidRDefault="00763831" w:rsidP="00763831">
      <w:pPr>
        <w:pStyle w:val="Heading3"/>
        <w:numPr>
          <w:ilvl w:val="0"/>
          <w:numId w:val="0"/>
        </w:numPr>
      </w:pPr>
      <w:bookmarkStart w:id="14" w:name="_Toc526864422"/>
      <w:r>
        <w:t>5 a</w:t>
      </w:r>
      <w:r w:rsidRPr="004C2412">
        <w:rPr>
          <w:noProof/>
        </w:rPr>
        <w:t xml:space="preserve"> </w:t>
      </w:r>
      <w:r w:rsidRPr="004C2412">
        <w:t>–</w:t>
      </w:r>
      <w:r>
        <w:rPr>
          <w:noProof/>
        </w:rPr>
        <w:t xml:space="preserve"> Numbers of Non-Attendance Reports, Participation Reports and Provider Appointment Reports – 1 April to 30 June 2018</w:t>
      </w:r>
      <w:bookmarkEnd w:id="14"/>
    </w:p>
    <w:tbl>
      <w:tblPr>
        <w:tblStyle w:val="CenterAlignTable"/>
        <w:tblW w:w="5000" w:type="pct"/>
        <w:tblInd w:w="0" w:type="dxa"/>
        <w:tblLook w:val="04A0" w:firstRow="1" w:lastRow="0" w:firstColumn="1" w:lastColumn="0" w:noHBand="0" w:noVBand="1"/>
        <w:tblCaption w:val="Numbers of Participation Reports and Contact Requests"/>
        <w:tblDescription w:val="Numbers of Participation Reports and Contact Requests"/>
      </w:tblPr>
      <w:tblGrid>
        <w:gridCol w:w="4043"/>
        <w:gridCol w:w="6240"/>
        <w:gridCol w:w="4449"/>
      </w:tblGrid>
      <w:tr w:rsidR="00F3209B" w:rsidRPr="004C2412" w14:paraId="3609125D" w14:textId="77777777" w:rsidTr="00763831">
        <w:trPr>
          <w:cnfStyle w:val="100000000000" w:firstRow="1" w:lastRow="0" w:firstColumn="0" w:lastColumn="0" w:oddVBand="0" w:evenVBand="0" w:oddHBand="0" w:evenHBand="0" w:firstRowFirstColumn="0" w:firstRowLastColumn="0" w:lastRowFirstColumn="0" w:lastRowLastColumn="0"/>
          <w:trHeight w:val="583"/>
          <w:tblHeader/>
        </w:trPr>
        <w:tc>
          <w:tcPr>
            <w:cnfStyle w:val="001000000000" w:firstRow="0" w:lastRow="0" w:firstColumn="1" w:lastColumn="0" w:oddVBand="0" w:evenVBand="0" w:oddHBand="0" w:evenHBand="0" w:firstRowFirstColumn="0" w:firstRowLastColumn="0" w:lastRowFirstColumn="0" w:lastRowLastColumn="0"/>
            <w:tcW w:w="1372" w:type="pct"/>
            <w:shd w:val="clear" w:color="auto" w:fill="auto"/>
            <w:vAlign w:val="center"/>
          </w:tcPr>
          <w:p w14:paraId="3609125A" w14:textId="586CBE4A" w:rsidR="00F3209B" w:rsidRPr="004C2412" w:rsidRDefault="00F3209B" w:rsidP="00910012">
            <w:pPr>
              <w:spacing w:before="0"/>
              <w:ind w:left="0"/>
            </w:pPr>
            <w:r w:rsidRPr="004C2412">
              <w:t xml:space="preserve">Number of </w:t>
            </w:r>
            <w:r w:rsidRPr="004C2412">
              <w:br/>
              <w:t xml:space="preserve">Non-Attendance Reports </w:t>
            </w:r>
          </w:p>
        </w:tc>
        <w:tc>
          <w:tcPr>
            <w:tcW w:w="2118" w:type="pct"/>
            <w:shd w:val="clear" w:color="auto" w:fill="auto"/>
            <w:vAlign w:val="center"/>
          </w:tcPr>
          <w:p w14:paraId="3609125B" w14:textId="07044E7E" w:rsidR="00F3209B" w:rsidRPr="004C2412" w:rsidRDefault="00F3209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 xml:space="preserve">Number of Non-Attendance Reports as a % of </w:t>
            </w:r>
            <w:r w:rsidR="00D12DD9" w:rsidRPr="004C2412">
              <w:t>N</w:t>
            </w:r>
            <w:r w:rsidRPr="004C2412">
              <w:t>on-</w:t>
            </w:r>
            <w:r w:rsidR="00D12DD9" w:rsidRPr="004C2412">
              <w:t>A</w:t>
            </w:r>
            <w:r w:rsidRPr="004C2412">
              <w:t xml:space="preserve">ttended </w:t>
            </w:r>
            <w:r w:rsidR="00D12DD9" w:rsidRPr="004C2412">
              <w:t>A</w:t>
            </w:r>
            <w:r w:rsidRPr="004C2412">
              <w:t xml:space="preserve">ppointments without a </w:t>
            </w:r>
            <w:r w:rsidR="00D12DD9" w:rsidRPr="004C2412">
              <w:t>V</w:t>
            </w:r>
            <w:r w:rsidRPr="004C2412">
              <w:t xml:space="preserve">alid </w:t>
            </w:r>
            <w:r w:rsidR="00D12DD9" w:rsidRPr="004C2412">
              <w:t>R</w:t>
            </w:r>
            <w:r w:rsidRPr="004C2412">
              <w:t>eason</w:t>
            </w:r>
          </w:p>
        </w:tc>
        <w:tc>
          <w:tcPr>
            <w:tcW w:w="1510" w:type="pct"/>
            <w:vAlign w:val="center"/>
          </w:tcPr>
          <w:p w14:paraId="3609125C" w14:textId="77777777" w:rsidR="00F3209B" w:rsidRPr="004C2412" w:rsidRDefault="00F3209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rFonts w:cs="Arial"/>
                <w:color w:val="000000"/>
              </w:rPr>
              <w:t xml:space="preserve">Number of Participation Reports and Provider Appointment </w:t>
            </w:r>
            <w:r w:rsidRPr="00B70E9D">
              <w:rPr>
                <w:rFonts w:cs="Arial"/>
              </w:rPr>
              <w:t>Reports</w:t>
            </w:r>
            <w:r w:rsidRPr="00B70E9D">
              <w:t xml:space="preserve"> of PRs</w:t>
            </w:r>
          </w:p>
        </w:tc>
      </w:tr>
      <w:tr w:rsidR="000F2F9C" w:rsidRPr="004C2412" w14:paraId="36091262" w14:textId="77777777" w:rsidTr="00910012">
        <w:trPr>
          <w:trHeight w:val="397"/>
        </w:trPr>
        <w:tc>
          <w:tcPr>
            <w:cnfStyle w:val="001000000000" w:firstRow="0" w:lastRow="0" w:firstColumn="1" w:lastColumn="0" w:oddVBand="0" w:evenVBand="0" w:oddHBand="0" w:evenHBand="0" w:firstRowFirstColumn="0" w:firstRowLastColumn="0" w:lastRowFirstColumn="0" w:lastRowLastColumn="0"/>
            <w:tcW w:w="1372" w:type="pct"/>
            <w:vAlign w:val="center"/>
          </w:tcPr>
          <w:p w14:paraId="3609125F" w14:textId="73CD30B2" w:rsidR="000F2F9C" w:rsidRPr="000F2F9C" w:rsidRDefault="000F2F9C" w:rsidP="000F2F9C">
            <w:pPr>
              <w:autoSpaceDE w:val="0"/>
              <w:autoSpaceDN w:val="0"/>
              <w:adjustRightInd w:val="0"/>
              <w:spacing w:before="0"/>
              <w:ind w:left="0"/>
              <w:rPr>
                <w:rFonts w:cs="Gill Sans MT"/>
                <w:b w:val="0"/>
                <w:color w:val="000000"/>
              </w:rPr>
            </w:pPr>
            <w:r w:rsidRPr="000F2F9C">
              <w:rPr>
                <w:rFonts w:cs="Gill Sans MT"/>
                <w:b w:val="0"/>
                <w:color w:val="000000"/>
              </w:rPr>
              <w:t>483,001</w:t>
            </w:r>
          </w:p>
        </w:tc>
        <w:tc>
          <w:tcPr>
            <w:tcW w:w="2118" w:type="pct"/>
            <w:vAlign w:val="center"/>
          </w:tcPr>
          <w:p w14:paraId="36091260" w14:textId="6D37F6A4" w:rsidR="000F2F9C" w:rsidRPr="000F2F9C" w:rsidRDefault="000F2F9C" w:rsidP="000F2F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F2F9C">
              <w:rPr>
                <w:rFonts w:cs="Gill Sans MT"/>
                <w:color w:val="000000"/>
              </w:rPr>
              <w:t>77.3%</w:t>
            </w:r>
          </w:p>
        </w:tc>
        <w:tc>
          <w:tcPr>
            <w:tcW w:w="1510" w:type="pct"/>
            <w:vAlign w:val="center"/>
          </w:tcPr>
          <w:p w14:paraId="36091261" w14:textId="17A1086A" w:rsidR="000F2F9C" w:rsidRPr="000F2F9C" w:rsidRDefault="000F2F9C" w:rsidP="000F2F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F2F9C">
              <w:rPr>
                <w:rFonts w:cs="Gill Sans MT"/>
                <w:color w:val="000000"/>
              </w:rPr>
              <w:t>180,148</w:t>
            </w:r>
          </w:p>
        </w:tc>
      </w:tr>
    </w:tbl>
    <w:p w14:paraId="63BD7829" w14:textId="77777777" w:rsidR="00BA4C67" w:rsidRPr="004C2412" w:rsidRDefault="00BA4C67" w:rsidP="00BA4C67">
      <w:pPr>
        <w:spacing w:after="240" w:line="240" w:lineRule="auto"/>
        <w:ind w:left="0"/>
      </w:pPr>
      <w:proofErr w:type="gramStart"/>
      <w:r w:rsidRPr="004C2412">
        <w:t>Non-Attendance Reports may be used by providers,</w:t>
      </w:r>
      <w:proofErr w:type="gramEnd"/>
      <w:r w:rsidRPr="004C2412">
        <w:t xml:space="preserve"> after first attempting to contact the job seeker, to report to the Department of Human Services where a job seeker fails to attend a provider appointment without giving prior notice of a valid reason.</w:t>
      </w:r>
    </w:p>
    <w:p w14:paraId="76B7AD36" w14:textId="77777777" w:rsidR="00BA4C67" w:rsidRPr="004C2412" w:rsidRDefault="00BA4C67" w:rsidP="00BA4C67">
      <w:pPr>
        <w:spacing w:before="240" w:after="240" w:line="240" w:lineRule="auto"/>
        <w:ind w:left="0"/>
      </w:pPr>
      <w:r w:rsidRPr="004C2412">
        <w:t xml:space="preserve">Once received by the Department of Human Services, a Non-Attendance Report will trigger an income support payment </w:t>
      </w:r>
      <w:proofErr w:type="gramStart"/>
      <w:r w:rsidRPr="004C2412">
        <w:t>suspension which</w:t>
      </w:r>
      <w:proofErr w:type="gramEnd"/>
      <w:r w:rsidRPr="004C2412">
        <w:t xml:space="preserve"> will generally remain in place until the job seeker attends a re-engagement appointment. Submission of a Non-Attendance Report by a provider does not require the Department of Human Services to investigate whether a participation failure has occurred.</w:t>
      </w:r>
    </w:p>
    <w:p w14:paraId="7F7CD52B" w14:textId="77777777" w:rsidR="00BA4C67" w:rsidRPr="004C2412" w:rsidRDefault="00BA4C67" w:rsidP="00BA4C67">
      <w:pPr>
        <w:spacing w:before="240" w:after="240" w:line="240" w:lineRule="auto"/>
        <w:ind w:left="0"/>
      </w:pPr>
      <w:r w:rsidRPr="004C2412">
        <w:t>“Number of Non-Attendance Reports as a % of non-attended appointments” is the number of submitted Non-Attendance Reports as a proportion of the number of provider appointments not attended during the quarter (excluding where the provider considered the job seeker had a reasonable excuse for their non-attendance - i.e. ‘Valid Reason’).</w:t>
      </w:r>
    </w:p>
    <w:p w14:paraId="730AC9D4" w14:textId="77777777" w:rsidR="00BA4C67" w:rsidRPr="004C2412" w:rsidRDefault="00BA4C67" w:rsidP="00BA4C67">
      <w:pPr>
        <w:spacing w:before="240" w:after="240" w:line="240" w:lineRule="auto"/>
        <w:ind w:left="0"/>
      </w:pPr>
      <w:r w:rsidRPr="004C2412">
        <w:t xml:space="preserve">Provider Appointment Reports </w:t>
      </w:r>
      <w:proofErr w:type="gramStart"/>
      <w:r w:rsidRPr="004C2412">
        <w:t>were introduced</w:t>
      </w:r>
      <w:proofErr w:type="gramEnd"/>
      <w:r w:rsidRPr="004C2412">
        <w:t xml:space="preserve"> on 1 July 2015. A provider submits a Provider Appointment Report when they want the Department of Human Services to investigate whether a ‘Non-Attendance Failure’ </w:t>
      </w:r>
      <w:proofErr w:type="gramStart"/>
      <w:r w:rsidRPr="004C2412">
        <w:t>should be applied</w:t>
      </w:r>
      <w:proofErr w:type="gramEnd"/>
      <w:r w:rsidRPr="004C2412">
        <w:t xml:space="preserve">. In the above table, Provider Appointment Reports have been grouped with Participation Reports for Connection, Reconnection, No Show No Pay and Serious Failures for refusing to accept or commence in a suitable job (i.e. those Participation Reports </w:t>
      </w:r>
      <w:proofErr w:type="gramStart"/>
      <w:r w:rsidRPr="004C2412">
        <w:t>which</w:t>
      </w:r>
      <w:proofErr w:type="gramEnd"/>
      <w:r w:rsidRPr="004C2412">
        <w:t xml:space="preserve"> are directly submitted by providers to the Department of Human Services for investigation). </w:t>
      </w:r>
    </w:p>
    <w:p w14:paraId="7FEDC9EA" w14:textId="77777777" w:rsidR="00BA4C67" w:rsidRDefault="00BA4C67" w:rsidP="00BA4C67">
      <w:pPr>
        <w:spacing w:before="240" w:after="240" w:line="240" w:lineRule="auto"/>
        <w:ind w:left="0"/>
        <w:sectPr w:rsidR="00BA4C67" w:rsidSect="00763831">
          <w:pgSz w:w="16838" w:h="11906" w:orient="landscape"/>
          <w:pgMar w:top="142" w:right="962" w:bottom="720" w:left="1134" w:header="567" w:footer="0" w:gutter="0"/>
          <w:cols w:space="708"/>
          <w:docGrid w:linePitch="360"/>
        </w:sectPr>
      </w:pPr>
      <w:r w:rsidRPr="004C2412">
        <w:t xml:space="preserve">Participation Reports </w:t>
      </w:r>
      <w:proofErr w:type="gramStart"/>
      <w:r w:rsidRPr="004C2412">
        <w:t>can also be submitted</w:t>
      </w:r>
      <w:proofErr w:type="gramEnd"/>
      <w:r w:rsidRPr="004C2412">
        <w:t xml:space="preserve"> for non-appointment related reasons. As such, the number of Provider Appointment Reports and Participation Reports </w:t>
      </w:r>
      <w:proofErr w:type="gramStart"/>
      <w:r w:rsidRPr="004C2412">
        <w:t>is not expressed</w:t>
      </w:r>
      <w:proofErr w:type="gramEnd"/>
      <w:r w:rsidRPr="004C2412">
        <w:t xml:space="preserve"> “as a % of non-attended appointments”.</w:t>
      </w:r>
    </w:p>
    <w:p w14:paraId="2B511333" w14:textId="625B9270" w:rsidR="00763831" w:rsidRPr="00763831" w:rsidRDefault="00763831" w:rsidP="00763831">
      <w:pPr>
        <w:pStyle w:val="Heading3"/>
        <w:numPr>
          <w:ilvl w:val="0"/>
          <w:numId w:val="0"/>
        </w:numPr>
      </w:pPr>
      <w:bookmarkStart w:id="15" w:name="_Toc526864423"/>
      <w:r>
        <w:t>5 b</w:t>
      </w:r>
      <w:r w:rsidRPr="004C2412">
        <w:rPr>
          <w:noProof/>
        </w:rPr>
        <w:t xml:space="preserve"> </w:t>
      </w:r>
      <w:r w:rsidRPr="004C2412">
        <w:t>–</w:t>
      </w:r>
      <w:r>
        <w:rPr>
          <w:noProof/>
        </w:rPr>
        <w:t xml:space="preserve"> Numbers of Non-Attendance Reports, Participation Reports and Provider Appointment Reports – 1 June 2017 to 30 June 2018</w:t>
      </w:r>
      <w:bookmarkEnd w:id="15"/>
    </w:p>
    <w:tbl>
      <w:tblPr>
        <w:tblStyle w:val="CenterAlignTable"/>
        <w:tblW w:w="5000" w:type="pct"/>
        <w:tblInd w:w="0" w:type="dxa"/>
        <w:tblLook w:val="04A0" w:firstRow="1" w:lastRow="0" w:firstColumn="1" w:lastColumn="0" w:noHBand="0" w:noVBand="1"/>
        <w:tblCaption w:val="Numbers of Participation Reports and Contact Requests"/>
        <w:tblDescription w:val="Numbers of Participation Reports and Contact Requests"/>
      </w:tblPr>
      <w:tblGrid>
        <w:gridCol w:w="4043"/>
        <w:gridCol w:w="6240"/>
        <w:gridCol w:w="4449"/>
      </w:tblGrid>
      <w:tr w:rsidR="00763831" w:rsidRPr="004C2412" w14:paraId="4AFC6E87" w14:textId="77777777" w:rsidTr="00763831">
        <w:trPr>
          <w:cnfStyle w:val="100000000000" w:firstRow="1" w:lastRow="0" w:firstColumn="0" w:lastColumn="0" w:oddVBand="0" w:evenVBand="0" w:oddHBand="0" w:evenHBand="0" w:firstRowFirstColumn="0" w:firstRowLastColumn="0" w:lastRowFirstColumn="0" w:lastRowLastColumn="0"/>
          <w:trHeight w:val="583"/>
          <w:tblHeader/>
        </w:trPr>
        <w:tc>
          <w:tcPr>
            <w:cnfStyle w:val="001000000000" w:firstRow="0" w:lastRow="0" w:firstColumn="1" w:lastColumn="0" w:oddVBand="0" w:evenVBand="0" w:oddHBand="0" w:evenHBand="0" w:firstRowFirstColumn="0" w:firstRowLastColumn="0" w:lastRowFirstColumn="0" w:lastRowLastColumn="0"/>
            <w:tcW w:w="1372" w:type="pct"/>
            <w:shd w:val="clear" w:color="auto" w:fill="auto"/>
            <w:vAlign w:val="center"/>
          </w:tcPr>
          <w:p w14:paraId="605A6271" w14:textId="77777777" w:rsidR="00763831" w:rsidRPr="004C2412" w:rsidRDefault="00763831" w:rsidP="00763831">
            <w:pPr>
              <w:spacing w:before="0"/>
              <w:ind w:left="0"/>
            </w:pPr>
            <w:r w:rsidRPr="004C2412">
              <w:t xml:space="preserve">Number of </w:t>
            </w:r>
            <w:r w:rsidRPr="004C2412">
              <w:br/>
              <w:t xml:space="preserve">Non-Attendance Reports </w:t>
            </w:r>
          </w:p>
        </w:tc>
        <w:tc>
          <w:tcPr>
            <w:tcW w:w="2118" w:type="pct"/>
            <w:shd w:val="clear" w:color="auto" w:fill="auto"/>
            <w:vAlign w:val="center"/>
          </w:tcPr>
          <w:p w14:paraId="067F7DDE" w14:textId="77777777" w:rsidR="00763831" w:rsidRPr="004C2412" w:rsidRDefault="00763831" w:rsidP="00763831">
            <w:pPr>
              <w:spacing w:before="0"/>
              <w:ind w:left="0"/>
              <w:cnfStyle w:val="100000000000" w:firstRow="1" w:lastRow="0" w:firstColumn="0" w:lastColumn="0" w:oddVBand="0" w:evenVBand="0" w:oddHBand="0" w:evenHBand="0" w:firstRowFirstColumn="0" w:firstRowLastColumn="0" w:lastRowFirstColumn="0" w:lastRowLastColumn="0"/>
            </w:pPr>
            <w:r w:rsidRPr="004C2412">
              <w:t>Number of Non-Attendance Reports as a % of Non-Attended Appointments without a Valid Reason</w:t>
            </w:r>
          </w:p>
        </w:tc>
        <w:tc>
          <w:tcPr>
            <w:tcW w:w="1510" w:type="pct"/>
            <w:vAlign w:val="center"/>
          </w:tcPr>
          <w:p w14:paraId="640C67F1" w14:textId="77777777" w:rsidR="00763831" w:rsidRPr="004C2412" w:rsidRDefault="00763831" w:rsidP="00763831">
            <w:pPr>
              <w:spacing w:before="0"/>
              <w:ind w:left="0"/>
              <w:cnfStyle w:val="100000000000" w:firstRow="1" w:lastRow="0" w:firstColumn="0" w:lastColumn="0" w:oddVBand="0" w:evenVBand="0" w:oddHBand="0" w:evenHBand="0" w:firstRowFirstColumn="0" w:firstRowLastColumn="0" w:lastRowFirstColumn="0" w:lastRowLastColumn="0"/>
            </w:pPr>
            <w:r w:rsidRPr="004C2412">
              <w:rPr>
                <w:rFonts w:cs="Arial"/>
                <w:color w:val="000000"/>
              </w:rPr>
              <w:t xml:space="preserve">Number of Participation Reports and Provider Appointment </w:t>
            </w:r>
            <w:r w:rsidRPr="00B70E9D">
              <w:rPr>
                <w:rFonts w:cs="Arial"/>
              </w:rPr>
              <w:t>Reports</w:t>
            </w:r>
            <w:r w:rsidRPr="00B70E9D">
              <w:t xml:space="preserve"> of PRs</w:t>
            </w:r>
          </w:p>
        </w:tc>
      </w:tr>
      <w:tr w:rsidR="00763831" w:rsidRPr="004C2412" w14:paraId="743F281D" w14:textId="77777777" w:rsidTr="00763831">
        <w:trPr>
          <w:trHeight w:val="397"/>
        </w:trPr>
        <w:tc>
          <w:tcPr>
            <w:cnfStyle w:val="001000000000" w:firstRow="0" w:lastRow="0" w:firstColumn="1" w:lastColumn="0" w:oddVBand="0" w:evenVBand="0" w:oddHBand="0" w:evenHBand="0" w:firstRowFirstColumn="0" w:firstRowLastColumn="0" w:lastRowFirstColumn="0" w:lastRowLastColumn="0"/>
            <w:tcW w:w="1372" w:type="pct"/>
            <w:vAlign w:val="center"/>
          </w:tcPr>
          <w:p w14:paraId="5129130C" w14:textId="4A858D0D" w:rsidR="00763831" w:rsidRPr="00763831" w:rsidRDefault="00763831" w:rsidP="00763831">
            <w:pPr>
              <w:autoSpaceDE w:val="0"/>
              <w:autoSpaceDN w:val="0"/>
              <w:adjustRightInd w:val="0"/>
              <w:spacing w:before="0"/>
              <w:ind w:left="0"/>
              <w:rPr>
                <w:rFonts w:cs="Gill Sans MT"/>
                <w:b w:val="0"/>
                <w:color w:val="000000"/>
              </w:rPr>
            </w:pPr>
            <w:r w:rsidRPr="00763831">
              <w:rPr>
                <w:rFonts w:cs="Gill Sans MT"/>
                <w:b w:val="0"/>
                <w:color w:val="000000"/>
              </w:rPr>
              <w:t>1,920,298</w:t>
            </w:r>
          </w:p>
        </w:tc>
        <w:tc>
          <w:tcPr>
            <w:tcW w:w="2118" w:type="pct"/>
            <w:vAlign w:val="center"/>
          </w:tcPr>
          <w:p w14:paraId="2FCCA3AE" w14:textId="00810292" w:rsidR="00763831" w:rsidRPr="000F2F9C" w:rsidRDefault="00763831" w:rsidP="0076383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DF57E9">
              <w:rPr>
                <w:rFonts w:cs="Gill Sans MT"/>
                <w:color w:val="000000"/>
              </w:rPr>
              <w:t>75.5%</w:t>
            </w:r>
          </w:p>
        </w:tc>
        <w:tc>
          <w:tcPr>
            <w:tcW w:w="1510" w:type="pct"/>
            <w:vAlign w:val="center"/>
          </w:tcPr>
          <w:p w14:paraId="58B00866" w14:textId="704C3C28" w:rsidR="00763831" w:rsidRPr="000F2F9C" w:rsidRDefault="00763831" w:rsidP="0076383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DF57E9">
              <w:rPr>
                <w:rFonts w:cs="Gill Sans MT"/>
                <w:color w:val="000000"/>
              </w:rPr>
              <w:t>763,920</w:t>
            </w:r>
          </w:p>
        </w:tc>
      </w:tr>
    </w:tbl>
    <w:p w14:paraId="36091263" w14:textId="11DA35D0" w:rsidR="00B84812" w:rsidRPr="004C2412" w:rsidRDefault="00B84812" w:rsidP="00F65699">
      <w:pPr>
        <w:spacing w:after="240" w:line="240" w:lineRule="auto"/>
        <w:ind w:left="0"/>
      </w:pPr>
      <w:proofErr w:type="gramStart"/>
      <w:r w:rsidRPr="004C2412">
        <w:t>Non-Attendance Reports may be used by providers,</w:t>
      </w:r>
      <w:proofErr w:type="gramEnd"/>
      <w:r w:rsidRPr="004C2412">
        <w:t xml:space="preserve"> after first attempting to contact the job seeker, to report to the Department of Human Services where a job seeker fails to attend a provider appointment without giving </w:t>
      </w:r>
      <w:r w:rsidR="004322AF" w:rsidRPr="004C2412">
        <w:t>prior notice of a valid reason.</w:t>
      </w:r>
    </w:p>
    <w:p w14:paraId="36091264" w14:textId="7D62C9A9" w:rsidR="00B84812" w:rsidRPr="004C2412" w:rsidRDefault="00B84812" w:rsidP="00A609AA">
      <w:pPr>
        <w:spacing w:before="240" w:after="240" w:line="240" w:lineRule="auto"/>
        <w:ind w:left="0"/>
      </w:pPr>
      <w:r w:rsidRPr="004C2412">
        <w:t xml:space="preserve">Once received by the Department of Human Services, a Non-Attendance Report will trigger an income support payment </w:t>
      </w:r>
      <w:proofErr w:type="gramStart"/>
      <w:r w:rsidRPr="004C2412">
        <w:t>suspension which</w:t>
      </w:r>
      <w:proofErr w:type="gramEnd"/>
      <w:r w:rsidRPr="004C2412">
        <w:t xml:space="preserve"> will generally remain in place until the job seeker attends a re-engagement appointment. Submission of a Non-Attendance Report by a provider does not require the Department of Human Services to investigate whether a participation failure has </w:t>
      </w:r>
      <w:r w:rsidR="004322AF" w:rsidRPr="004C2412">
        <w:t>occurred.</w:t>
      </w:r>
    </w:p>
    <w:p w14:paraId="36091265" w14:textId="419942FC" w:rsidR="00B84812" w:rsidRPr="004C2412" w:rsidRDefault="00B84812" w:rsidP="00A609AA">
      <w:pPr>
        <w:spacing w:before="240" w:after="240" w:line="240" w:lineRule="auto"/>
        <w:ind w:left="0"/>
      </w:pPr>
      <w:r w:rsidRPr="004C2412">
        <w:t>“Number of Non-Attendance Reports as a % of non-attended appointments” is the number of submitted Non-Attendance Reports as a proportion of the number of provider appointments not attended during the quarter (excluding where the provider considered the job seeker had a reasonable excuse for their non-attendance - i.e. ‘Valid Reason’).</w:t>
      </w:r>
    </w:p>
    <w:p w14:paraId="36091266" w14:textId="4F8A085A" w:rsidR="00B84812" w:rsidRPr="004C2412" w:rsidRDefault="00B84812" w:rsidP="00A609AA">
      <w:pPr>
        <w:spacing w:before="240" w:after="240" w:line="240" w:lineRule="auto"/>
        <w:ind w:left="0"/>
      </w:pPr>
      <w:r w:rsidRPr="004C2412">
        <w:t xml:space="preserve">Provider Appointment Reports </w:t>
      </w:r>
      <w:proofErr w:type="gramStart"/>
      <w:r w:rsidRPr="004C2412">
        <w:t>were introduced</w:t>
      </w:r>
      <w:proofErr w:type="gramEnd"/>
      <w:r w:rsidRPr="004C2412">
        <w:t xml:space="preserve"> on 1 July 2015. A provider submits a Provider Appointment Report when they want the Department of Human Services to investigate whether a ‘Non-Attendance Failure’ </w:t>
      </w:r>
      <w:proofErr w:type="gramStart"/>
      <w:r w:rsidRPr="004C2412">
        <w:t>should be applied</w:t>
      </w:r>
      <w:proofErr w:type="gramEnd"/>
      <w:r w:rsidRPr="004C2412">
        <w:t xml:space="preserve">. In the above table, Provider Appointment Reports have been grouped with Participation Reports for Connection, Reconnection, No Show No Pay and Serious Failures for refusing to accept or commence in a suitable job (i.e. those Participation Reports </w:t>
      </w:r>
      <w:proofErr w:type="gramStart"/>
      <w:r w:rsidRPr="004C2412">
        <w:t>which</w:t>
      </w:r>
      <w:proofErr w:type="gramEnd"/>
      <w:r w:rsidRPr="004C2412">
        <w:t xml:space="preserve"> are directly submitted by providers to the Department of Human Services for investigation). </w:t>
      </w:r>
    </w:p>
    <w:p w14:paraId="0A7A3562" w14:textId="77777777" w:rsidR="00763831" w:rsidRDefault="00B84812" w:rsidP="00A609AA">
      <w:pPr>
        <w:spacing w:before="240" w:after="240" w:line="240" w:lineRule="auto"/>
        <w:ind w:left="0"/>
        <w:sectPr w:rsidR="00763831" w:rsidSect="00763831">
          <w:pgSz w:w="16838" w:h="11906" w:orient="landscape"/>
          <w:pgMar w:top="142" w:right="962" w:bottom="720" w:left="1134" w:header="567" w:footer="0" w:gutter="0"/>
          <w:cols w:space="708"/>
          <w:docGrid w:linePitch="360"/>
        </w:sectPr>
      </w:pPr>
      <w:r w:rsidRPr="004C2412">
        <w:t xml:space="preserve">Participation Reports </w:t>
      </w:r>
      <w:proofErr w:type="gramStart"/>
      <w:r w:rsidRPr="004C2412">
        <w:t>can also be submitted</w:t>
      </w:r>
      <w:proofErr w:type="gramEnd"/>
      <w:r w:rsidRPr="004C2412">
        <w:t xml:space="preserve"> for non-appointment related reasons. As such, the number of Provider Appointment Reports and Participation Reports </w:t>
      </w:r>
      <w:proofErr w:type="gramStart"/>
      <w:r w:rsidRPr="004C2412">
        <w:t>is not expressed</w:t>
      </w:r>
      <w:proofErr w:type="gramEnd"/>
      <w:r w:rsidRPr="004C2412">
        <w:t xml:space="preserve"> “as a % of non-attended appointments”</w:t>
      </w:r>
      <w:r w:rsidR="00C000AA" w:rsidRPr="004C2412">
        <w:t>.</w:t>
      </w:r>
    </w:p>
    <w:p w14:paraId="39CB4AF5" w14:textId="497DC95B" w:rsidR="00D12DD9" w:rsidRDefault="00D12DD9" w:rsidP="00A609AA">
      <w:pPr>
        <w:pStyle w:val="Heading2"/>
        <w:numPr>
          <w:ilvl w:val="0"/>
          <w:numId w:val="0"/>
        </w:numPr>
        <w:rPr>
          <w:rFonts w:eastAsiaTheme="minorHAnsi"/>
          <w:noProof/>
        </w:rPr>
      </w:pPr>
      <w:bookmarkStart w:id="16" w:name="_Toc526864424"/>
      <w:r w:rsidRPr="004C2412">
        <w:rPr>
          <w:rFonts w:eastAsiaTheme="minorHAnsi"/>
          <w:noProof/>
        </w:rPr>
        <w:t xml:space="preserve">6 </w:t>
      </w:r>
      <w:r w:rsidR="00BA4C67" w:rsidRPr="004C2412">
        <w:rPr>
          <w:szCs w:val="22"/>
        </w:rPr>
        <w:t xml:space="preserve">– </w:t>
      </w:r>
      <w:r w:rsidR="00BA4C67" w:rsidRPr="004C2412">
        <w:rPr>
          <w:rFonts w:eastAsiaTheme="minorHAnsi"/>
          <w:noProof/>
        </w:rPr>
        <w:t>Reasons</w:t>
      </w:r>
      <w:r w:rsidRPr="004C2412">
        <w:rPr>
          <w:rFonts w:eastAsiaTheme="minorHAnsi"/>
          <w:noProof/>
        </w:rPr>
        <w:t xml:space="preserve"> for providers reporting non-compliance to the Department of Human Services - 1 </w:t>
      </w:r>
      <w:r w:rsidR="000F2F9C">
        <w:rPr>
          <w:rFonts w:eastAsiaTheme="minorHAnsi"/>
          <w:noProof/>
        </w:rPr>
        <w:t>April</w:t>
      </w:r>
      <w:r w:rsidR="000F2F9C" w:rsidRPr="004C2412">
        <w:rPr>
          <w:rFonts w:eastAsiaTheme="minorHAnsi"/>
          <w:noProof/>
        </w:rPr>
        <w:t xml:space="preserve"> </w:t>
      </w:r>
      <w:r w:rsidRPr="004C2412">
        <w:rPr>
          <w:rFonts w:eastAsiaTheme="minorHAnsi"/>
          <w:noProof/>
        </w:rPr>
        <w:t xml:space="preserve">to </w:t>
      </w:r>
      <w:r w:rsidR="000F2F9C">
        <w:rPr>
          <w:rFonts w:eastAsiaTheme="minorHAnsi"/>
          <w:noProof/>
        </w:rPr>
        <w:t>30 June</w:t>
      </w:r>
      <w:r w:rsidR="0052531E">
        <w:rPr>
          <w:rFonts w:eastAsiaTheme="minorHAnsi"/>
          <w:noProof/>
        </w:rPr>
        <w:t xml:space="preserve"> </w:t>
      </w:r>
      <w:r w:rsidRPr="004C2412">
        <w:rPr>
          <w:rFonts w:eastAsiaTheme="minorHAnsi"/>
          <w:noProof/>
        </w:rPr>
        <w:t>201</w:t>
      </w:r>
      <w:r w:rsidR="00EA773C" w:rsidRPr="004C2412">
        <w:rPr>
          <w:rFonts w:eastAsiaTheme="minorHAnsi"/>
          <w:noProof/>
        </w:rPr>
        <w:t>8</w:t>
      </w:r>
      <w:r w:rsidR="00194B57">
        <w:rPr>
          <w:rFonts w:eastAsiaTheme="minorHAnsi"/>
          <w:noProof/>
        </w:rPr>
        <w:t xml:space="preserve"> and 1 July 2017 to 30 June 2018</w:t>
      </w:r>
      <w:bookmarkEnd w:id="16"/>
    </w:p>
    <w:p w14:paraId="5CF30224" w14:textId="7C04DC03" w:rsidR="00194B57" w:rsidRPr="00194B57" w:rsidRDefault="00194B57" w:rsidP="00194B57">
      <w:pPr>
        <w:pStyle w:val="Heading3"/>
        <w:numPr>
          <w:ilvl w:val="0"/>
          <w:numId w:val="0"/>
        </w:numPr>
      </w:pPr>
      <w:bookmarkStart w:id="17" w:name="_Toc526864425"/>
      <w:r>
        <w:t>6 a – Reasons for providers reporting non</w:t>
      </w:r>
      <w:r w:rsidR="00BA4C67">
        <w:t>-</w:t>
      </w:r>
      <w:r>
        <w:t>compliance to the Department of Human Services – 1 April to 30 June 2018</w:t>
      </w:r>
      <w:bookmarkEnd w:id="17"/>
    </w:p>
    <w:tbl>
      <w:tblPr>
        <w:tblW w:w="4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1"/>
        <w:gridCol w:w="1481"/>
        <w:gridCol w:w="1844"/>
        <w:gridCol w:w="1080"/>
        <w:gridCol w:w="1897"/>
        <w:gridCol w:w="1153"/>
        <w:gridCol w:w="2240"/>
        <w:gridCol w:w="2032"/>
      </w:tblGrid>
      <w:tr w:rsidR="00D12DD9" w:rsidRPr="004C2412" w14:paraId="02290AED" w14:textId="77777777" w:rsidTr="00194B57">
        <w:trPr>
          <w:trHeight w:val="359"/>
          <w:tblHeader/>
          <w:jc w:val="center"/>
        </w:trPr>
        <w:tc>
          <w:tcPr>
            <w:tcW w:w="1500" w:type="pct"/>
            <w:gridSpan w:val="2"/>
            <w:shd w:val="clear" w:color="auto" w:fill="auto"/>
            <w:vAlign w:val="center"/>
            <w:hideMark/>
          </w:tcPr>
          <w:p w14:paraId="6EA1CDAA" w14:textId="77777777" w:rsidR="00D12DD9" w:rsidRPr="002855CE" w:rsidRDefault="00D12DD9" w:rsidP="00A609AA">
            <w:pPr>
              <w:spacing w:before="0" w:after="0" w:line="240" w:lineRule="auto"/>
              <w:ind w:left="0"/>
              <w:jc w:val="center"/>
              <w:rPr>
                <w:rFonts w:eastAsia="Times New Roman" w:cs="Calibri"/>
                <w:b/>
                <w:bCs/>
                <w:color w:val="000000"/>
                <w:szCs w:val="20"/>
                <w:lang w:eastAsia="en-AU"/>
              </w:rPr>
            </w:pPr>
            <w:r w:rsidRPr="002855CE">
              <w:rPr>
                <w:rFonts w:eastAsia="Times New Roman" w:cs="Calibri"/>
                <w:b/>
                <w:bCs/>
                <w:color w:val="000000"/>
                <w:szCs w:val="20"/>
                <w:lang w:eastAsia="en-AU"/>
              </w:rPr>
              <w:t xml:space="preserve">Main reason: </w:t>
            </w:r>
          </w:p>
          <w:p w14:paraId="47077876" w14:textId="477F02F8" w:rsidR="00D12DD9" w:rsidRPr="002855CE" w:rsidRDefault="00D12DD9" w:rsidP="00A609AA">
            <w:pPr>
              <w:spacing w:before="0" w:after="0" w:line="240" w:lineRule="auto"/>
              <w:ind w:left="0"/>
              <w:jc w:val="center"/>
              <w:rPr>
                <w:rFonts w:eastAsia="Times New Roman" w:cs="Calibri"/>
                <w:b/>
                <w:bCs/>
                <w:color w:val="000000"/>
                <w:szCs w:val="20"/>
                <w:lang w:eastAsia="en-AU"/>
              </w:rPr>
            </w:pPr>
            <w:r w:rsidRPr="002855CE">
              <w:rPr>
                <w:rFonts w:eastAsia="Times New Roman" w:cs="Calibri"/>
                <w:b/>
                <w:bCs/>
                <w:color w:val="000000"/>
                <w:szCs w:val="20"/>
                <w:lang w:eastAsia="en-AU"/>
              </w:rPr>
              <w:t>Failure to attend provider appointment</w:t>
            </w:r>
          </w:p>
        </w:tc>
        <w:tc>
          <w:tcPr>
            <w:tcW w:w="999" w:type="pct"/>
            <w:gridSpan w:val="2"/>
            <w:shd w:val="clear" w:color="auto" w:fill="auto"/>
            <w:vAlign w:val="center"/>
            <w:hideMark/>
          </w:tcPr>
          <w:p w14:paraId="1D0932BD" w14:textId="77777777" w:rsidR="00D12DD9" w:rsidRPr="002855CE" w:rsidRDefault="00D12DD9" w:rsidP="00A609AA">
            <w:pPr>
              <w:spacing w:before="0" w:after="0" w:line="240" w:lineRule="auto"/>
              <w:ind w:left="0"/>
              <w:jc w:val="center"/>
              <w:rPr>
                <w:rFonts w:eastAsia="Times New Roman" w:cs="Calibri"/>
                <w:b/>
                <w:bCs/>
                <w:color w:val="000000"/>
                <w:szCs w:val="20"/>
                <w:lang w:eastAsia="en-AU"/>
              </w:rPr>
            </w:pPr>
            <w:r w:rsidRPr="002855CE">
              <w:rPr>
                <w:rFonts w:eastAsia="Times New Roman" w:cs="Calibri"/>
                <w:b/>
                <w:bCs/>
                <w:color w:val="000000"/>
                <w:szCs w:val="20"/>
                <w:lang w:eastAsia="en-AU"/>
              </w:rPr>
              <w:t xml:space="preserve">Main reason: </w:t>
            </w:r>
          </w:p>
          <w:p w14:paraId="04A53072" w14:textId="0B5A29FB" w:rsidR="00D12DD9" w:rsidRPr="002855CE" w:rsidRDefault="00D12DD9" w:rsidP="00A609AA">
            <w:pPr>
              <w:spacing w:before="0" w:after="0" w:line="240" w:lineRule="auto"/>
              <w:ind w:left="0"/>
              <w:jc w:val="center"/>
              <w:rPr>
                <w:rFonts w:eastAsia="Times New Roman" w:cs="Calibri"/>
                <w:b/>
                <w:bCs/>
                <w:color w:val="000000"/>
                <w:szCs w:val="20"/>
                <w:lang w:eastAsia="en-AU"/>
              </w:rPr>
            </w:pPr>
            <w:r w:rsidRPr="002855CE">
              <w:rPr>
                <w:rFonts w:eastAsia="Times New Roman" w:cs="Calibri"/>
                <w:b/>
                <w:bCs/>
                <w:color w:val="000000"/>
                <w:szCs w:val="20"/>
                <w:lang w:eastAsia="en-AU"/>
              </w:rPr>
              <w:t>Failure to attend activity</w:t>
            </w:r>
          </w:p>
        </w:tc>
        <w:tc>
          <w:tcPr>
            <w:tcW w:w="1042" w:type="pct"/>
            <w:gridSpan w:val="2"/>
            <w:vAlign w:val="center"/>
            <w:hideMark/>
          </w:tcPr>
          <w:p w14:paraId="50403644" w14:textId="6693B3E9"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Total for Main reasons</w:t>
            </w:r>
          </w:p>
        </w:tc>
        <w:tc>
          <w:tcPr>
            <w:tcW w:w="765" w:type="pct"/>
            <w:vAlign w:val="center"/>
            <w:hideMark/>
          </w:tcPr>
          <w:p w14:paraId="4A6EB907" w14:textId="42851F7F" w:rsidR="00D12DD9" w:rsidRPr="002855CE" w:rsidRDefault="0053560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 xml:space="preserve">Total for </w:t>
            </w:r>
            <w:r w:rsidR="00D12DD9" w:rsidRPr="002855CE">
              <w:rPr>
                <w:rFonts w:eastAsia="Times New Roman" w:cs="Calibri"/>
                <w:b/>
                <w:bCs/>
                <w:color w:val="000000"/>
                <w:lang w:eastAsia="en-AU"/>
              </w:rPr>
              <w:t>Other</w:t>
            </w:r>
          </w:p>
          <w:p w14:paraId="14BD11B8" w14:textId="77777777"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reasons</w:t>
            </w:r>
          </w:p>
        </w:tc>
        <w:tc>
          <w:tcPr>
            <w:tcW w:w="694" w:type="pct"/>
            <w:vAlign w:val="center"/>
            <w:hideMark/>
          </w:tcPr>
          <w:p w14:paraId="345D80F5" w14:textId="77777777"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Total for all reasons</w:t>
            </w:r>
          </w:p>
        </w:tc>
      </w:tr>
      <w:tr w:rsidR="00535609" w:rsidRPr="004C2412" w14:paraId="1596E42A" w14:textId="77777777" w:rsidTr="00EA773C">
        <w:trPr>
          <w:trHeight w:val="372"/>
          <w:tblHeader/>
          <w:jc w:val="center"/>
        </w:trPr>
        <w:tc>
          <w:tcPr>
            <w:tcW w:w="994" w:type="pct"/>
            <w:shd w:val="clear" w:color="auto" w:fill="auto"/>
            <w:noWrap/>
            <w:vAlign w:val="center"/>
            <w:hideMark/>
          </w:tcPr>
          <w:p w14:paraId="7B94EA5B" w14:textId="77777777"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No.</w:t>
            </w:r>
          </w:p>
        </w:tc>
        <w:tc>
          <w:tcPr>
            <w:tcW w:w="506" w:type="pct"/>
            <w:shd w:val="clear" w:color="auto" w:fill="auto"/>
            <w:noWrap/>
            <w:vAlign w:val="center"/>
            <w:hideMark/>
          </w:tcPr>
          <w:p w14:paraId="1AEF911C" w14:textId="77777777"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w:t>
            </w:r>
          </w:p>
        </w:tc>
        <w:tc>
          <w:tcPr>
            <w:tcW w:w="630" w:type="pct"/>
            <w:shd w:val="clear" w:color="auto" w:fill="auto"/>
            <w:noWrap/>
            <w:vAlign w:val="center"/>
            <w:hideMark/>
          </w:tcPr>
          <w:p w14:paraId="739EA6E0" w14:textId="77777777"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No.</w:t>
            </w:r>
          </w:p>
        </w:tc>
        <w:tc>
          <w:tcPr>
            <w:tcW w:w="369" w:type="pct"/>
            <w:shd w:val="clear" w:color="auto" w:fill="auto"/>
            <w:noWrap/>
            <w:vAlign w:val="center"/>
            <w:hideMark/>
          </w:tcPr>
          <w:p w14:paraId="2874D90F" w14:textId="77777777"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w:t>
            </w:r>
          </w:p>
        </w:tc>
        <w:tc>
          <w:tcPr>
            <w:tcW w:w="648" w:type="pct"/>
            <w:shd w:val="clear" w:color="auto" w:fill="auto"/>
            <w:noWrap/>
            <w:vAlign w:val="center"/>
            <w:hideMark/>
          </w:tcPr>
          <w:p w14:paraId="25B7EDB1" w14:textId="77777777"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No.</w:t>
            </w:r>
          </w:p>
        </w:tc>
        <w:tc>
          <w:tcPr>
            <w:tcW w:w="394" w:type="pct"/>
            <w:shd w:val="clear" w:color="auto" w:fill="auto"/>
            <w:noWrap/>
            <w:vAlign w:val="center"/>
            <w:hideMark/>
          </w:tcPr>
          <w:p w14:paraId="1C265F97" w14:textId="77777777"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w:t>
            </w:r>
          </w:p>
        </w:tc>
        <w:tc>
          <w:tcPr>
            <w:tcW w:w="765" w:type="pct"/>
            <w:shd w:val="clear" w:color="auto" w:fill="auto"/>
            <w:noWrap/>
            <w:vAlign w:val="center"/>
            <w:hideMark/>
          </w:tcPr>
          <w:p w14:paraId="072DF7DB" w14:textId="77777777"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w:t>
            </w:r>
          </w:p>
        </w:tc>
        <w:tc>
          <w:tcPr>
            <w:tcW w:w="694" w:type="pct"/>
            <w:shd w:val="clear" w:color="auto" w:fill="auto"/>
            <w:noWrap/>
            <w:vAlign w:val="center"/>
            <w:hideMark/>
          </w:tcPr>
          <w:p w14:paraId="098A316D" w14:textId="77777777" w:rsidR="00D12DD9" w:rsidRPr="002855CE" w:rsidRDefault="00D12DD9" w:rsidP="00A609AA">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No.</w:t>
            </w:r>
          </w:p>
        </w:tc>
      </w:tr>
      <w:tr w:rsidR="000F2F9C" w:rsidRPr="004C2412" w14:paraId="195B4D55" w14:textId="77777777" w:rsidTr="00EA773C">
        <w:trPr>
          <w:trHeight w:val="397"/>
          <w:jc w:val="center"/>
        </w:trPr>
        <w:tc>
          <w:tcPr>
            <w:tcW w:w="994" w:type="pct"/>
            <w:shd w:val="clear" w:color="auto" w:fill="auto"/>
            <w:noWrap/>
            <w:vAlign w:val="center"/>
          </w:tcPr>
          <w:p w14:paraId="58BBD042" w14:textId="1CE31D6F" w:rsidR="000F2F9C" w:rsidRPr="002855CE" w:rsidRDefault="000F2F9C" w:rsidP="000F2F9C">
            <w:pPr>
              <w:spacing w:before="0" w:after="0" w:line="240" w:lineRule="auto"/>
              <w:ind w:left="0"/>
              <w:jc w:val="center"/>
              <w:rPr>
                <w:rFonts w:eastAsia="Times New Roman" w:cs="Calibri"/>
                <w:color w:val="000000"/>
                <w:lang w:eastAsia="en-AU"/>
              </w:rPr>
            </w:pPr>
            <w:r w:rsidRPr="002855CE">
              <w:rPr>
                <w:rFonts w:cs="Gill Sans MT"/>
                <w:color w:val="000000"/>
              </w:rPr>
              <w:t>502,132</w:t>
            </w:r>
          </w:p>
        </w:tc>
        <w:tc>
          <w:tcPr>
            <w:tcW w:w="506" w:type="pct"/>
            <w:shd w:val="clear" w:color="auto" w:fill="auto"/>
            <w:noWrap/>
            <w:vAlign w:val="center"/>
          </w:tcPr>
          <w:p w14:paraId="38316C3D" w14:textId="1DA04476" w:rsidR="000F2F9C" w:rsidRPr="002855CE" w:rsidRDefault="000F2F9C" w:rsidP="000F2F9C">
            <w:pPr>
              <w:spacing w:before="0" w:after="0" w:line="240" w:lineRule="auto"/>
              <w:ind w:left="0"/>
              <w:jc w:val="center"/>
              <w:rPr>
                <w:rFonts w:eastAsia="Times New Roman" w:cs="Calibri"/>
                <w:color w:val="000000"/>
                <w:lang w:eastAsia="en-AU"/>
              </w:rPr>
            </w:pPr>
            <w:r w:rsidRPr="002855CE">
              <w:rPr>
                <w:rFonts w:eastAsia="Times New Roman" w:cs="Calibri"/>
                <w:color w:val="000000"/>
                <w:lang w:eastAsia="en-AU"/>
              </w:rPr>
              <w:t>76%</w:t>
            </w:r>
          </w:p>
        </w:tc>
        <w:tc>
          <w:tcPr>
            <w:tcW w:w="630" w:type="pct"/>
            <w:shd w:val="clear" w:color="auto" w:fill="auto"/>
            <w:noWrap/>
            <w:vAlign w:val="center"/>
          </w:tcPr>
          <w:p w14:paraId="5B122817" w14:textId="7911E655" w:rsidR="000F2F9C" w:rsidRPr="002855CE" w:rsidRDefault="000F2F9C" w:rsidP="000F2F9C">
            <w:pPr>
              <w:spacing w:before="0" w:after="0" w:line="240" w:lineRule="auto"/>
              <w:ind w:left="0"/>
              <w:jc w:val="center"/>
              <w:rPr>
                <w:rFonts w:eastAsia="Times New Roman" w:cs="Calibri"/>
                <w:color w:val="000000"/>
                <w:lang w:eastAsia="en-AU"/>
              </w:rPr>
            </w:pPr>
            <w:r w:rsidRPr="002855CE">
              <w:rPr>
                <w:rFonts w:cs="Gill Sans MT"/>
                <w:color w:val="000000"/>
              </w:rPr>
              <w:t>131,622</w:t>
            </w:r>
          </w:p>
        </w:tc>
        <w:tc>
          <w:tcPr>
            <w:tcW w:w="369" w:type="pct"/>
            <w:shd w:val="clear" w:color="auto" w:fill="auto"/>
            <w:noWrap/>
            <w:vAlign w:val="center"/>
          </w:tcPr>
          <w:p w14:paraId="6298E294" w14:textId="7D42E14A" w:rsidR="000F2F9C" w:rsidRPr="002855CE" w:rsidRDefault="000F2F9C" w:rsidP="000F2F9C">
            <w:pPr>
              <w:spacing w:before="0" w:after="0" w:line="240" w:lineRule="auto"/>
              <w:ind w:left="0"/>
              <w:jc w:val="center"/>
              <w:rPr>
                <w:rFonts w:eastAsia="Times New Roman" w:cs="Calibri"/>
                <w:color w:val="000000"/>
                <w:lang w:eastAsia="en-AU"/>
              </w:rPr>
            </w:pPr>
            <w:r w:rsidRPr="002855CE">
              <w:rPr>
                <w:rFonts w:eastAsia="Times New Roman" w:cs="Calibri"/>
                <w:color w:val="000000"/>
                <w:lang w:eastAsia="en-AU"/>
              </w:rPr>
              <w:t>20%</w:t>
            </w:r>
          </w:p>
        </w:tc>
        <w:tc>
          <w:tcPr>
            <w:tcW w:w="648" w:type="pct"/>
            <w:shd w:val="clear" w:color="auto" w:fill="auto"/>
            <w:noWrap/>
            <w:vAlign w:val="center"/>
          </w:tcPr>
          <w:p w14:paraId="1E393B02" w14:textId="765781A2" w:rsidR="000F2F9C" w:rsidRPr="002855CE" w:rsidRDefault="000F2F9C" w:rsidP="000F2F9C">
            <w:pPr>
              <w:spacing w:before="0" w:after="0" w:line="240" w:lineRule="auto"/>
              <w:ind w:left="0"/>
              <w:jc w:val="center"/>
              <w:rPr>
                <w:rFonts w:eastAsia="Times New Roman" w:cs="Calibri"/>
                <w:color w:val="000000"/>
                <w:lang w:eastAsia="en-AU"/>
              </w:rPr>
            </w:pPr>
            <w:r w:rsidRPr="002855CE">
              <w:rPr>
                <w:rFonts w:cs="Gill Sans MT"/>
                <w:color w:val="000000"/>
              </w:rPr>
              <w:t>633,754</w:t>
            </w:r>
          </w:p>
        </w:tc>
        <w:tc>
          <w:tcPr>
            <w:tcW w:w="394" w:type="pct"/>
            <w:shd w:val="clear" w:color="auto" w:fill="auto"/>
            <w:noWrap/>
            <w:vAlign w:val="center"/>
          </w:tcPr>
          <w:p w14:paraId="14997D24" w14:textId="445CEEF5" w:rsidR="000F2F9C" w:rsidRPr="002855CE" w:rsidRDefault="000F2F9C" w:rsidP="000F2F9C">
            <w:pPr>
              <w:spacing w:before="0" w:after="0" w:line="240" w:lineRule="auto"/>
              <w:ind w:left="0"/>
              <w:jc w:val="center"/>
              <w:rPr>
                <w:rFonts w:eastAsia="Times New Roman" w:cs="Calibri"/>
                <w:color w:val="000000"/>
                <w:lang w:eastAsia="en-AU"/>
              </w:rPr>
            </w:pPr>
            <w:r w:rsidRPr="002855CE">
              <w:rPr>
                <w:rFonts w:cs="Gill Sans MT"/>
                <w:color w:val="000000"/>
              </w:rPr>
              <w:t>96%</w:t>
            </w:r>
          </w:p>
        </w:tc>
        <w:tc>
          <w:tcPr>
            <w:tcW w:w="765" w:type="pct"/>
            <w:shd w:val="clear" w:color="auto" w:fill="auto"/>
            <w:noWrap/>
            <w:vAlign w:val="center"/>
          </w:tcPr>
          <w:p w14:paraId="5F629782" w14:textId="19BDCCAA" w:rsidR="000F2F9C" w:rsidRPr="002855CE" w:rsidRDefault="000F2F9C" w:rsidP="000F2F9C">
            <w:pPr>
              <w:spacing w:before="0" w:after="0" w:line="240" w:lineRule="auto"/>
              <w:ind w:left="0"/>
              <w:jc w:val="center"/>
              <w:rPr>
                <w:rFonts w:eastAsia="Times New Roman" w:cs="Calibri"/>
                <w:color w:val="000000"/>
                <w:lang w:eastAsia="en-AU"/>
              </w:rPr>
            </w:pPr>
            <w:r w:rsidRPr="002855CE">
              <w:rPr>
                <w:rFonts w:eastAsia="Times New Roman" w:cs="Calibri"/>
                <w:color w:val="000000"/>
                <w:lang w:eastAsia="en-AU"/>
              </w:rPr>
              <w:t>4%</w:t>
            </w:r>
          </w:p>
        </w:tc>
        <w:tc>
          <w:tcPr>
            <w:tcW w:w="694" w:type="pct"/>
            <w:shd w:val="clear" w:color="auto" w:fill="auto"/>
            <w:noWrap/>
            <w:vAlign w:val="center"/>
          </w:tcPr>
          <w:p w14:paraId="645B305D" w14:textId="1EB04747" w:rsidR="000F2F9C" w:rsidRPr="002855CE" w:rsidRDefault="000F2F9C" w:rsidP="000F2F9C">
            <w:pPr>
              <w:spacing w:before="0" w:after="0" w:line="240" w:lineRule="auto"/>
              <w:ind w:left="0"/>
              <w:jc w:val="center"/>
              <w:rPr>
                <w:rFonts w:eastAsia="Times New Roman" w:cs="Calibri"/>
                <w:color w:val="000000"/>
                <w:lang w:eastAsia="en-AU"/>
              </w:rPr>
            </w:pPr>
            <w:r w:rsidRPr="002855CE">
              <w:rPr>
                <w:rFonts w:cs="Gill Sans MT"/>
                <w:color w:val="000000"/>
              </w:rPr>
              <w:t>663,149</w:t>
            </w:r>
          </w:p>
        </w:tc>
      </w:tr>
    </w:tbl>
    <w:p w14:paraId="76EBC322" w14:textId="77777777" w:rsidR="00194B57" w:rsidRPr="004C2412" w:rsidRDefault="00194B57" w:rsidP="00194B57">
      <w:pPr>
        <w:ind w:left="0"/>
      </w:pPr>
      <w:r w:rsidRPr="004C2412">
        <w:t xml:space="preserve">This table includes a count of all Non-Attendance Reports, Provider Appointment Reports and Participation Reports. </w:t>
      </w:r>
    </w:p>
    <w:p w14:paraId="06348947" w14:textId="69123CEA" w:rsidR="00194B57" w:rsidRPr="00194B57" w:rsidRDefault="00194B57" w:rsidP="00194B57">
      <w:pPr>
        <w:pStyle w:val="Heading3"/>
        <w:numPr>
          <w:ilvl w:val="0"/>
          <w:numId w:val="0"/>
        </w:numPr>
      </w:pPr>
      <w:bookmarkStart w:id="18" w:name="_Toc526864426"/>
      <w:r>
        <w:t>6 b – Reas</w:t>
      </w:r>
      <w:r w:rsidR="00BA4C67">
        <w:t>ons for providers reporting non-</w:t>
      </w:r>
      <w:r>
        <w:t>compliance to the Department of Human Services – 1 July 2017 to 30 June 2018</w:t>
      </w:r>
      <w:bookmarkEnd w:id="18"/>
    </w:p>
    <w:tbl>
      <w:tblPr>
        <w:tblW w:w="4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1"/>
        <w:gridCol w:w="1481"/>
        <w:gridCol w:w="1844"/>
        <w:gridCol w:w="1080"/>
        <w:gridCol w:w="1897"/>
        <w:gridCol w:w="1153"/>
        <w:gridCol w:w="2240"/>
        <w:gridCol w:w="2032"/>
      </w:tblGrid>
      <w:tr w:rsidR="00194B57" w:rsidRPr="004C2412" w14:paraId="312740CF" w14:textId="77777777" w:rsidTr="00C9726D">
        <w:trPr>
          <w:trHeight w:val="359"/>
          <w:tblHeader/>
          <w:jc w:val="center"/>
        </w:trPr>
        <w:tc>
          <w:tcPr>
            <w:tcW w:w="1500" w:type="pct"/>
            <w:gridSpan w:val="2"/>
            <w:shd w:val="clear" w:color="auto" w:fill="auto"/>
            <w:vAlign w:val="center"/>
            <w:hideMark/>
          </w:tcPr>
          <w:p w14:paraId="28831CA5" w14:textId="77777777" w:rsidR="00194B57" w:rsidRPr="002855CE" w:rsidRDefault="00194B57" w:rsidP="00C9726D">
            <w:pPr>
              <w:spacing w:before="0" w:after="0" w:line="240" w:lineRule="auto"/>
              <w:ind w:left="0"/>
              <w:jc w:val="center"/>
              <w:rPr>
                <w:rFonts w:eastAsia="Times New Roman" w:cs="Calibri"/>
                <w:b/>
                <w:bCs/>
                <w:color w:val="000000"/>
                <w:szCs w:val="20"/>
                <w:lang w:eastAsia="en-AU"/>
              </w:rPr>
            </w:pPr>
            <w:r w:rsidRPr="002855CE">
              <w:rPr>
                <w:rFonts w:eastAsia="Times New Roman" w:cs="Calibri"/>
                <w:b/>
                <w:bCs/>
                <w:color w:val="000000"/>
                <w:szCs w:val="20"/>
                <w:lang w:eastAsia="en-AU"/>
              </w:rPr>
              <w:t xml:space="preserve">Main reason: </w:t>
            </w:r>
          </w:p>
          <w:p w14:paraId="48EEB417" w14:textId="77777777" w:rsidR="00194B57" w:rsidRPr="002855CE" w:rsidRDefault="00194B57" w:rsidP="00C9726D">
            <w:pPr>
              <w:spacing w:before="0" w:after="0" w:line="240" w:lineRule="auto"/>
              <w:ind w:left="0"/>
              <w:jc w:val="center"/>
              <w:rPr>
                <w:rFonts w:eastAsia="Times New Roman" w:cs="Calibri"/>
                <w:b/>
                <w:bCs/>
                <w:color w:val="000000"/>
                <w:szCs w:val="20"/>
                <w:lang w:eastAsia="en-AU"/>
              </w:rPr>
            </w:pPr>
            <w:r w:rsidRPr="002855CE">
              <w:rPr>
                <w:rFonts w:eastAsia="Times New Roman" w:cs="Calibri"/>
                <w:b/>
                <w:bCs/>
                <w:color w:val="000000"/>
                <w:szCs w:val="20"/>
                <w:lang w:eastAsia="en-AU"/>
              </w:rPr>
              <w:t>Failure to attend provider appointment</w:t>
            </w:r>
          </w:p>
        </w:tc>
        <w:tc>
          <w:tcPr>
            <w:tcW w:w="999" w:type="pct"/>
            <w:gridSpan w:val="2"/>
            <w:shd w:val="clear" w:color="auto" w:fill="auto"/>
            <w:vAlign w:val="center"/>
            <w:hideMark/>
          </w:tcPr>
          <w:p w14:paraId="087FC182" w14:textId="77777777" w:rsidR="00194B57" w:rsidRPr="002855CE" w:rsidRDefault="00194B57" w:rsidP="00C9726D">
            <w:pPr>
              <w:spacing w:before="0" w:after="0" w:line="240" w:lineRule="auto"/>
              <w:ind w:left="0"/>
              <w:jc w:val="center"/>
              <w:rPr>
                <w:rFonts w:eastAsia="Times New Roman" w:cs="Calibri"/>
                <w:b/>
                <w:bCs/>
                <w:color w:val="000000"/>
                <w:szCs w:val="20"/>
                <w:lang w:eastAsia="en-AU"/>
              </w:rPr>
            </w:pPr>
            <w:r w:rsidRPr="002855CE">
              <w:rPr>
                <w:rFonts w:eastAsia="Times New Roman" w:cs="Calibri"/>
                <w:b/>
                <w:bCs/>
                <w:color w:val="000000"/>
                <w:szCs w:val="20"/>
                <w:lang w:eastAsia="en-AU"/>
              </w:rPr>
              <w:t xml:space="preserve">Main reason: </w:t>
            </w:r>
          </w:p>
          <w:p w14:paraId="282F41F7" w14:textId="77777777" w:rsidR="00194B57" w:rsidRPr="002855CE" w:rsidRDefault="00194B57" w:rsidP="00C9726D">
            <w:pPr>
              <w:spacing w:before="0" w:after="0" w:line="240" w:lineRule="auto"/>
              <w:ind w:left="0"/>
              <w:jc w:val="center"/>
              <w:rPr>
                <w:rFonts w:eastAsia="Times New Roman" w:cs="Calibri"/>
                <w:b/>
                <w:bCs/>
                <w:color w:val="000000"/>
                <w:szCs w:val="20"/>
                <w:lang w:eastAsia="en-AU"/>
              </w:rPr>
            </w:pPr>
            <w:r w:rsidRPr="002855CE">
              <w:rPr>
                <w:rFonts w:eastAsia="Times New Roman" w:cs="Calibri"/>
                <w:b/>
                <w:bCs/>
                <w:color w:val="000000"/>
                <w:szCs w:val="20"/>
                <w:lang w:eastAsia="en-AU"/>
              </w:rPr>
              <w:t>Failure to attend activity</w:t>
            </w:r>
          </w:p>
        </w:tc>
        <w:tc>
          <w:tcPr>
            <w:tcW w:w="1042" w:type="pct"/>
            <w:gridSpan w:val="2"/>
            <w:vAlign w:val="center"/>
            <w:hideMark/>
          </w:tcPr>
          <w:p w14:paraId="38025AE0"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Total for Main reasons</w:t>
            </w:r>
          </w:p>
        </w:tc>
        <w:tc>
          <w:tcPr>
            <w:tcW w:w="765" w:type="pct"/>
            <w:vAlign w:val="center"/>
            <w:hideMark/>
          </w:tcPr>
          <w:p w14:paraId="4D651B6A"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Total for Other</w:t>
            </w:r>
          </w:p>
          <w:p w14:paraId="3AD99BC2"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reasons</w:t>
            </w:r>
          </w:p>
        </w:tc>
        <w:tc>
          <w:tcPr>
            <w:tcW w:w="694" w:type="pct"/>
            <w:vAlign w:val="center"/>
            <w:hideMark/>
          </w:tcPr>
          <w:p w14:paraId="49392AAE"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Total for all reasons</w:t>
            </w:r>
          </w:p>
        </w:tc>
      </w:tr>
      <w:tr w:rsidR="00194B57" w:rsidRPr="004C2412" w14:paraId="3588267A" w14:textId="77777777" w:rsidTr="00C9726D">
        <w:trPr>
          <w:trHeight w:val="372"/>
          <w:tblHeader/>
          <w:jc w:val="center"/>
        </w:trPr>
        <w:tc>
          <w:tcPr>
            <w:tcW w:w="994" w:type="pct"/>
            <w:shd w:val="clear" w:color="auto" w:fill="auto"/>
            <w:noWrap/>
            <w:vAlign w:val="center"/>
            <w:hideMark/>
          </w:tcPr>
          <w:p w14:paraId="49EE18BE"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No.</w:t>
            </w:r>
          </w:p>
        </w:tc>
        <w:tc>
          <w:tcPr>
            <w:tcW w:w="506" w:type="pct"/>
            <w:shd w:val="clear" w:color="auto" w:fill="auto"/>
            <w:noWrap/>
            <w:vAlign w:val="center"/>
            <w:hideMark/>
          </w:tcPr>
          <w:p w14:paraId="4E381F2B"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w:t>
            </w:r>
          </w:p>
        </w:tc>
        <w:tc>
          <w:tcPr>
            <w:tcW w:w="630" w:type="pct"/>
            <w:shd w:val="clear" w:color="auto" w:fill="auto"/>
            <w:noWrap/>
            <w:vAlign w:val="center"/>
            <w:hideMark/>
          </w:tcPr>
          <w:p w14:paraId="5A108EE9"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No.</w:t>
            </w:r>
          </w:p>
        </w:tc>
        <w:tc>
          <w:tcPr>
            <w:tcW w:w="369" w:type="pct"/>
            <w:shd w:val="clear" w:color="auto" w:fill="auto"/>
            <w:noWrap/>
            <w:vAlign w:val="center"/>
            <w:hideMark/>
          </w:tcPr>
          <w:p w14:paraId="484755C3"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w:t>
            </w:r>
          </w:p>
        </w:tc>
        <w:tc>
          <w:tcPr>
            <w:tcW w:w="648" w:type="pct"/>
            <w:shd w:val="clear" w:color="auto" w:fill="auto"/>
            <w:noWrap/>
            <w:vAlign w:val="center"/>
            <w:hideMark/>
          </w:tcPr>
          <w:p w14:paraId="73B200DD"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No.</w:t>
            </w:r>
          </w:p>
        </w:tc>
        <w:tc>
          <w:tcPr>
            <w:tcW w:w="394" w:type="pct"/>
            <w:shd w:val="clear" w:color="auto" w:fill="auto"/>
            <w:noWrap/>
            <w:vAlign w:val="center"/>
            <w:hideMark/>
          </w:tcPr>
          <w:p w14:paraId="0ED81520"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w:t>
            </w:r>
          </w:p>
        </w:tc>
        <w:tc>
          <w:tcPr>
            <w:tcW w:w="765" w:type="pct"/>
            <w:shd w:val="clear" w:color="auto" w:fill="auto"/>
            <w:noWrap/>
            <w:vAlign w:val="center"/>
            <w:hideMark/>
          </w:tcPr>
          <w:p w14:paraId="12AF2367"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w:t>
            </w:r>
          </w:p>
        </w:tc>
        <w:tc>
          <w:tcPr>
            <w:tcW w:w="694" w:type="pct"/>
            <w:shd w:val="clear" w:color="auto" w:fill="auto"/>
            <w:noWrap/>
            <w:vAlign w:val="center"/>
            <w:hideMark/>
          </w:tcPr>
          <w:p w14:paraId="63EDD16D" w14:textId="77777777" w:rsidR="00194B57" w:rsidRPr="002855CE" w:rsidRDefault="00194B57" w:rsidP="00C9726D">
            <w:pPr>
              <w:spacing w:before="0" w:after="0" w:line="240" w:lineRule="auto"/>
              <w:ind w:left="0"/>
              <w:jc w:val="center"/>
              <w:rPr>
                <w:rFonts w:eastAsia="Times New Roman" w:cs="Calibri"/>
                <w:b/>
                <w:bCs/>
                <w:color w:val="000000"/>
                <w:lang w:eastAsia="en-AU"/>
              </w:rPr>
            </w:pPr>
            <w:r w:rsidRPr="002855CE">
              <w:rPr>
                <w:rFonts w:eastAsia="Times New Roman" w:cs="Calibri"/>
                <w:b/>
                <w:bCs/>
                <w:color w:val="000000"/>
                <w:lang w:eastAsia="en-AU"/>
              </w:rPr>
              <w:t>No.</w:t>
            </w:r>
          </w:p>
        </w:tc>
      </w:tr>
      <w:tr w:rsidR="00194B57" w:rsidRPr="004C2412" w14:paraId="752044E1" w14:textId="77777777" w:rsidTr="00C9726D">
        <w:trPr>
          <w:trHeight w:val="397"/>
          <w:jc w:val="center"/>
        </w:trPr>
        <w:tc>
          <w:tcPr>
            <w:tcW w:w="994" w:type="pct"/>
            <w:shd w:val="clear" w:color="auto" w:fill="auto"/>
            <w:noWrap/>
            <w:vAlign w:val="center"/>
          </w:tcPr>
          <w:p w14:paraId="4338F508" w14:textId="43BBF9AB" w:rsidR="00194B57" w:rsidRPr="002855CE" w:rsidRDefault="00194B57" w:rsidP="00194B57">
            <w:pPr>
              <w:spacing w:before="0" w:after="0" w:line="240" w:lineRule="auto"/>
              <w:ind w:left="0"/>
              <w:jc w:val="center"/>
              <w:rPr>
                <w:rFonts w:eastAsia="Times New Roman" w:cs="Calibri"/>
                <w:color w:val="000000"/>
                <w:lang w:eastAsia="en-AU"/>
              </w:rPr>
            </w:pPr>
            <w:r w:rsidRPr="002855CE">
              <w:rPr>
                <w:rFonts w:cs="Gill Sans MT"/>
                <w:color w:val="000000"/>
              </w:rPr>
              <w:t>2,002,857</w:t>
            </w:r>
          </w:p>
        </w:tc>
        <w:tc>
          <w:tcPr>
            <w:tcW w:w="506" w:type="pct"/>
            <w:shd w:val="clear" w:color="auto" w:fill="auto"/>
            <w:noWrap/>
            <w:vAlign w:val="center"/>
          </w:tcPr>
          <w:p w14:paraId="7B1CFE28" w14:textId="1D65FF5F" w:rsidR="00194B57" w:rsidRPr="002855CE" w:rsidRDefault="00194B57" w:rsidP="00194B57">
            <w:pPr>
              <w:spacing w:before="0" w:after="0" w:line="240" w:lineRule="auto"/>
              <w:ind w:left="0"/>
              <w:jc w:val="center"/>
              <w:rPr>
                <w:rFonts w:eastAsia="Times New Roman" w:cs="Calibri"/>
                <w:color w:val="000000"/>
                <w:lang w:eastAsia="en-AU"/>
              </w:rPr>
            </w:pPr>
            <w:r w:rsidRPr="002855CE">
              <w:rPr>
                <w:rFonts w:eastAsia="Times New Roman" w:cs="Calibri"/>
                <w:color w:val="000000"/>
                <w:lang w:eastAsia="en-AU"/>
              </w:rPr>
              <w:t>75%</w:t>
            </w:r>
          </w:p>
        </w:tc>
        <w:tc>
          <w:tcPr>
            <w:tcW w:w="630" w:type="pct"/>
            <w:shd w:val="clear" w:color="auto" w:fill="auto"/>
            <w:noWrap/>
            <w:vAlign w:val="center"/>
          </w:tcPr>
          <w:p w14:paraId="224F44F6" w14:textId="6D02A8B7" w:rsidR="00194B57" w:rsidRPr="002855CE" w:rsidRDefault="00194B57" w:rsidP="00194B57">
            <w:pPr>
              <w:spacing w:before="0" w:after="0" w:line="240" w:lineRule="auto"/>
              <w:ind w:left="0"/>
              <w:jc w:val="center"/>
              <w:rPr>
                <w:rFonts w:eastAsia="Times New Roman" w:cs="Calibri"/>
                <w:color w:val="000000"/>
                <w:lang w:eastAsia="en-AU"/>
              </w:rPr>
            </w:pPr>
            <w:r w:rsidRPr="002855CE">
              <w:rPr>
                <w:rFonts w:cs="Gill Sans MT"/>
                <w:color w:val="000000"/>
              </w:rPr>
              <w:t>553,398</w:t>
            </w:r>
          </w:p>
        </w:tc>
        <w:tc>
          <w:tcPr>
            <w:tcW w:w="369" w:type="pct"/>
            <w:shd w:val="clear" w:color="auto" w:fill="auto"/>
            <w:noWrap/>
            <w:vAlign w:val="center"/>
          </w:tcPr>
          <w:p w14:paraId="561551BB" w14:textId="1A0F6015" w:rsidR="00194B57" w:rsidRPr="002855CE" w:rsidRDefault="00194B57" w:rsidP="00194B57">
            <w:pPr>
              <w:spacing w:before="0" w:after="0" w:line="240" w:lineRule="auto"/>
              <w:ind w:left="0"/>
              <w:jc w:val="center"/>
              <w:rPr>
                <w:rFonts w:eastAsia="Times New Roman" w:cs="Calibri"/>
                <w:color w:val="000000"/>
                <w:lang w:eastAsia="en-AU"/>
              </w:rPr>
            </w:pPr>
            <w:r w:rsidRPr="002855CE">
              <w:rPr>
                <w:rFonts w:eastAsia="Times New Roman" w:cs="Calibri"/>
                <w:color w:val="000000"/>
                <w:lang w:eastAsia="en-AU"/>
              </w:rPr>
              <w:t>20%</w:t>
            </w:r>
          </w:p>
        </w:tc>
        <w:tc>
          <w:tcPr>
            <w:tcW w:w="648" w:type="pct"/>
            <w:shd w:val="clear" w:color="auto" w:fill="auto"/>
            <w:noWrap/>
            <w:vAlign w:val="center"/>
          </w:tcPr>
          <w:p w14:paraId="0AED4DE6" w14:textId="5AE5B2CF" w:rsidR="00194B57" w:rsidRPr="002855CE" w:rsidRDefault="00194B57" w:rsidP="00194B57">
            <w:pPr>
              <w:spacing w:before="0" w:after="0" w:line="240" w:lineRule="auto"/>
              <w:ind w:left="0"/>
              <w:jc w:val="center"/>
              <w:rPr>
                <w:rFonts w:eastAsia="Times New Roman" w:cs="Calibri"/>
                <w:color w:val="000000"/>
                <w:lang w:eastAsia="en-AU"/>
              </w:rPr>
            </w:pPr>
            <w:r w:rsidRPr="002855CE">
              <w:rPr>
                <w:rFonts w:cs="Gill Sans MT"/>
                <w:color w:val="000000"/>
              </w:rPr>
              <w:t>2,556,255</w:t>
            </w:r>
          </w:p>
        </w:tc>
        <w:tc>
          <w:tcPr>
            <w:tcW w:w="394" w:type="pct"/>
            <w:shd w:val="clear" w:color="auto" w:fill="auto"/>
            <w:noWrap/>
            <w:vAlign w:val="center"/>
          </w:tcPr>
          <w:p w14:paraId="4CD237A9" w14:textId="39099D58" w:rsidR="00194B57" w:rsidRPr="002855CE" w:rsidRDefault="00194B57" w:rsidP="00194B57">
            <w:pPr>
              <w:spacing w:before="0" w:after="0" w:line="240" w:lineRule="auto"/>
              <w:ind w:left="0"/>
              <w:jc w:val="center"/>
              <w:rPr>
                <w:rFonts w:eastAsia="Times New Roman" w:cs="Calibri"/>
                <w:color w:val="000000"/>
                <w:lang w:eastAsia="en-AU"/>
              </w:rPr>
            </w:pPr>
            <w:r w:rsidRPr="002855CE">
              <w:rPr>
                <w:rFonts w:cs="Gill Sans MT"/>
                <w:color w:val="000000"/>
              </w:rPr>
              <w:t>95%</w:t>
            </w:r>
          </w:p>
        </w:tc>
        <w:tc>
          <w:tcPr>
            <w:tcW w:w="765" w:type="pct"/>
            <w:shd w:val="clear" w:color="auto" w:fill="auto"/>
            <w:noWrap/>
            <w:vAlign w:val="center"/>
          </w:tcPr>
          <w:p w14:paraId="37AE36B2" w14:textId="40E61342" w:rsidR="00194B57" w:rsidRPr="002855CE" w:rsidRDefault="00194B57" w:rsidP="00194B57">
            <w:pPr>
              <w:spacing w:before="0" w:after="0" w:line="240" w:lineRule="auto"/>
              <w:ind w:left="0"/>
              <w:jc w:val="center"/>
              <w:rPr>
                <w:rFonts w:eastAsia="Times New Roman" w:cs="Calibri"/>
                <w:color w:val="000000"/>
                <w:lang w:eastAsia="en-AU"/>
              </w:rPr>
            </w:pPr>
            <w:r w:rsidRPr="002855CE">
              <w:rPr>
                <w:rFonts w:eastAsia="Times New Roman" w:cs="Calibri"/>
                <w:color w:val="000000"/>
                <w:lang w:eastAsia="en-AU"/>
              </w:rPr>
              <w:t>5%</w:t>
            </w:r>
          </w:p>
        </w:tc>
        <w:tc>
          <w:tcPr>
            <w:tcW w:w="694" w:type="pct"/>
            <w:shd w:val="clear" w:color="auto" w:fill="auto"/>
            <w:noWrap/>
            <w:vAlign w:val="center"/>
          </w:tcPr>
          <w:p w14:paraId="31751E83" w14:textId="557DA018" w:rsidR="00194B57" w:rsidRPr="002855CE" w:rsidRDefault="00194B57" w:rsidP="00194B57">
            <w:pPr>
              <w:spacing w:before="0" w:after="0" w:line="240" w:lineRule="auto"/>
              <w:ind w:left="0"/>
              <w:jc w:val="center"/>
              <w:rPr>
                <w:rFonts w:eastAsia="Times New Roman" w:cs="Calibri"/>
                <w:color w:val="000000"/>
                <w:lang w:eastAsia="en-AU"/>
              </w:rPr>
            </w:pPr>
            <w:r w:rsidRPr="002855CE">
              <w:rPr>
                <w:rFonts w:cs="Gill Sans MT"/>
                <w:color w:val="000000"/>
              </w:rPr>
              <w:t>2,684,218</w:t>
            </w:r>
          </w:p>
        </w:tc>
      </w:tr>
    </w:tbl>
    <w:p w14:paraId="5EB27EC8" w14:textId="77777777" w:rsidR="00D12DD9" w:rsidRPr="004C2412" w:rsidRDefault="00D12DD9" w:rsidP="00A609AA">
      <w:pPr>
        <w:ind w:left="0"/>
      </w:pPr>
      <w:r w:rsidRPr="004C2412">
        <w:t xml:space="preserve">This table includes a count of all Non-Attendance Reports, Provider Appointment Reports and Participation Reports. </w:t>
      </w:r>
    </w:p>
    <w:p w14:paraId="36091268" w14:textId="77777777" w:rsidR="00AB1A47" w:rsidRPr="004C2412" w:rsidRDefault="00AB1A47" w:rsidP="00A609AA">
      <w:pPr>
        <w:spacing w:before="240" w:after="240" w:line="240" w:lineRule="auto"/>
        <w:ind w:left="0"/>
      </w:pPr>
      <w:r w:rsidRPr="004C2412">
        <w:br w:type="page"/>
      </w:r>
    </w:p>
    <w:p w14:paraId="511715BF" w14:textId="71C69EC1" w:rsidR="00253818" w:rsidRPr="004C2412" w:rsidRDefault="00253818" w:rsidP="00A609AA">
      <w:pPr>
        <w:pStyle w:val="Heading2"/>
        <w:numPr>
          <w:ilvl w:val="0"/>
          <w:numId w:val="0"/>
        </w:numPr>
        <w:rPr>
          <w:rFonts w:eastAsiaTheme="minorHAnsi"/>
          <w:noProof/>
        </w:rPr>
      </w:pPr>
      <w:bookmarkStart w:id="19" w:name="_Toc507589519"/>
      <w:bookmarkStart w:id="20" w:name="_Toc526864427"/>
      <w:r w:rsidRPr="004C2412">
        <w:t xml:space="preserve">7 </w:t>
      </w:r>
      <w:r w:rsidR="00BA4C67" w:rsidRPr="004C2412">
        <w:rPr>
          <w:szCs w:val="22"/>
        </w:rPr>
        <w:t xml:space="preserve">– </w:t>
      </w:r>
      <w:r w:rsidR="00BA4C67" w:rsidRPr="004C2412">
        <w:t>Department</w:t>
      </w:r>
      <w:r w:rsidRPr="004C2412">
        <w:rPr>
          <w:rFonts w:eastAsiaTheme="minorHAnsi"/>
          <w:noProof/>
        </w:rPr>
        <w:t xml:space="preserve"> of Human Services responses to Provider Appointment Reports and Participation Report</w:t>
      </w:r>
      <w:bookmarkEnd w:id="19"/>
      <w:r w:rsidRPr="004C2412">
        <w:rPr>
          <w:rFonts w:eastAsiaTheme="minorHAnsi"/>
          <w:noProof/>
        </w:rPr>
        <w:t xml:space="preserve">s </w:t>
      </w:r>
      <w:r w:rsidR="00D12DD9" w:rsidRPr="004C2412">
        <w:rPr>
          <w:rFonts w:eastAsiaTheme="minorHAnsi"/>
          <w:noProof/>
        </w:rPr>
        <w:t xml:space="preserve">- </w:t>
      </w:r>
      <w:r w:rsidRPr="004C2412">
        <w:rPr>
          <w:rFonts w:eastAsiaTheme="minorHAnsi"/>
          <w:noProof/>
        </w:rPr>
        <w:t xml:space="preserve">1 </w:t>
      </w:r>
      <w:r w:rsidR="000F2F9C">
        <w:rPr>
          <w:rFonts w:eastAsiaTheme="minorHAnsi"/>
          <w:noProof/>
        </w:rPr>
        <w:t>April</w:t>
      </w:r>
      <w:r w:rsidR="000F2F9C" w:rsidRPr="004C2412">
        <w:rPr>
          <w:rFonts w:eastAsiaTheme="minorHAnsi"/>
          <w:noProof/>
        </w:rPr>
        <w:t xml:space="preserve"> </w:t>
      </w:r>
      <w:r w:rsidRPr="004C2412">
        <w:rPr>
          <w:rFonts w:eastAsiaTheme="minorHAnsi"/>
          <w:noProof/>
        </w:rPr>
        <w:t xml:space="preserve">to </w:t>
      </w:r>
      <w:r w:rsidR="000F2F9C">
        <w:rPr>
          <w:rFonts w:eastAsiaTheme="minorHAnsi"/>
          <w:noProof/>
        </w:rPr>
        <w:t>30 June</w:t>
      </w:r>
      <w:r w:rsidR="00EA773C" w:rsidRPr="004C2412">
        <w:rPr>
          <w:rFonts w:eastAsiaTheme="minorHAnsi"/>
          <w:noProof/>
        </w:rPr>
        <w:t xml:space="preserve"> </w:t>
      </w:r>
      <w:r w:rsidRPr="004C2412">
        <w:rPr>
          <w:rFonts w:eastAsiaTheme="minorHAnsi"/>
          <w:noProof/>
        </w:rPr>
        <w:t>201</w:t>
      </w:r>
      <w:r w:rsidR="00EA773C" w:rsidRPr="004C2412">
        <w:rPr>
          <w:rFonts w:eastAsiaTheme="minorHAnsi"/>
          <w:noProof/>
        </w:rPr>
        <w:t>8</w:t>
      </w:r>
      <w:r w:rsidR="00194B57">
        <w:rPr>
          <w:rFonts w:eastAsiaTheme="minorHAnsi"/>
          <w:noProof/>
        </w:rPr>
        <w:t xml:space="preserve"> and 1 July 2017 to 30 June 2018</w:t>
      </w:r>
      <w:bookmarkEnd w:id="20"/>
    </w:p>
    <w:p w14:paraId="78C886E1" w14:textId="092F9A64" w:rsidR="00F3209B" w:rsidRPr="004C2412" w:rsidRDefault="00F3209B" w:rsidP="00A609AA">
      <w:pPr>
        <w:pStyle w:val="Heading3"/>
        <w:numPr>
          <w:ilvl w:val="0"/>
          <w:numId w:val="0"/>
        </w:numPr>
        <w:rPr>
          <w:noProof/>
        </w:rPr>
      </w:pPr>
      <w:bookmarkStart w:id="21" w:name="_Toc526864428"/>
      <w:r w:rsidRPr="004C2412">
        <w:rPr>
          <w:noProof/>
        </w:rPr>
        <w:t>7</w:t>
      </w:r>
      <w:r w:rsidR="00C95ED9" w:rsidRPr="004C2412">
        <w:rPr>
          <w:noProof/>
        </w:rPr>
        <w:t xml:space="preserve"> </w:t>
      </w:r>
      <w:r w:rsidR="00A80828" w:rsidRPr="004C2412">
        <w:rPr>
          <w:noProof/>
        </w:rPr>
        <w:t xml:space="preserve">a </w:t>
      </w:r>
      <w:r w:rsidR="00BA4C67" w:rsidRPr="004C2412">
        <w:t>–</w:t>
      </w:r>
      <w:r w:rsidR="00BA4C67" w:rsidRPr="004C2412">
        <w:rPr>
          <w:noProof/>
        </w:rPr>
        <w:t xml:space="preserve"> Department</w:t>
      </w:r>
      <w:r w:rsidR="00A80828" w:rsidRPr="004C2412">
        <w:rPr>
          <w:noProof/>
        </w:rPr>
        <w:t xml:space="preserve"> of Human Services responses to Provider Appointment Reports and Participation Reports</w:t>
      </w:r>
      <w:r w:rsidR="00A740E3" w:rsidRPr="004C2412">
        <w:rPr>
          <w:noProof/>
        </w:rPr>
        <w:t xml:space="preserve"> </w:t>
      </w:r>
      <w:r w:rsidR="00D12DD9" w:rsidRPr="004C2412">
        <w:rPr>
          <w:rFonts w:eastAsiaTheme="minorHAnsi"/>
          <w:noProof/>
        </w:rPr>
        <w:t xml:space="preserve">- 1 </w:t>
      </w:r>
      <w:r w:rsidR="000F2F9C">
        <w:rPr>
          <w:rFonts w:eastAsiaTheme="minorHAnsi"/>
          <w:noProof/>
        </w:rPr>
        <w:t>April</w:t>
      </w:r>
      <w:r w:rsidR="000F2F9C" w:rsidRPr="004C2412">
        <w:rPr>
          <w:rFonts w:eastAsiaTheme="minorHAnsi"/>
          <w:noProof/>
        </w:rPr>
        <w:t xml:space="preserve"> </w:t>
      </w:r>
      <w:r w:rsidR="00D12DD9" w:rsidRPr="004C2412">
        <w:rPr>
          <w:rFonts w:eastAsiaTheme="minorHAnsi"/>
          <w:noProof/>
        </w:rPr>
        <w:t xml:space="preserve">to </w:t>
      </w:r>
      <w:r w:rsidR="000F2F9C">
        <w:rPr>
          <w:rFonts w:eastAsiaTheme="minorHAnsi"/>
          <w:noProof/>
        </w:rPr>
        <w:t xml:space="preserve">30 June </w:t>
      </w:r>
      <w:r w:rsidR="00D12DD9" w:rsidRPr="004C2412">
        <w:rPr>
          <w:rFonts w:eastAsiaTheme="minorHAnsi"/>
          <w:noProof/>
        </w:rPr>
        <w:t>201</w:t>
      </w:r>
      <w:r w:rsidR="00EA773C" w:rsidRPr="004C2412">
        <w:rPr>
          <w:rFonts w:eastAsiaTheme="minorHAnsi"/>
          <w:noProof/>
        </w:rPr>
        <w:t>8</w:t>
      </w:r>
      <w:bookmarkEnd w:id="21"/>
    </w:p>
    <w:tbl>
      <w:tblPr>
        <w:tblStyle w:val="CenterAlignTable"/>
        <w:tblW w:w="4983" w:type="pct"/>
        <w:tblInd w:w="0" w:type="dxa"/>
        <w:tblLook w:val="06A0" w:firstRow="1" w:lastRow="0" w:firstColumn="1" w:lastColumn="0" w:noHBand="1" w:noVBand="1"/>
        <w:tblCaption w:val="Human Services responses to Participation Report: Overivew"/>
      </w:tblPr>
      <w:tblGrid>
        <w:gridCol w:w="2798"/>
        <w:gridCol w:w="2050"/>
        <w:gridCol w:w="2895"/>
        <w:gridCol w:w="2693"/>
        <w:gridCol w:w="4246"/>
      </w:tblGrid>
      <w:tr w:rsidR="00A80828" w:rsidRPr="004C2412" w14:paraId="36091293" w14:textId="77777777" w:rsidTr="00194B57">
        <w:trPr>
          <w:cnfStyle w:val="100000000000" w:firstRow="1" w:lastRow="0" w:firstColumn="0" w:lastColumn="0" w:oddVBand="0" w:evenVBand="0" w:oddHBand="0" w:evenHBand="0" w:firstRowFirstColumn="0" w:firstRowLastColumn="0" w:lastRowFirstColumn="0" w:lastRowLastColumn="0"/>
          <w:trHeight w:val="427"/>
          <w:tblHeader/>
        </w:trPr>
        <w:tc>
          <w:tcPr>
            <w:cnfStyle w:val="001000000000" w:firstRow="0" w:lastRow="0" w:firstColumn="1" w:lastColumn="0" w:oddVBand="0" w:evenVBand="0" w:oddHBand="0" w:evenHBand="0" w:firstRowFirstColumn="0" w:firstRowLastColumn="0" w:lastRowFirstColumn="0" w:lastRowLastColumn="0"/>
            <w:tcW w:w="1651" w:type="pct"/>
            <w:gridSpan w:val="2"/>
            <w:shd w:val="clear" w:color="auto" w:fill="auto"/>
            <w:vAlign w:val="center"/>
          </w:tcPr>
          <w:p w14:paraId="36091290" w14:textId="77777777" w:rsidR="00A80828" w:rsidRPr="004C2412" w:rsidRDefault="00A80828" w:rsidP="00910012">
            <w:pPr>
              <w:spacing w:before="0"/>
              <w:ind w:left="0"/>
            </w:pPr>
            <w:r w:rsidRPr="004C2412">
              <w:t>Participation Failure imposed (Applied)</w:t>
            </w:r>
          </w:p>
        </w:tc>
        <w:tc>
          <w:tcPr>
            <w:tcW w:w="1903" w:type="pct"/>
            <w:gridSpan w:val="2"/>
            <w:vAlign w:val="center"/>
          </w:tcPr>
          <w:p w14:paraId="36091291" w14:textId="77777777" w:rsidR="00A80828" w:rsidRPr="004C2412" w:rsidRDefault="00A80828"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Participation Failure not imposed (Rejected)</w:t>
            </w:r>
          </w:p>
        </w:tc>
        <w:tc>
          <w:tcPr>
            <w:tcW w:w="1446" w:type="pct"/>
            <w:vAlign w:val="center"/>
          </w:tcPr>
          <w:p w14:paraId="36091292" w14:textId="77777777" w:rsidR="00A80828" w:rsidRPr="004C2412" w:rsidRDefault="00A80828"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reports</w:t>
            </w:r>
          </w:p>
        </w:tc>
      </w:tr>
      <w:tr w:rsidR="00A80828" w:rsidRPr="004C2412" w14:paraId="3609129A" w14:textId="77777777" w:rsidTr="00910012">
        <w:trPr>
          <w:cnfStyle w:val="100000000000" w:firstRow="1" w:lastRow="0" w:firstColumn="0" w:lastColumn="0" w:oddVBand="0" w:evenVBand="0" w:oddHBand="0" w:evenHBand="0" w:firstRowFirstColumn="0" w:firstRowLastColumn="0" w:lastRowFirstColumn="0" w:lastRowLastColumn="0"/>
          <w:trHeight w:val="397"/>
          <w:tblHeader/>
        </w:trPr>
        <w:tc>
          <w:tcPr>
            <w:cnfStyle w:val="001000000000" w:firstRow="0" w:lastRow="0" w:firstColumn="1" w:lastColumn="0" w:oddVBand="0" w:evenVBand="0" w:oddHBand="0" w:evenHBand="0" w:firstRowFirstColumn="0" w:firstRowLastColumn="0" w:lastRowFirstColumn="0" w:lastRowLastColumn="0"/>
            <w:tcW w:w="953" w:type="pct"/>
            <w:vAlign w:val="center"/>
          </w:tcPr>
          <w:p w14:paraId="36091295" w14:textId="77777777" w:rsidR="00A80828" w:rsidRPr="004C2412" w:rsidRDefault="00A80828" w:rsidP="00910012">
            <w:pPr>
              <w:spacing w:before="0"/>
              <w:ind w:left="0"/>
            </w:pPr>
            <w:r w:rsidRPr="004C2412">
              <w:t>No.</w:t>
            </w:r>
          </w:p>
        </w:tc>
        <w:tc>
          <w:tcPr>
            <w:tcW w:w="698" w:type="pct"/>
            <w:vAlign w:val="center"/>
          </w:tcPr>
          <w:p w14:paraId="36091296" w14:textId="77777777" w:rsidR="00A80828" w:rsidRPr="004C2412" w:rsidRDefault="00A80828"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986" w:type="pct"/>
            <w:vAlign w:val="center"/>
          </w:tcPr>
          <w:p w14:paraId="36091297" w14:textId="77777777" w:rsidR="00A80828" w:rsidRPr="004C2412" w:rsidRDefault="00A80828"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917" w:type="pct"/>
            <w:vAlign w:val="center"/>
          </w:tcPr>
          <w:p w14:paraId="36091298" w14:textId="77777777" w:rsidR="00A80828" w:rsidRPr="004C2412" w:rsidRDefault="00A80828"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446" w:type="pct"/>
            <w:vAlign w:val="center"/>
          </w:tcPr>
          <w:p w14:paraId="36091299" w14:textId="77777777" w:rsidR="00A80828" w:rsidRPr="004C2412" w:rsidRDefault="00A80828"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0F2F9C" w:rsidRPr="004C2412" w14:paraId="360912A1" w14:textId="77777777" w:rsidTr="00910012">
        <w:trPr>
          <w:trHeight w:val="397"/>
        </w:trPr>
        <w:tc>
          <w:tcPr>
            <w:cnfStyle w:val="001000000000" w:firstRow="0" w:lastRow="0" w:firstColumn="1" w:lastColumn="0" w:oddVBand="0" w:evenVBand="0" w:oddHBand="0" w:evenHBand="0" w:firstRowFirstColumn="0" w:firstRowLastColumn="0" w:lastRowFirstColumn="0" w:lastRowLastColumn="0"/>
            <w:tcW w:w="953" w:type="pct"/>
            <w:vAlign w:val="center"/>
          </w:tcPr>
          <w:p w14:paraId="3609129C" w14:textId="4B794930" w:rsidR="000F2F9C" w:rsidRPr="000F2F9C" w:rsidRDefault="000F2F9C" w:rsidP="000F2F9C">
            <w:pPr>
              <w:autoSpaceDE w:val="0"/>
              <w:autoSpaceDN w:val="0"/>
              <w:adjustRightInd w:val="0"/>
              <w:spacing w:before="0"/>
              <w:ind w:left="0"/>
              <w:rPr>
                <w:rFonts w:cs="Gill Sans MT"/>
                <w:b w:val="0"/>
                <w:color w:val="000000"/>
              </w:rPr>
            </w:pPr>
            <w:r w:rsidRPr="000F2F9C">
              <w:rPr>
                <w:rFonts w:cs="Gill Sans MT"/>
                <w:b w:val="0"/>
                <w:color w:val="000000"/>
              </w:rPr>
              <w:t>99,970</w:t>
            </w:r>
          </w:p>
        </w:tc>
        <w:tc>
          <w:tcPr>
            <w:tcW w:w="698" w:type="pct"/>
            <w:vAlign w:val="center"/>
          </w:tcPr>
          <w:p w14:paraId="3609129D" w14:textId="199BB802" w:rsidR="000F2F9C" w:rsidRPr="000F2F9C" w:rsidRDefault="000F2F9C" w:rsidP="000F2F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F2F9C">
              <w:rPr>
                <w:rFonts w:cs="Gill Sans MT"/>
                <w:color w:val="000000"/>
              </w:rPr>
              <w:t>55%</w:t>
            </w:r>
          </w:p>
        </w:tc>
        <w:tc>
          <w:tcPr>
            <w:tcW w:w="986" w:type="pct"/>
            <w:vAlign w:val="center"/>
          </w:tcPr>
          <w:p w14:paraId="3609129E" w14:textId="4E222F91" w:rsidR="000F2F9C" w:rsidRPr="000F2F9C" w:rsidRDefault="000F2F9C" w:rsidP="000F2F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F2F9C">
              <w:rPr>
                <w:rFonts w:cs="Gill Sans MT"/>
                <w:color w:val="000000"/>
              </w:rPr>
              <w:t>80,178</w:t>
            </w:r>
          </w:p>
        </w:tc>
        <w:tc>
          <w:tcPr>
            <w:tcW w:w="917" w:type="pct"/>
            <w:vAlign w:val="center"/>
          </w:tcPr>
          <w:p w14:paraId="3609129F" w14:textId="497E5BCF" w:rsidR="000F2F9C" w:rsidRPr="000F2F9C" w:rsidRDefault="000F2F9C" w:rsidP="000F2F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F2F9C">
              <w:rPr>
                <w:rFonts w:cs="Gill Sans MT"/>
                <w:color w:val="000000"/>
              </w:rPr>
              <w:t>45%</w:t>
            </w:r>
          </w:p>
        </w:tc>
        <w:tc>
          <w:tcPr>
            <w:tcW w:w="1446" w:type="pct"/>
            <w:vAlign w:val="center"/>
          </w:tcPr>
          <w:p w14:paraId="360912A0" w14:textId="0B5074DA" w:rsidR="000F2F9C" w:rsidRPr="000F2F9C" w:rsidRDefault="000F2F9C" w:rsidP="000F2F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F2F9C">
              <w:rPr>
                <w:rFonts w:cs="Gill Sans MT"/>
                <w:color w:val="000000"/>
              </w:rPr>
              <w:t>180,148</w:t>
            </w:r>
          </w:p>
        </w:tc>
      </w:tr>
    </w:tbl>
    <w:p w14:paraId="6B95C629" w14:textId="77777777" w:rsidR="00BA4C67" w:rsidRPr="004C2412" w:rsidRDefault="00BA4C67" w:rsidP="00BA4C67">
      <w:pPr>
        <w:ind w:left="0"/>
      </w:pPr>
      <w:r w:rsidRPr="004C2412">
        <w:t xml:space="preserve">Participation Reports and Provider Appointment Reports </w:t>
      </w:r>
      <w:proofErr w:type="gramStart"/>
      <w:r w:rsidRPr="004C2412">
        <w:t>are rejected</w:t>
      </w:r>
      <w:proofErr w:type="gramEnd"/>
      <w:r w:rsidRPr="004C2412">
        <w:t xml:space="preserve"> if the Department of Human Services determines that the job seeker gave prior notice of a reasonable excuse for their failure to attend an appointment or had a reasonable excuse but was unable to give prior notice. </w:t>
      </w:r>
      <w:proofErr w:type="gramStart"/>
      <w:r w:rsidRPr="004C2412">
        <w:t>Although Non</w:t>
      </w:r>
      <w:r w:rsidRPr="004C2412">
        <w:noBreakHyphen/>
        <w:t>Attendance Reports are also used to report non-compliance and can be found to be invalid (for example, the job seeker was not on payment at the time of their non-attendance), the Department of Human Services is not required to determine whether or not the job seeker had a reasonable excuse for their non-attendance because no participation failure can be applied.</w:t>
      </w:r>
      <w:proofErr w:type="gramEnd"/>
      <w:r w:rsidRPr="004C2412">
        <w:t xml:space="preserve"> For this reason, Non</w:t>
      </w:r>
      <w:r w:rsidRPr="004C2412">
        <w:noBreakHyphen/>
        <w:t xml:space="preserve">Attendance Reports, which </w:t>
      </w:r>
      <w:proofErr w:type="gramStart"/>
      <w:r w:rsidRPr="004C2412">
        <w:t>are used</w:t>
      </w:r>
      <w:proofErr w:type="gramEnd"/>
      <w:r w:rsidRPr="004C2412">
        <w:t xml:space="preserve"> to report non-attendance at provider appointments, are not included in this table because they do not result in a Participation Failure under the compliance framework and simply delay a job seeker’s income support payment rather than resulting in a penalty.</w:t>
      </w:r>
    </w:p>
    <w:p w14:paraId="6BDFFCD7" w14:textId="7D63B7F2" w:rsidR="00BA4C67" w:rsidRPr="004C2412" w:rsidRDefault="00BA4C67" w:rsidP="00BA4C67">
      <w:pPr>
        <w:ind w:left="0"/>
      </w:pPr>
      <w:proofErr w:type="gramStart"/>
      <w:r w:rsidRPr="004C2412">
        <w:t>Figures for “Participation Failure imposed” may differ from figures for “No. of Participation Failures” in Tables 9 and 10</w:t>
      </w:r>
      <w:r w:rsidR="00DE0793">
        <w:t>a</w:t>
      </w:r>
      <w:r w:rsidRPr="004C2412">
        <w:t xml:space="preserve"> because the above table only includes failures that are reported via a Provider Appointment Report or Participation Report from a provider; that is, Non-Attendance Failures, Connection, Reconnection, No Show No Pay, and Serious Failures for refusing to accept or commence in a suitable job.</w:t>
      </w:r>
      <w:proofErr w:type="gramEnd"/>
      <w:r w:rsidRPr="004C2412">
        <w:t xml:space="preserve"> Provider Appointment Reports and Participation Reports are not directly submitted for Serious Failures due to persistent non-</w:t>
      </w:r>
      <w:proofErr w:type="gramStart"/>
      <w:r w:rsidRPr="004C2412">
        <w:t>compliance</w:t>
      </w:r>
      <w:proofErr w:type="gramEnd"/>
      <w:r w:rsidRPr="004C2412">
        <w:t xml:space="preserve"> as these are determined following a Comprehensive Compliance Assessment. Unemployment Non Payment Periods (UNPPs) </w:t>
      </w:r>
      <w:proofErr w:type="gramStart"/>
      <w:r w:rsidRPr="004C2412">
        <w:t>are also excluded</w:t>
      </w:r>
      <w:proofErr w:type="gramEnd"/>
      <w:r w:rsidRPr="004C2412">
        <w:t xml:space="preserve"> from the table as the majority of UNPPs are initiated by the Department of Human Services prior to the job seeker commencing in employment services. Tables 9 and 10a include Serious Failures for persistent non-compliance.</w:t>
      </w:r>
    </w:p>
    <w:p w14:paraId="23A3B6BF" w14:textId="7D016ED2" w:rsidR="00194B57" w:rsidRPr="004C2412" w:rsidRDefault="00194B57" w:rsidP="00194B57">
      <w:pPr>
        <w:pStyle w:val="Heading3"/>
        <w:numPr>
          <w:ilvl w:val="0"/>
          <w:numId w:val="0"/>
        </w:numPr>
        <w:rPr>
          <w:noProof/>
        </w:rPr>
      </w:pPr>
      <w:bookmarkStart w:id="22" w:name="_Toc526864429"/>
      <w:r w:rsidRPr="004C2412">
        <w:rPr>
          <w:noProof/>
        </w:rPr>
        <w:t xml:space="preserve">7 </w:t>
      </w:r>
      <w:r>
        <w:rPr>
          <w:noProof/>
        </w:rPr>
        <w:t>b</w:t>
      </w:r>
      <w:r w:rsidRPr="004C2412">
        <w:rPr>
          <w:noProof/>
        </w:rPr>
        <w:t xml:space="preserve"> </w:t>
      </w:r>
      <w:r w:rsidR="00BA4C67" w:rsidRPr="004C2412">
        <w:t>–</w:t>
      </w:r>
      <w:r w:rsidR="00BA4C67" w:rsidRPr="004C2412">
        <w:rPr>
          <w:noProof/>
        </w:rPr>
        <w:t xml:space="preserve"> Department</w:t>
      </w:r>
      <w:r w:rsidRPr="004C2412">
        <w:rPr>
          <w:noProof/>
        </w:rPr>
        <w:t xml:space="preserve"> of Human Services responses to Provider Appointment Reports and Participation Reports </w:t>
      </w:r>
      <w:r w:rsidRPr="004C2412">
        <w:rPr>
          <w:rFonts w:eastAsiaTheme="minorHAnsi"/>
          <w:noProof/>
        </w:rPr>
        <w:t xml:space="preserve">- 1 </w:t>
      </w:r>
      <w:r>
        <w:rPr>
          <w:rFonts w:eastAsiaTheme="minorHAnsi"/>
          <w:noProof/>
        </w:rPr>
        <w:t>July 2017</w:t>
      </w:r>
      <w:r w:rsidRPr="004C2412">
        <w:rPr>
          <w:rFonts w:eastAsiaTheme="minorHAnsi"/>
          <w:noProof/>
        </w:rPr>
        <w:t xml:space="preserve"> to </w:t>
      </w:r>
      <w:r>
        <w:rPr>
          <w:rFonts w:eastAsiaTheme="minorHAnsi"/>
          <w:noProof/>
        </w:rPr>
        <w:t xml:space="preserve">30 June </w:t>
      </w:r>
      <w:r w:rsidRPr="004C2412">
        <w:rPr>
          <w:rFonts w:eastAsiaTheme="minorHAnsi"/>
          <w:noProof/>
        </w:rPr>
        <w:t>2018</w:t>
      </w:r>
      <w:bookmarkEnd w:id="22"/>
    </w:p>
    <w:tbl>
      <w:tblPr>
        <w:tblStyle w:val="CenterAlignTable"/>
        <w:tblW w:w="4983" w:type="pct"/>
        <w:tblInd w:w="0" w:type="dxa"/>
        <w:tblLook w:val="06A0" w:firstRow="1" w:lastRow="0" w:firstColumn="1" w:lastColumn="0" w:noHBand="1" w:noVBand="1"/>
        <w:tblCaption w:val="Human Services responses to Participation Report: Overivew"/>
      </w:tblPr>
      <w:tblGrid>
        <w:gridCol w:w="2798"/>
        <w:gridCol w:w="2050"/>
        <w:gridCol w:w="2895"/>
        <w:gridCol w:w="2693"/>
        <w:gridCol w:w="4246"/>
      </w:tblGrid>
      <w:tr w:rsidR="00194B57" w:rsidRPr="004C2412" w14:paraId="46207AD4" w14:textId="77777777" w:rsidTr="00BA4C67">
        <w:trPr>
          <w:cnfStyle w:val="100000000000" w:firstRow="1" w:lastRow="0" w:firstColumn="0" w:lastColumn="0" w:oddVBand="0" w:evenVBand="0" w:oddHBand="0" w:evenHBand="0" w:firstRowFirstColumn="0" w:firstRowLastColumn="0" w:lastRowFirstColumn="0" w:lastRowLastColumn="0"/>
          <w:trHeight w:val="427"/>
          <w:tblHeader/>
        </w:trPr>
        <w:tc>
          <w:tcPr>
            <w:cnfStyle w:val="001000000000" w:firstRow="0" w:lastRow="0" w:firstColumn="1" w:lastColumn="0" w:oddVBand="0" w:evenVBand="0" w:oddHBand="0" w:evenHBand="0" w:firstRowFirstColumn="0" w:firstRowLastColumn="0" w:lastRowFirstColumn="0" w:lastRowLastColumn="0"/>
            <w:tcW w:w="1651" w:type="pct"/>
            <w:gridSpan w:val="2"/>
            <w:shd w:val="clear" w:color="auto" w:fill="auto"/>
            <w:vAlign w:val="center"/>
          </w:tcPr>
          <w:p w14:paraId="5AA68996" w14:textId="77777777" w:rsidR="00194B57" w:rsidRPr="004C2412" w:rsidRDefault="00194B57" w:rsidP="00C9726D">
            <w:pPr>
              <w:spacing w:before="0"/>
              <w:ind w:left="0"/>
            </w:pPr>
            <w:r w:rsidRPr="004C2412">
              <w:t>Participation Failure imposed (Applied)</w:t>
            </w:r>
          </w:p>
        </w:tc>
        <w:tc>
          <w:tcPr>
            <w:tcW w:w="1903" w:type="pct"/>
            <w:gridSpan w:val="2"/>
            <w:vAlign w:val="center"/>
          </w:tcPr>
          <w:p w14:paraId="41F93548"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Participation Failure not imposed (Rejected)</w:t>
            </w:r>
          </w:p>
        </w:tc>
        <w:tc>
          <w:tcPr>
            <w:tcW w:w="1446" w:type="pct"/>
            <w:vAlign w:val="center"/>
          </w:tcPr>
          <w:p w14:paraId="107DD351"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Total reports</w:t>
            </w:r>
          </w:p>
        </w:tc>
      </w:tr>
      <w:tr w:rsidR="00194B57" w:rsidRPr="004C2412" w14:paraId="31FB3D79" w14:textId="77777777" w:rsidTr="00C9726D">
        <w:trPr>
          <w:cnfStyle w:val="100000000000" w:firstRow="1" w:lastRow="0" w:firstColumn="0" w:lastColumn="0" w:oddVBand="0" w:evenVBand="0" w:oddHBand="0" w:evenHBand="0" w:firstRowFirstColumn="0" w:firstRowLastColumn="0" w:lastRowFirstColumn="0" w:lastRowLastColumn="0"/>
          <w:trHeight w:val="397"/>
          <w:tblHeader/>
        </w:trPr>
        <w:tc>
          <w:tcPr>
            <w:cnfStyle w:val="001000000000" w:firstRow="0" w:lastRow="0" w:firstColumn="1" w:lastColumn="0" w:oddVBand="0" w:evenVBand="0" w:oddHBand="0" w:evenHBand="0" w:firstRowFirstColumn="0" w:firstRowLastColumn="0" w:lastRowFirstColumn="0" w:lastRowLastColumn="0"/>
            <w:tcW w:w="953" w:type="pct"/>
            <w:vAlign w:val="center"/>
          </w:tcPr>
          <w:p w14:paraId="6714FDE4" w14:textId="77777777" w:rsidR="00194B57" w:rsidRPr="004C2412" w:rsidRDefault="00194B57" w:rsidP="00C9726D">
            <w:pPr>
              <w:spacing w:before="0"/>
              <w:ind w:left="0"/>
            </w:pPr>
            <w:r w:rsidRPr="004C2412">
              <w:t>No.</w:t>
            </w:r>
          </w:p>
        </w:tc>
        <w:tc>
          <w:tcPr>
            <w:tcW w:w="698" w:type="pct"/>
            <w:vAlign w:val="center"/>
          </w:tcPr>
          <w:p w14:paraId="2B5CFCBB"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986" w:type="pct"/>
            <w:vAlign w:val="center"/>
          </w:tcPr>
          <w:p w14:paraId="295850CD"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917" w:type="pct"/>
            <w:vAlign w:val="center"/>
          </w:tcPr>
          <w:p w14:paraId="3C208B29"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446" w:type="pct"/>
            <w:vAlign w:val="center"/>
          </w:tcPr>
          <w:p w14:paraId="478770B2"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194B57" w:rsidRPr="004C2412" w14:paraId="7D32F934" w14:textId="77777777" w:rsidTr="00C9726D">
        <w:trPr>
          <w:trHeight w:val="397"/>
        </w:trPr>
        <w:tc>
          <w:tcPr>
            <w:cnfStyle w:val="001000000000" w:firstRow="0" w:lastRow="0" w:firstColumn="1" w:lastColumn="0" w:oddVBand="0" w:evenVBand="0" w:oddHBand="0" w:evenHBand="0" w:firstRowFirstColumn="0" w:firstRowLastColumn="0" w:lastRowFirstColumn="0" w:lastRowLastColumn="0"/>
            <w:tcW w:w="953" w:type="pct"/>
            <w:vAlign w:val="center"/>
          </w:tcPr>
          <w:p w14:paraId="0E721883" w14:textId="1AA08CCE" w:rsidR="00194B57" w:rsidRPr="00194B57" w:rsidRDefault="00194B57" w:rsidP="00194B57">
            <w:pPr>
              <w:autoSpaceDE w:val="0"/>
              <w:autoSpaceDN w:val="0"/>
              <w:adjustRightInd w:val="0"/>
              <w:spacing w:before="0"/>
              <w:ind w:left="0"/>
              <w:rPr>
                <w:rFonts w:cs="Gill Sans MT"/>
                <w:b w:val="0"/>
                <w:color w:val="000000"/>
              </w:rPr>
            </w:pPr>
            <w:r w:rsidRPr="00194B57">
              <w:rPr>
                <w:rFonts w:cs="Gill Sans MT"/>
                <w:b w:val="0"/>
                <w:color w:val="000000"/>
              </w:rPr>
              <w:t>416,273</w:t>
            </w:r>
          </w:p>
        </w:tc>
        <w:tc>
          <w:tcPr>
            <w:tcW w:w="698" w:type="pct"/>
            <w:vAlign w:val="center"/>
          </w:tcPr>
          <w:p w14:paraId="4A230CFE" w14:textId="1C467954" w:rsidR="00194B57" w:rsidRPr="000F2F9C" w:rsidRDefault="00194B57" w:rsidP="00194B5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DF57E9">
              <w:rPr>
                <w:rFonts w:cs="Gill Sans MT"/>
                <w:color w:val="000000"/>
              </w:rPr>
              <w:t>54%</w:t>
            </w:r>
          </w:p>
        </w:tc>
        <w:tc>
          <w:tcPr>
            <w:tcW w:w="986" w:type="pct"/>
            <w:vAlign w:val="center"/>
          </w:tcPr>
          <w:p w14:paraId="3DB636FA" w14:textId="56A951B9" w:rsidR="00194B57" w:rsidRPr="000F2F9C" w:rsidRDefault="00194B57" w:rsidP="00194B5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DF57E9">
              <w:rPr>
                <w:rFonts w:cs="Gill Sans MT"/>
                <w:color w:val="000000"/>
              </w:rPr>
              <w:t>347,647</w:t>
            </w:r>
          </w:p>
        </w:tc>
        <w:tc>
          <w:tcPr>
            <w:tcW w:w="917" w:type="pct"/>
            <w:vAlign w:val="center"/>
          </w:tcPr>
          <w:p w14:paraId="1267F255" w14:textId="38B1079D" w:rsidR="00194B57" w:rsidRPr="000F2F9C" w:rsidRDefault="00194B57" w:rsidP="00194B5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DF57E9">
              <w:rPr>
                <w:rFonts w:cs="Gill Sans MT"/>
                <w:color w:val="000000"/>
              </w:rPr>
              <w:t>46%</w:t>
            </w:r>
          </w:p>
        </w:tc>
        <w:tc>
          <w:tcPr>
            <w:tcW w:w="1446" w:type="pct"/>
            <w:vAlign w:val="center"/>
          </w:tcPr>
          <w:p w14:paraId="38C874BB" w14:textId="7A7DF0F7" w:rsidR="00194B57" w:rsidRPr="000F2F9C" w:rsidRDefault="00194B57" w:rsidP="00194B5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DF57E9">
              <w:rPr>
                <w:rFonts w:cs="Gill Sans MT"/>
                <w:color w:val="000000"/>
              </w:rPr>
              <w:t>763,920</w:t>
            </w:r>
          </w:p>
        </w:tc>
      </w:tr>
    </w:tbl>
    <w:p w14:paraId="360912A2" w14:textId="1044A242" w:rsidR="00B84812" w:rsidRPr="004C2412" w:rsidRDefault="00B84812" w:rsidP="00A609AA">
      <w:pPr>
        <w:ind w:left="0"/>
      </w:pPr>
      <w:r w:rsidRPr="004C2412">
        <w:t xml:space="preserve">Participation Reports and Provider Appointment Reports </w:t>
      </w:r>
      <w:proofErr w:type="gramStart"/>
      <w:r w:rsidRPr="004C2412">
        <w:t>are rejected</w:t>
      </w:r>
      <w:proofErr w:type="gramEnd"/>
      <w:r w:rsidRPr="004C2412">
        <w:t xml:space="preserve"> if the Department of Human Services determines that the job seeker gave prior notice of a reasonable excuse for their failure to attend an appointment or had a reasonable excuse but was unable to give prior notice. </w:t>
      </w:r>
      <w:proofErr w:type="gramStart"/>
      <w:r w:rsidRPr="004C2412">
        <w:t>Although Non</w:t>
      </w:r>
      <w:r w:rsidRPr="004C2412">
        <w:noBreakHyphen/>
        <w:t>Attendance Reports are also used to report non-compliance and can be found to be invalid (for example, the job seeker was not on payment at the time of their non-attendance), the Department of Human Services is not required to determine whether or not the job seeker had a reasonable excuse for their non-attendance because no participation failure can be applied.</w:t>
      </w:r>
      <w:proofErr w:type="gramEnd"/>
      <w:r w:rsidRPr="004C2412">
        <w:t xml:space="preserve"> For this reason, Non</w:t>
      </w:r>
      <w:r w:rsidRPr="004C2412">
        <w:noBreakHyphen/>
        <w:t xml:space="preserve">Attendance Reports, which </w:t>
      </w:r>
      <w:proofErr w:type="gramStart"/>
      <w:r w:rsidRPr="004C2412">
        <w:t>are used</w:t>
      </w:r>
      <w:proofErr w:type="gramEnd"/>
      <w:r w:rsidRPr="004C2412">
        <w:t xml:space="preserve"> to report non-attendance at provider appointments, are not included in this table because they do not result in a Participation Failure under the compliance framework and simply delay a job seeker’s income support payment rather than resulting in a penalty.</w:t>
      </w:r>
    </w:p>
    <w:p w14:paraId="360912A3" w14:textId="6E6CDBDB" w:rsidR="00B84812" w:rsidRPr="004C2412" w:rsidRDefault="00B84812" w:rsidP="00A609AA">
      <w:pPr>
        <w:ind w:left="0"/>
      </w:pPr>
      <w:proofErr w:type="gramStart"/>
      <w:r w:rsidRPr="004C2412">
        <w:t>Figures for “Participation Failure imposed” may differ from figures for “No. of Participation Failures” in Table</w:t>
      </w:r>
      <w:r w:rsidR="00A9033B" w:rsidRPr="004C2412">
        <w:t>s</w:t>
      </w:r>
      <w:r w:rsidRPr="004C2412">
        <w:t xml:space="preserve"> 9</w:t>
      </w:r>
      <w:r w:rsidR="00DE0793">
        <w:t xml:space="preserve"> and 10b</w:t>
      </w:r>
      <w:r w:rsidRPr="004C2412">
        <w:t xml:space="preserve"> because the above table only includes failures that are reported via a Provider Appointment Report or Participation Report from a provider; that is, Non-Attendance Failures, Connection, Reconnection, No Show No Pay, and Serious Failures for refusing to accept or commence in a suitable job.</w:t>
      </w:r>
      <w:proofErr w:type="gramEnd"/>
      <w:r w:rsidRPr="004C2412">
        <w:t xml:space="preserve"> Provider Appointment Reports and Participation Reports are not directly submitted for Serious Failures due to persistent non-</w:t>
      </w:r>
      <w:proofErr w:type="gramStart"/>
      <w:r w:rsidRPr="004C2412">
        <w:t>compliance</w:t>
      </w:r>
      <w:proofErr w:type="gramEnd"/>
      <w:r w:rsidRPr="004C2412">
        <w:t xml:space="preserve"> as these are determined following a Comprehensive Compliance Assessment. Unemployment Non Payment Periods (UNPPs) </w:t>
      </w:r>
      <w:proofErr w:type="gramStart"/>
      <w:r w:rsidRPr="004C2412">
        <w:t>are also excluded</w:t>
      </w:r>
      <w:proofErr w:type="gramEnd"/>
      <w:r w:rsidRPr="004C2412">
        <w:t xml:space="preserve"> from the table as the majority of UNPPs are initiated by the Department of Human Services prior to the job seeker commencing in employment services. </w:t>
      </w:r>
      <w:r w:rsidR="00A9033B" w:rsidRPr="004C2412">
        <w:t>Tables 9 and 10</w:t>
      </w:r>
      <w:r w:rsidR="00DE0793">
        <w:t>b</w:t>
      </w:r>
      <w:r w:rsidR="00A9033B" w:rsidRPr="004C2412">
        <w:t xml:space="preserve"> include</w:t>
      </w:r>
      <w:r w:rsidRPr="004C2412">
        <w:t xml:space="preserve"> Serious Failures f</w:t>
      </w:r>
      <w:r w:rsidR="00A9033B" w:rsidRPr="004C2412">
        <w:t>or persistent non-compliance</w:t>
      </w:r>
      <w:r w:rsidR="004B43E9" w:rsidRPr="004C2412">
        <w:t>.</w:t>
      </w:r>
    </w:p>
    <w:p w14:paraId="390AB814" w14:textId="6BA76697" w:rsidR="00194B57" w:rsidRPr="00194B57" w:rsidRDefault="00F41E83" w:rsidP="00194B57">
      <w:pPr>
        <w:pStyle w:val="Heading3"/>
        <w:numPr>
          <w:ilvl w:val="0"/>
          <w:numId w:val="0"/>
        </w:numPr>
        <w:rPr>
          <w:rFonts w:eastAsiaTheme="minorHAnsi"/>
          <w:noProof/>
        </w:rPr>
      </w:pPr>
      <w:r w:rsidRPr="004C2412">
        <w:br w:type="page"/>
      </w:r>
      <w:bookmarkStart w:id="23" w:name="_Toc526864430"/>
      <w:r w:rsidR="00A80828" w:rsidRPr="004C2412">
        <w:t>7</w:t>
      </w:r>
      <w:r w:rsidR="00C95ED9" w:rsidRPr="004C2412">
        <w:t xml:space="preserve"> </w:t>
      </w:r>
      <w:r w:rsidR="00194B57">
        <w:t>c</w:t>
      </w:r>
      <w:r w:rsidR="00A80828" w:rsidRPr="004C2412">
        <w:t xml:space="preserve"> </w:t>
      </w:r>
      <w:r w:rsidR="00C95ED9" w:rsidRPr="004C2412">
        <w:t>–</w:t>
      </w:r>
      <w:r w:rsidR="00A80828" w:rsidRPr="004C2412">
        <w:t xml:space="preserve"> P</w:t>
      </w:r>
      <w:r w:rsidR="005851E9" w:rsidRPr="004C2412">
        <w:t xml:space="preserve">articipation </w:t>
      </w:r>
      <w:r w:rsidR="0032395B" w:rsidRPr="004C2412">
        <w:t xml:space="preserve">Failures applied </w:t>
      </w:r>
      <w:r w:rsidR="00127D89" w:rsidRPr="004C2412">
        <w:t xml:space="preserve">by </w:t>
      </w:r>
      <w:r w:rsidR="005D34B6" w:rsidRPr="004C2412">
        <w:t>the Department of Human Services</w:t>
      </w:r>
      <w:r w:rsidR="00127D89" w:rsidRPr="004C2412">
        <w:t xml:space="preserve"> </w:t>
      </w:r>
      <w:r w:rsidR="0032395B" w:rsidRPr="004C2412">
        <w:t>due to unacceptable reasons given by job seekers for non-attendance</w:t>
      </w:r>
      <w:r w:rsidR="00257627" w:rsidRPr="004C2412">
        <w:t xml:space="preserve"> </w:t>
      </w:r>
      <w:r w:rsidR="00C95ED9" w:rsidRPr="004C2412">
        <w:rPr>
          <w:noProof/>
        </w:rPr>
        <w:t>-</w:t>
      </w:r>
      <w:r w:rsidR="00D12DD9" w:rsidRPr="004C2412">
        <w:rPr>
          <w:rFonts w:eastAsiaTheme="minorHAnsi"/>
          <w:noProof/>
        </w:rPr>
        <w:t xml:space="preserve"> 1 </w:t>
      </w:r>
      <w:r w:rsidR="000F2F9C">
        <w:rPr>
          <w:rFonts w:eastAsiaTheme="minorHAnsi"/>
          <w:noProof/>
        </w:rPr>
        <w:t>April</w:t>
      </w:r>
      <w:r w:rsidR="000F2F9C" w:rsidRPr="004C2412">
        <w:rPr>
          <w:rFonts w:eastAsiaTheme="minorHAnsi"/>
          <w:noProof/>
        </w:rPr>
        <w:t xml:space="preserve"> </w:t>
      </w:r>
      <w:r w:rsidR="00D12DD9" w:rsidRPr="004C2412">
        <w:rPr>
          <w:rFonts w:eastAsiaTheme="minorHAnsi"/>
          <w:noProof/>
        </w:rPr>
        <w:t xml:space="preserve">to </w:t>
      </w:r>
      <w:r w:rsidR="000F2F9C">
        <w:rPr>
          <w:rFonts w:eastAsiaTheme="minorHAnsi"/>
          <w:noProof/>
        </w:rPr>
        <w:t>30 June</w:t>
      </w:r>
      <w:r w:rsidR="00EA773C" w:rsidRPr="004C2412">
        <w:rPr>
          <w:rFonts w:eastAsiaTheme="minorHAnsi"/>
          <w:noProof/>
        </w:rPr>
        <w:t xml:space="preserve"> </w:t>
      </w:r>
      <w:r w:rsidR="00D12DD9" w:rsidRPr="004C2412">
        <w:rPr>
          <w:rFonts w:eastAsiaTheme="minorHAnsi"/>
          <w:noProof/>
        </w:rPr>
        <w:t>201</w:t>
      </w:r>
      <w:r w:rsidR="00EA773C" w:rsidRPr="004C2412">
        <w:rPr>
          <w:rFonts w:eastAsiaTheme="minorHAnsi"/>
          <w:noProof/>
        </w:rPr>
        <w:t>8</w:t>
      </w:r>
      <w:bookmarkEnd w:id="23"/>
      <w:r w:rsidR="00194B57">
        <w:rPr>
          <w:rFonts w:eastAsiaTheme="minorHAnsi"/>
          <w:noProof/>
        </w:rPr>
        <w:t xml:space="preserve"> </w:t>
      </w:r>
    </w:p>
    <w:tbl>
      <w:tblPr>
        <w:tblStyle w:val="TableGrid"/>
        <w:tblW w:w="15029" w:type="dxa"/>
        <w:tblInd w:w="-5" w:type="dxa"/>
        <w:tblLook w:val="04A0" w:firstRow="1" w:lastRow="0" w:firstColumn="1" w:lastColumn="0" w:noHBand="0" w:noVBand="1"/>
      </w:tblPr>
      <w:tblGrid>
        <w:gridCol w:w="6070"/>
        <w:gridCol w:w="4047"/>
        <w:gridCol w:w="4912"/>
      </w:tblGrid>
      <w:tr w:rsidR="00D12DD9" w:rsidRPr="004C2412" w14:paraId="41D91D60" w14:textId="77777777" w:rsidTr="00194B57">
        <w:trPr>
          <w:trHeight w:val="344"/>
          <w:tblHeader/>
        </w:trPr>
        <w:tc>
          <w:tcPr>
            <w:tcW w:w="6070" w:type="dxa"/>
            <w:shd w:val="clear" w:color="auto" w:fill="auto"/>
            <w:vAlign w:val="center"/>
          </w:tcPr>
          <w:p w14:paraId="3134FCB7" w14:textId="3F61641B" w:rsidR="00D12DD9" w:rsidRPr="004C2412" w:rsidRDefault="00D12DD9" w:rsidP="00910012">
            <w:pPr>
              <w:spacing w:before="0"/>
              <w:ind w:left="0"/>
              <w:rPr>
                <w:b/>
              </w:rPr>
            </w:pPr>
            <w:r w:rsidRPr="004C2412">
              <w:rPr>
                <w:b/>
              </w:rPr>
              <w:t>Reason Participation Failure Applied</w:t>
            </w:r>
          </w:p>
        </w:tc>
        <w:tc>
          <w:tcPr>
            <w:tcW w:w="4047" w:type="dxa"/>
            <w:tcBorders>
              <w:bottom w:val="single" w:sz="4" w:space="0" w:color="auto"/>
            </w:tcBorders>
            <w:vAlign w:val="center"/>
          </w:tcPr>
          <w:p w14:paraId="58CFC488" w14:textId="1A89D817" w:rsidR="00D12DD9" w:rsidRPr="004C2412" w:rsidRDefault="00A740E3" w:rsidP="004322AF">
            <w:pPr>
              <w:spacing w:before="0"/>
              <w:ind w:left="0"/>
              <w:jc w:val="center"/>
              <w:rPr>
                <w:b/>
              </w:rPr>
            </w:pPr>
            <w:r w:rsidRPr="004C2412">
              <w:rPr>
                <w:b/>
              </w:rPr>
              <w:t xml:space="preserve">No. Participation </w:t>
            </w:r>
            <w:r w:rsidR="008E655B" w:rsidRPr="004C2412">
              <w:rPr>
                <w:b/>
              </w:rPr>
              <w:t>Failure</w:t>
            </w:r>
            <w:r w:rsidRPr="004C2412">
              <w:rPr>
                <w:b/>
              </w:rPr>
              <w:t>s</w:t>
            </w:r>
          </w:p>
        </w:tc>
        <w:tc>
          <w:tcPr>
            <w:tcW w:w="4912" w:type="dxa"/>
            <w:tcBorders>
              <w:bottom w:val="single" w:sz="4" w:space="0" w:color="auto"/>
            </w:tcBorders>
            <w:vAlign w:val="center"/>
          </w:tcPr>
          <w:p w14:paraId="35B37D42" w14:textId="3533A3E7" w:rsidR="00D12DD9" w:rsidRPr="004C2412" w:rsidRDefault="00D12DD9" w:rsidP="004322AF">
            <w:pPr>
              <w:spacing w:before="0"/>
              <w:ind w:left="0"/>
              <w:jc w:val="center"/>
              <w:rPr>
                <w:b/>
              </w:rPr>
            </w:pPr>
            <w:r w:rsidRPr="004C2412">
              <w:rPr>
                <w:b/>
              </w:rPr>
              <w:t>%</w:t>
            </w:r>
            <w:r w:rsidR="00A740E3" w:rsidRPr="004C2412">
              <w:rPr>
                <w:b/>
              </w:rPr>
              <w:t xml:space="preserve"> of All Participation Failures Applied</w:t>
            </w:r>
          </w:p>
        </w:tc>
      </w:tr>
      <w:tr w:rsidR="000F2F9C" w:rsidRPr="004C2412" w14:paraId="58B115D5" w14:textId="77777777" w:rsidTr="00910012">
        <w:trPr>
          <w:trHeight w:val="332"/>
        </w:trPr>
        <w:tc>
          <w:tcPr>
            <w:tcW w:w="6070" w:type="dxa"/>
            <w:vAlign w:val="center"/>
          </w:tcPr>
          <w:p w14:paraId="4148C1E5" w14:textId="04CA03DF" w:rsidR="000F2F9C" w:rsidRPr="004C2412" w:rsidRDefault="000F2F9C" w:rsidP="000F2F9C">
            <w:pPr>
              <w:spacing w:before="0"/>
              <w:ind w:left="0"/>
            </w:pPr>
            <w:r w:rsidRPr="004C2412">
              <w:t>Job seeker error</w:t>
            </w:r>
          </w:p>
        </w:tc>
        <w:tc>
          <w:tcPr>
            <w:tcW w:w="4047" w:type="dxa"/>
            <w:tcBorders>
              <w:top w:val="single" w:sz="4" w:space="0" w:color="auto"/>
              <w:left w:val="nil"/>
              <w:bottom w:val="single" w:sz="4" w:space="0" w:color="auto"/>
              <w:right w:val="single" w:sz="4" w:space="0" w:color="auto"/>
            </w:tcBorders>
            <w:shd w:val="clear" w:color="auto" w:fill="auto"/>
            <w:vAlign w:val="center"/>
          </w:tcPr>
          <w:p w14:paraId="1F4335C0" w14:textId="5BE301FA" w:rsidR="000F2F9C" w:rsidRPr="00B45BDF" w:rsidRDefault="000F2F9C" w:rsidP="000F2F9C">
            <w:pPr>
              <w:spacing w:before="0"/>
              <w:ind w:left="0"/>
              <w:jc w:val="center"/>
            </w:pPr>
            <w:r w:rsidRPr="00B45BDF">
              <w:rPr>
                <w:rFonts w:cs="Gill Sans MT"/>
                <w:color w:val="000000"/>
              </w:rPr>
              <w:t>14,161</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7071CC22" w14:textId="162391DB" w:rsidR="000F2F9C" w:rsidRPr="00B45BDF" w:rsidRDefault="000F2F9C" w:rsidP="000F2F9C">
            <w:pPr>
              <w:spacing w:before="0"/>
              <w:ind w:left="0"/>
              <w:jc w:val="center"/>
            </w:pPr>
            <w:r w:rsidRPr="00B45BDF">
              <w:rPr>
                <w:rFonts w:cs="Gill Sans MT"/>
                <w:color w:val="000000"/>
              </w:rPr>
              <w:t>14</w:t>
            </w:r>
            <w:r w:rsidR="00F73EC1">
              <w:rPr>
                <w:rFonts w:cs="Gill Sans MT"/>
                <w:color w:val="000000"/>
              </w:rPr>
              <w:t>.2</w:t>
            </w:r>
            <w:r w:rsidRPr="00B45BDF">
              <w:rPr>
                <w:rFonts w:cs="Gill Sans MT"/>
                <w:color w:val="000000"/>
              </w:rPr>
              <w:t>%</w:t>
            </w:r>
          </w:p>
        </w:tc>
      </w:tr>
      <w:tr w:rsidR="000F2F9C" w:rsidRPr="004C2412" w14:paraId="6398BB8A" w14:textId="77777777" w:rsidTr="00910012">
        <w:trPr>
          <w:trHeight w:val="344"/>
        </w:trPr>
        <w:tc>
          <w:tcPr>
            <w:tcW w:w="6070" w:type="dxa"/>
            <w:vAlign w:val="center"/>
          </w:tcPr>
          <w:p w14:paraId="1C9F725C" w14:textId="373542BB" w:rsidR="000F2F9C" w:rsidRPr="004C2412" w:rsidRDefault="000F2F9C" w:rsidP="000F2F9C">
            <w:pPr>
              <w:spacing w:before="0"/>
              <w:ind w:left="0"/>
            </w:pPr>
            <w:r w:rsidRPr="004C2412">
              <w:t>Manageable or unproven medical issue</w:t>
            </w:r>
          </w:p>
        </w:tc>
        <w:tc>
          <w:tcPr>
            <w:tcW w:w="4047" w:type="dxa"/>
            <w:tcBorders>
              <w:top w:val="single" w:sz="4" w:space="0" w:color="auto"/>
              <w:left w:val="nil"/>
              <w:bottom w:val="single" w:sz="4" w:space="0" w:color="auto"/>
              <w:right w:val="single" w:sz="4" w:space="0" w:color="auto"/>
            </w:tcBorders>
            <w:shd w:val="clear" w:color="auto" w:fill="auto"/>
            <w:vAlign w:val="center"/>
          </w:tcPr>
          <w:p w14:paraId="2BF2EF11" w14:textId="70951696" w:rsidR="000F2F9C" w:rsidRPr="00B45BDF" w:rsidRDefault="000F2F9C" w:rsidP="000F2F9C">
            <w:pPr>
              <w:spacing w:before="0"/>
              <w:ind w:left="0"/>
              <w:jc w:val="center"/>
            </w:pPr>
            <w:r w:rsidRPr="00B45BDF">
              <w:rPr>
                <w:rFonts w:cs="Gill Sans MT"/>
                <w:color w:val="000000"/>
              </w:rPr>
              <w:t>11,958</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21CA2922" w14:textId="0567E992" w:rsidR="000F2F9C" w:rsidRPr="00B45BDF" w:rsidRDefault="000F2F9C" w:rsidP="000F2F9C">
            <w:pPr>
              <w:spacing w:before="0"/>
              <w:ind w:left="0"/>
              <w:jc w:val="center"/>
            </w:pPr>
            <w:r w:rsidRPr="00B45BDF">
              <w:rPr>
                <w:rFonts w:cs="Gill Sans MT"/>
                <w:color w:val="000000"/>
              </w:rPr>
              <w:t>12</w:t>
            </w:r>
            <w:r w:rsidR="00F73EC1">
              <w:rPr>
                <w:rFonts w:cs="Gill Sans MT"/>
                <w:color w:val="000000"/>
              </w:rPr>
              <w:t>.0</w:t>
            </w:r>
            <w:r w:rsidRPr="00B45BDF">
              <w:rPr>
                <w:rFonts w:cs="Gill Sans MT"/>
                <w:color w:val="000000"/>
              </w:rPr>
              <w:t>%</w:t>
            </w:r>
          </w:p>
        </w:tc>
      </w:tr>
      <w:tr w:rsidR="000F2F9C" w:rsidRPr="004C2412" w14:paraId="777A459D" w14:textId="77777777" w:rsidTr="00910012">
        <w:trPr>
          <w:trHeight w:val="344"/>
        </w:trPr>
        <w:tc>
          <w:tcPr>
            <w:tcW w:w="6070" w:type="dxa"/>
            <w:vAlign w:val="center"/>
          </w:tcPr>
          <w:p w14:paraId="755F9431" w14:textId="01C3708E" w:rsidR="000F2F9C" w:rsidRPr="004C2412" w:rsidRDefault="000F2F9C" w:rsidP="000F2F9C">
            <w:pPr>
              <w:spacing w:before="0"/>
              <w:ind w:left="0"/>
            </w:pPr>
            <w:r w:rsidRPr="004C2412">
              <w:t>Job seeker chose not to participate</w:t>
            </w:r>
          </w:p>
        </w:tc>
        <w:tc>
          <w:tcPr>
            <w:tcW w:w="4047" w:type="dxa"/>
            <w:tcBorders>
              <w:top w:val="single" w:sz="4" w:space="0" w:color="auto"/>
              <w:left w:val="nil"/>
              <w:bottom w:val="single" w:sz="4" w:space="0" w:color="auto"/>
              <w:right w:val="single" w:sz="4" w:space="0" w:color="auto"/>
            </w:tcBorders>
            <w:shd w:val="clear" w:color="auto" w:fill="auto"/>
            <w:vAlign w:val="center"/>
          </w:tcPr>
          <w:p w14:paraId="6EC50DB0" w14:textId="4E66781F" w:rsidR="000F2F9C" w:rsidRPr="00B45BDF" w:rsidRDefault="000F2F9C" w:rsidP="000F2F9C">
            <w:pPr>
              <w:spacing w:before="0"/>
              <w:ind w:left="0"/>
              <w:jc w:val="center"/>
            </w:pPr>
            <w:r w:rsidRPr="00B45BDF">
              <w:rPr>
                <w:rFonts w:cs="Gill Sans MT"/>
                <w:color w:val="000000"/>
              </w:rPr>
              <w:t>23,225</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18AB1CBD" w14:textId="2E4EAC26" w:rsidR="000F2F9C" w:rsidRPr="00B45BDF" w:rsidRDefault="000F2F9C" w:rsidP="000F2F9C">
            <w:pPr>
              <w:spacing w:before="0"/>
              <w:ind w:left="0"/>
              <w:jc w:val="center"/>
            </w:pPr>
            <w:r w:rsidRPr="00B45BDF">
              <w:rPr>
                <w:rFonts w:cs="Gill Sans MT"/>
                <w:color w:val="000000"/>
              </w:rPr>
              <w:t>23</w:t>
            </w:r>
            <w:r w:rsidR="00F73EC1">
              <w:rPr>
                <w:rFonts w:cs="Gill Sans MT"/>
                <w:color w:val="000000"/>
              </w:rPr>
              <w:t>.2</w:t>
            </w:r>
            <w:r w:rsidRPr="00B45BDF">
              <w:rPr>
                <w:rFonts w:cs="Gill Sans MT"/>
                <w:color w:val="000000"/>
              </w:rPr>
              <w:t>%</w:t>
            </w:r>
          </w:p>
        </w:tc>
      </w:tr>
      <w:tr w:rsidR="000F2F9C" w:rsidRPr="004C2412" w14:paraId="0B0AE225" w14:textId="77777777" w:rsidTr="00910012">
        <w:trPr>
          <w:trHeight w:val="332"/>
        </w:trPr>
        <w:tc>
          <w:tcPr>
            <w:tcW w:w="6070" w:type="dxa"/>
            <w:vAlign w:val="center"/>
          </w:tcPr>
          <w:p w14:paraId="28CD98C4" w14:textId="446460B7" w:rsidR="000F2F9C" w:rsidRPr="004C2412" w:rsidRDefault="000F2F9C" w:rsidP="000F2F9C">
            <w:pPr>
              <w:spacing w:before="0"/>
              <w:ind w:left="0"/>
            </w:pPr>
            <w:r w:rsidRPr="004C2412">
              <w:t>Job seeker denied being notified</w:t>
            </w:r>
          </w:p>
        </w:tc>
        <w:tc>
          <w:tcPr>
            <w:tcW w:w="4047" w:type="dxa"/>
            <w:tcBorders>
              <w:top w:val="single" w:sz="4" w:space="0" w:color="auto"/>
              <w:left w:val="nil"/>
              <w:bottom w:val="single" w:sz="4" w:space="0" w:color="auto"/>
              <w:right w:val="single" w:sz="4" w:space="0" w:color="auto"/>
            </w:tcBorders>
            <w:shd w:val="clear" w:color="auto" w:fill="auto"/>
            <w:vAlign w:val="center"/>
          </w:tcPr>
          <w:p w14:paraId="726A4D13" w14:textId="7F4B2D33" w:rsidR="000F2F9C" w:rsidRPr="00B45BDF" w:rsidRDefault="000F2F9C" w:rsidP="000F2F9C">
            <w:pPr>
              <w:spacing w:before="0"/>
              <w:ind w:left="0"/>
              <w:jc w:val="center"/>
            </w:pPr>
            <w:r w:rsidRPr="00B45BDF">
              <w:rPr>
                <w:rFonts w:cs="Gill Sans MT"/>
                <w:color w:val="000000"/>
              </w:rPr>
              <w:t>2,656</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731BC2BE" w14:textId="17E9E5CD" w:rsidR="000F2F9C" w:rsidRPr="00B45BDF" w:rsidRDefault="00F73EC1" w:rsidP="000F2F9C">
            <w:pPr>
              <w:spacing w:before="0"/>
              <w:ind w:left="0"/>
              <w:jc w:val="center"/>
            </w:pPr>
            <w:r>
              <w:rPr>
                <w:rFonts w:cs="Gill Sans MT"/>
                <w:color w:val="000000"/>
              </w:rPr>
              <w:t>2.7</w:t>
            </w:r>
            <w:r w:rsidR="000F2F9C" w:rsidRPr="00B45BDF">
              <w:rPr>
                <w:rFonts w:cs="Gill Sans MT"/>
                <w:color w:val="000000"/>
              </w:rPr>
              <w:t>%</w:t>
            </w:r>
          </w:p>
        </w:tc>
      </w:tr>
      <w:tr w:rsidR="000F2F9C" w:rsidRPr="004C2412" w14:paraId="1C6DB733" w14:textId="77777777" w:rsidTr="00910012">
        <w:trPr>
          <w:trHeight w:val="344"/>
        </w:trPr>
        <w:tc>
          <w:tcPr>
            <w:tcW w:w="6070" w:type="dxa"/>
            <w:vAlign w:val="center"/>
          </w:tcPr>
          <w:p w14:paraId="3B92674E" w14:textId="33C3BF86" w:rsidR="000F2F9C" w:rsidRPr="004C2412" w:rsidRDefault="000F2F9C" w:rsidP="000F2F9C">
            <w:pPr>
              <w:spacing w:before="0"/>
              <w:ind w:left="0"/>
            </w:pPr>
            <w:r w:rsidRPr="004C2412">
              <w:t>Foreseeable or unacceptable activity prevented compliance</w:t>
            </w:r>
          </w:p>
        </w:tc>
        <w:tc>
          <w:tcPr>
            <w:tcW w:w="4047" w:type="dxa"/>
            <w:tcBorders>
              <w:top w:val="single" w:sz="4" w:space="0" w:color="auto"/>
              <w:left w:val="nil"/>
              <w:bottom w:val="single" w:sz="4" w:space="0" w:color="auto"/>
              <w:right w:val="single" w:sz="4" w:space="0" w:color="auto"/>
            </w:tcBorders>
            <w:shd w:val="clear" w:color="auto" w:fill="auto"/>
            <w:vAlign w:val="center"/>
          </w:tcPr>
          <w:p w14:paraId="7A91E836" w14:textId="05AE43D9" w:rsidR="000F2F9C" w:rsidRPr="00B45BDF" w:rsidRDefault="000F2F9C" w:rsidP="000F2F9C">
            <w:pPr>
              <w:spacing w:before="0"/>
              <w:ind w:left="0"/>
              <w:jc w:val="center"/>
            </w:pPr>
            <w:r w:rsidRPr="00B45BDF">
              <w:rPr>
                <w:rFonts w:cs="Gill Sans MT"/>
                <w:color w:val="000000"/>
              </w:rPr>
              <w:t>3,614</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4A864764" w14:textId="2449B5D5" w:rsidR="000F2F9C" w:rsidRPr="00B45BDF" w:rsidRDefault="00F73EC1" w:rsidP="000F2F9C">
            <w:pPr>
              <w:spacing w:before="0"/>
              <w:ind w:left="0"/>
              <w:jc w:val="center"/>
            </w:pPr>
            <w:r>
              <w:rPr>
                <w:rFonts w:cs="Gill Sans MT"/>
                <w:color w:val="000000"/>
              </w:rPr>
              <w:t>3.6%</w:t>
            </w:r>
          </w:p>
        </w:tc>
      </w:tr>
      <w:tr w:rsidR="000F2F9C" w:rsidRPr="004C2412" w14:paraId="5144864A" w14:textId="77777777" w:rsidTr="00910012">
        <w:trPr>
          <w:trHeight w:val="344"/>
        </w:trPr>
        <w:tc>
          <w:tcPr>
            <w:tcW w:w="6070" w:type="dxa"/>
            <w:vAlign w:val="center"/>
          </w:tcPr>
          <w:p w14:paraId="3819DA46" w14:textId="1CEEF859" w:rsidR="000F2F9C" w:rsidRPr="004C2412" w:rsidRDefault="000F2F9C" w:rsidP="000F2F9C">
            <w:pPr>
              <w:spacing w:before="0"/>
              <w:ind w:left="0"/>
            </w:pPr>
            <w:r w:rsidRPr="004C2412">
              <w:t>Personal matter</w:t>
            </w:r>
          </w:p>
        </w:tc>
        <w:tc>
          <w:tcPr>
            <w:tcW w:w="4047" w:type="dxa"/>
            <w:tcBorders>
              <w:top w:val="single" w:sz="4" w:space="0" w:color="auto"/>
              <w:left w:val="nil"/>
              <w:bottom w:val="single" w:sz="4" w:space="0" w:color="auto"/>
              <w:right w:val="single" w:sz="4" w:space="0" w:color="auto"/>
            </w:tcBorders>
            <w:shd w:val="clear" w:color="auto" w:fill="auto"/>
            <w:vAlign w:val="center"/>
          </w:tcPr>
          <w:p w14:paraId="52D7727D" w14:textId="75F69090" w:rsidR="000F2F9C" w:rsidRPr="00B45BDF" w:rsidRDefault="000F2F9C" w:rsidP="000F2F9C">
            <w:pPr>
              <w:spacing w:before="0"/>
              <w:ind w:left="0"/>
              <w:jc w:val="center"/>
            </w:pPr>
            <w:r w:rsidRPr="00B45BDF">
              <w:rPr>
                <w:rFonts w:cs="Gill Sans MT"/>
                <w:color w:val="000000"/>
              </w:rPr>
              <w:t>6,219</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2E50150E" w14:textId="33585DD3" w:rsidR="000F2F9C" w:rsidRPr="00B45BDF" w:rsidRDefault="000F2F9C" w:rsidP="000F2F9C">
            <w:pPr>
              <w:spacing w:before="0"/>
              <w:ind w:left="0"/>
              <w:jc w:val="center"/>
            </w:pPr>
            <w:r w:rsidRPr="00B45BDF">
              <w:rPr>
                <w:rFonts w:cs="Gill Sans MT"/>
                <w:color w:val="000000"/>
              </w:rPr>
              <w:t>6</w:t>
            </w:r>
            <w:r w:rsidR="00F73EC1">
              <w:rPr>
                <w:rFonts w:cs="Gill Sans MT"/>
                <w:color w:val="000000"/>
              </w:rPr>
              <w:t>.2</w:t>
            </w:r>
            <w:r w:rsidRPr="00B45BDF">
              <w:rPr>
                <w:rFonts w:cs="Gill Sans MT"/>
                <w:color w:val="000000"/>
              </w:rPr>
              <w:t>%</w:t>
            </w:r>
          </w:p>
        </w:tc>
      </w:tr>
      <w:tr w:rsidR="000F2F9C" w:rsidRPr="004C2412" w14:paraId="069C5108" w14:textId="77777777" w:rsidTr="00786342">
        <w:trPr>
          <w:trHeight w:val="346"/>
        </w:trPr>
        <w:tc>
          <w:tcPr>
            <w:tcW w:w="6070" w:type="dxa"/>
            <w:vAlign w:val="center"/>
          </w:tcPr>
          <w:p w14:paraId="4CE0944E" w14:textId="09BF9C22" w:rsidR="000F2F9C" w:rsidRPr="004C2412" w:rsidRDefault="000F2F9C" w:rsidP="000F2F9C">
            <w:pPr>
              <w:spacing w:before="0"/>
              <w:ind w:left="0"/>
            </w:pPr>
            <w:r w:rsidRPr="004C2412">
              <w:t>Transport difficulties – insufficient to prevent compliance</w:t>
            </w:r>
          </w:p>
        </w:tc>
        <w:tc>
          <w:tcPr>
            <w:tcW w:w="4047" w:type="dxa"/>
            <w:tcBorders>
              <w:top w:val="single" w:sz="4" w:space="0" w:color="auto"/>
              <w:left w:val="nil"/>
              <w:bottom w:val="single" w:sz="4" w:space="0" w:color="auto"/>
              <w:right w:val="single" w:sz="4" w:space="0" w:color="auto"/>
            </w:tcBorders>
            <w:shd w:val="clear" w:color="auto" w:fill="auto"/>
            <w:vAlign w:val="center"/>
          </w:tcPr>
          <w:p w14:paraId="5EA662DB" w14:textId="7C156C49" w:rsidR="000F2F9C" w:rsidRPr="00B45BDF" w:rsidRDefault="000F2F9C" w:rsidP="000F2F9C">
            <w:pPr>
              <w:spacing w:before="0"/>
              <w:ind w:left="0"/>
              <w:jc w:val="center"/>
            </w:pPr>
            <w:r w:rsidRPr="00B45BDF">
              <w:rPr>
                <w:rFonts w:cs="Gill Sans MT"/>
                <w:color w:val="000000"/>
              </w:rPr>
              <w:t>3,125</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302B4254" w14:textId="49CC4989" w:rsidR="000F2F9C" w:rsidRPr="00F73EC1" w:rsidRDefault="00F73EC1" w:rsidP="000F2F9C">
            <w:pPr>
              <w:spacing w:before="0"/>
              <w:ind w:left="0"/>
              <w:jc w:val="center"/>
            </w:pPr>
            <w:r w:rsidRPr="00F73EC1">
              <w:rPr>
                <w:rFonts w:cs="Gill Sans MT"/>
                <w:color w:val="000000"/>
              </w:rPr>
              <w:t>3.1</w:t>
            </w:r>
            <w:r w:rsidR="000F2F9C" w:rsidRPr="00F73EC1">
              <w:rPr>
                <w:rFonts w:cs="Gill Sans MT"/>
                <w:color w:val="000000"/>
              </w:rPr>
              <w:t>%</w:t>
            </w:r>
          </w:p>
        </w:tc>
      </w:tr>
      <w:tr w:rsidR="000F2F9C" w:rsidRPr="004C2412" w14:paraId="35556545" w14:textId="77777777" w:rsidTr="00910012">
        <w:trPr>
          <w:trHeight w:val="344"/>
        </w:trPr>
        <w:tc>
          <w:tcPr>
            <w:tcW w:w="6070" w:type="dxa"/>
            <w:vAlign w:val="center"/>
          </w:tcPr>
          <w:p w14:paraId="35DD6272" w14:textId="06DAEB5D" w:rsidR="000F2F9C" w:rsidRPr="004C2412" w:rsidRDefault="000F2F9C" w:rsidP="000F2F9C">
            <w:pPr>
              <w:spacing w:before="0"/>
              <w:ind w:left="0"/>
            </w:pPr>
            <w:r w:rsidRPr="004C2412">
              <w:t>Cultural/ language issues</w:t>
            </w:r>
          </w:p>
        </w:tc>
        <w:tc>
          <w:tcPr>
            <w:tcW w:w="4047" w:type="dxa"/>
            <w:tcBorders>
              <w:top w:val="single" w:sz="4" w:space="0" w:color="auto"/>
              <w:left w:val="nil"/>
              <w:bottom w:val="single" w:sz="4" w:space="0" w:color="auto"/>
              <w:right w:val="single" w:sz="4" w:space="0" w:color="auto"/>
            </w:tcBorders>
            <w:shd w:val="clear" w:color="auto" w:fill="auto"/>
            <w:vAlign w:val="center"/>
          </w:tcPr>
          <w:p w14:paraId="09166E48" w14:textId="5A997DFC" w:rsidR="000F2F9C" w:rsidRPr="00B45BDF" w:rsidRDefault="000F2F9C" w:rsidP="000F2F9C">
            <w:pPr>
              <w:spacing w:before="0"/>
              <w:ind w:left="0"/>
              <w:jc w:val="center"/>
            </w:pPr>
            <w:r w:rsidRPr="00B45BDF">
              <w:rPr>
                <w:rFonts w:cs="Gill Sans MT"/>
                <w:color w:val="000000"/>
              </w:rPr>
              <w:t>554</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3C9182D8" w14:textId="0D7ACE3F" w:rsidR="000F2F9C" w:rsidRPr="00B45BDF" w:rsidRDefault="00F73EC1" w:rsidP="000F2F9C">
            <w:pPr>
              <w:spacing w:before="0"/>
              <w:ind w:left="0"/>
              <w:jc w:val="center"/>
            </w:pPr>
            <w:r>
              <w:rPr>
                <w:rFonts w:cs="Gill Sans MT"/>
                <w:color w:val="000000"/>
              </w:rPr>
              <w:t>0.6</w:t>
            </w:r>
            <w:r w:rsidR="000F2F9C" w:rsidRPr="00B45BDF">
              <w:rPr>
                <w:rFonts w:cs="Gill Sans MT"/>
                <w:color w:val="000000"/>
              </w:rPr>
              <w:t>%</w:t>
            </w:r>
          </w:p>
        </w:tc>
      </w:tr>
      <w:tr w:rsidR="000F2F9C" w:rsidRPr="004C2412" w14:paraId="642207FD" w14:textId="77777777" w:rsidTr="00910012">
        <w:trPr>
          <w:trHeight w:val="344"/>
        </w:trPr>
        <w:tc>
          <w:tcPr>
            <w:tcW w:w="6070" w:type="dxa"/>
            <w:vAlign w:val="center"/>
          </w:tcPr>
          <w:p w14:paraId="281AE8E0" w14:textId="6F305E65" w:rsidR="000F2F9C" w:rsidRPr="004C2412" w:rsidRDefault="000F2F9C" w:rsidP="000F2F9C">
            <w:pPr>
              <w:spacing w:before="0"/>
              <w:ind w:left="0"/>
            </w:pPr>
            <w:r w:rsidRPr="004C2412">
              <w:t>Job seeker considered work offered was unsuitable</w:t>
            </w:r>
          </w:p>
        </w:tc>
        <w:tc>
          <w:tcPr>
            <w:tcW w:w="4047" w:type="dxa"/>
            <w:tcBorders>
              <w:top w:val="single" w:sz="4" w:space="0" w:color="auto"/>
              <w:left w:val="nil"/>
              <w:bottom w:val="single" w:sz="4" w:space="0" w:color="auto"/>
              <w:right w:val="single" w:sz="4" w:space="0" w:color="auto"/>
            </w:tcBorders>
            <w:shd w:val="clear" w:color="auto" w:fill="auto"/>
            <w:vAlign w:val="center"/>
          </w:tcPr>
          <w:p w14:paraId="2B64A6ED" w14:textId="74105365" w:rsidR="000F2F9C" w:rsidRPr="00B45BDF" w:rsidRDefault="000F2F9C" w:rsidP="000F2F9C">
            <w:pPr>
              <w:spacing w:before="0"/>
              <w:ind w:left="0"/>
              <w:jc w:val="center"/>
            </w:pPr>
            <w:r w:rsidRPr="00B45BDF">
              <w:rPr>
                <w:rFonts w:cs="Gill Sans MT"/>
                <w:color w:val="000000"/>
              </w:rPr>
              <w:t>20</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4F64ABDC" w14:textId="4B73B2EB" w:rsidR="000F2F9C" w:rsidRPr="00B45BDF" w:rsidRDefault="000F2F9C" w:rsidP="000F2F9C">
            <w:pPr>
              <w:spacing w:before="0"/>
              <w:ind w:left="0"/>
              <w:jc w:val="center"/>
            </w:pPr>
            <w:r w:rsidRPr="00B45BDF">
              <w:t>0.0%</w:t>
            </w:r>
          </w:p>
        </w:tc>
      </w:tr>
      <w:tr w:rsidR="000F2F9C" w:rsidRPr="004C2412" w14:paraId="508D1F6F" w14:textId="77777777" w:rsidTr="00910012">
        <w:trPr>
          <w:trHeight w:val="332"/>
        </w:trPr>
        <w:tc>
          <w:tcPr>
            <w:tcW w:w="6070" w:type="dxa"/>
            <w:vAlign w:val="center"/>
          </w:tcPr>
          <w:p w14:paraId="0899526D" w14:textId="448C45DE" w:rsidR="000F2F9C" w:rsidRPr="004C2412" w:rsidRDefault="000F2F9C" w:rsidP="000F2F9C">
            <w:pPr>
              <w:spacing w:before="0"/>
              <w:ind w:left="0"/>
            </w:pPr>
            <w:r w:rsidRPr="004C2412">
              <w:t>No reason offered</w:t>
            </w:r>
          </w:p>
        </w:tc>
        <w:tc>
          <w:tcPr>
            <w:tcW w:w="4047" w:type="dxa"/>
            <w:tcBorders>
              <w:top w:val="single" w:sz="4" w:space="0" w:color="auto"/>
              <w:left w:val="nil"/>
              <w:bottom w:val="single" w:sz="4" w:space="0" w:color="auto"/>
              <w:right w:val="single" w:sz="4" w:space="0" w:color="auto"/>
            </w:tcBorders>
            <w:shd w:val="clear" w:color="auto" w:fill="auto"/>
            <w:vAlign w:val="center"/>
          </w:tcPr>
          <w:p w14:paraId="7CFBC715" w14:textId="7AE3CA5E" w:rsidR="000F2F9C" w:rsidRPr="00B45BDF" w:rsidRDefault="000F2F9C" w:rsidP="000F2F9C">
            <w:pPr>
              <w:spacing w:before="0"/>
              <w:ind w:left="0"/>
              <w:jc w:val="center"/>
            </w:pPr>
            <w:r w:rsidRPr="00B45BDF">
              <w:rPr>
                <w:rFonts w:cs="Gill Sans MT"/>
                <w:color w:val="000000"/>
              </w:rPr>
              <w:t>301</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62116644" w14:textId="00EBD0FF" w:rsidR="000F2F9C" w:rsidRPr="00B45BDF" w:rsidRDefault="000F2F9C" w:rsidP="000F2F9C">
            <w:pPr>
              <w:spacing w:before="0"/>
              <w:ind w:left="0"/>
              <w:jc w:val="center"/>
            </w:pPr>
            <w:r w:rsidRPr="00B45BDF">
              <w:t>0.3%</w:t>
            </w:r>
          </w:p>
        </w:tc>
      </w:tr>
      <w:tr w:rsidR="000F2F9C" w:rsidRPr="004C2412" w14:paraId="6912AB20" w14:textId="77777777" w:rsidTr="00910012">
        <w:trPr>
          <w:trHeight w:val="344"/>
        </w:trPr>
        <w:tc>
          <w:tcPr>
            <w:tcW w:w="6070" w:type="dxa"/>
            <w:vAlign w:val="center"/>
          </w:tcPr>
          <w:p w14:paraId="50FBD245" w14:textId="368F8534" w:rsidR="000F2F9C" w:rsidRPr="004C2412" w:rsidRDefault="000F2F9C" w:rsidP="000F2F9C">
            <w:pPr>
              <w:spacing w:before="0"/>
              <w:ind w:left="0"/>
            </w:pPr>
            <w:r w:rsidRPr="004C2412">
              <w:t>Reason not recorded</w:t>
            </w:r>
          </w:p>
        </w:tc>
        <w:tc>
          <w:tcPr>
            <w:tcW w:w="4047" w:type="dxa"/>
            <w:tcBorders>
              <w:top w:val="single" w:sz="4" w:space="0" w:color="auto"/>
              <w:left w:val="nil"/>
              <w:bottom w:val="single" w:sz="4" w:space="0" w:color="auto"/>
              <w:right w:val="single" w:sz="4" w:space="0" w:color="auto"/>
            </w:tcBorders>
            <w:shd w:val="clear" w:color="auto" w:fill="auto"/>
            <w:vAlign w:val="center"/>
          </w:tcPr>
          <w:p w14:paraId="67BE7EF3" w14:textId="4BABB9CE" w:rsidR="000F2F9C" w:rsidRPr="00B45BDF" w:rsidRDefault="000F2F9C" w:rsidP="000F2F9C">
            <w:pPr>
              <w:spacing w:before="0"/>
              <w:ind w:left="0"/>
              <w:jc w:val="center"/>
            </w:pPr>
            <w:r w:rsidRPr="00B45BDF">
              <w:rPr>
                <w:rFonts w:cs="Gill Sans MT"/>
                <w:color w:val="000000"/>
              </w:rPr>
              <w:t>332</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121920F9" w14:textId="0010918A" w:rsidR="000F2F9C" w:rsidRPr="00B45BDF" w:rsidRDefault="000F2F9C" w:rsidP="000F2F9C">
            <w:pPr>
              <w:spacing w:before="0"/>
              <w:ind w:left="0"/>
              <w:jc w:val="center"/>
            </w:pPr>
            <w:r w:rsidRPr="00B45BDF">
              <w:t>0.3%</w:t>
            </w:r>
          </w:p>
        </w:tc>
      </w:tr>
      <w:tr w:rsidR="000F2F9C" w:rsidRPr="004C2412" w14:paraId="4232113E" w14:textId="77777777" w:rsidTr="00910012">
        <w:trPr>
          <w:trHeight w:val="344"/>
        </w:trPr>
        <w:tc>
          <w:tcPr>
            <w:tcW w:w="6070" w:type="dxa"/>
            <w:vAlign w:val="center"/>
          </w:tcPr>
          <w:p w14:paraId="0C3BCD16" w14:textId="0C953922" w:rsidR="000F2F9C" w:rsidRPr="004C2412" w:rsidRDefault="000F2F9C" w:rsidP="000F2F9C">
            <w:pPr>
              <w:spacing w:before="0"/>
              <w:ind w:left="0"/>
            </w:pPr>
            <w:r w:rsidRPr="004C2412">
              <w:t>Reasonable excuse but no prior notice</w:t>
            </w:r>
          </w:p>
        </w:tc>
        <w:tc>
          <w:tcPr>
            <w:tcW w:w="4047" w:type="dxa"/>
            <w:tcBorders>
              <w:top w:val="single" w:sz="4" w:space="0" w:color="auto"/>
              <w:left w:val="nil"/>
              <w:bottom w:val="single" w:sz="4" w:space="0" w:color="auto"/>
              <w:right w:val="single" w:sz="4" w:space="0" w:color="auto"/>
            </w:tcBorders>
            <w:shd w:val="clear" w:color="auto" w:fill="auto"/>
            <w:vAlign w:val="center"/>
          </w:tcPr>
          <w:p w14:paraId="6D376C07" w14:textId="43A694C4" w:rsidR="000F2F9C" w:rsidRPr="00B45BDF" w:rsidRDefault="000F2F9C" w:rsidP="000F2F9C">
            <w:pPr>
              <w:spacing w:before="0"/>
              <w:ind w:left="0"/>
              <w:jc w:val="center"/>
            </w:pPr>
            <w:r w:rsidRPr="00B45BDF">
              <w:rPr>
                <w:rFonts w:cs="Gill Sans MT"/>
                <w:color w:val="000000"/>
              </w:rPr>
              <w:t>33,805</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02383ABD" w14:textId="3EE78F94" w:rsidR="000F2F9C" w:rsidRPr="00B45BDF" w:rsidRDefault="00F73EC1" w:rsidP="000F2F9C">
            <w:pPr>
              <w:spacing w:before="0"/>
              <w:ind w:left="0"/>
              <w:jc w:val="center"/>
            </w:pPr>
            <w:r>
              <w:rPr>
                <w:rFonts w:cs="Gill Sans MT"/>
                <w:color w:val="000000"/>
              </w:rPr>
              <w:t>33.8%</w:t>
            </w:r>
          </w:p>
        </w:tc>
      </w:tr>
      <w:tr w:rsidR="000F2F9C" w:rsidRPr="004C2412" w14:paraId="75AD0E4D" w14:textId="77777777" w:rsidTr="00910012">
        <w:trPr>
          <w:trHeight w:val="332"/>
        </w:trPr>
        <w:tc>
          <w:tcPr>
            <w:tcW w:w="6070" w:type="dxa"/>
            <w:vAlign w:val="center"/>
          </w:tcPr>
          <w:p w14:paraId="06FE76A7" w14:textId="2B9E9862" w:rsidR="000F2F9C" w:rsidRPr="004C2412" w:rsidRDefault="000F2F9C" w:rsidP="000F2F9C">
            <w:pPr>
              <w:spacing w:before="0"/>
              <w:ind w:left="0"/>
              <w:rPr>
                <w:b/>
              </w:rPr>
            </w:pPr>
            <w:r w:rsidRPr="004C2412">
              <w:rPr>
                <w:b/>
              </w:rPr>
              <w:t>Total</w:t>
            </w:r>
          </w:p>
        </w:tc>
        <w:tc>
          <w:tcPr>
            <w:tcW w:w="4047" w:type="dxa"/>
            <w:tcBorders>
              <w:top w:val="single" w:sz="4" w:space="0" w:color="auto"/>
              <w:left w:val="nil"/>
              <w:bottom w:val="single" w:sz="4" w:space="0" w:color="auto"/>
              <w:right w:val="single" w:sz="4" w:space="0" w:color="auto"/>
            </w:tcBorders>
            <w:shd w:val="clear" w:color="auto" w:fill="auto"/>
            <w:vAlign w:val="center"/>
          </w:tcPr>
          <w:p w14:paraId="6B1AA4F4" w14:textId="78F2A28C" w:rsidR="000F2F9C" w:rsidRPr="00B45BDF" w:rsidRDefault="000F2F9C" w:rsidP="000F2F9C">
            <w:pPr>
              <w:spacing w:before="0"/>
              <w:ind w:left="0"/>
              <w:jc w:val="center"/>
              <w:rPr>
                <w:b/>
              </w:rPr>
            </w:pPr>
            <w:r w:rsidRPr="00B45BDF">
              <w:rPr>
                <w:rFonts w:cs="Gill Sans MT"/>
                <w:b/>
                <w:color w:val="000000"/>
              </w:rPr>
              <w:t>99,970</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78371EFF" w14:textId="3AD299F3" w:rsidR="000F2F9C" w:rsidRPr="00B45BDF" w:rsidRDefault="000F2F9C" w:rsidP="000F2F9C">
            <w:pPr>
              <w:spacing w:before="0"/>
              <w:ind w:left="0"/>
              <w:jc w:val="center"/>
              <w:rPr>
                <w:b/>
              </w:rPr>
            </w:pPr>
            <w:r w:rsidRPr="00B45BDF">
              <w:rPr>
                <w:rFonts w:cs="Gill Sans MT"/>
                <w:b/>
                <w:color w:val="000000"/>
              </w:rPr>
              <w:t>100%</w:t>
            </w:r>
          </w:p>
        </w:tc>
      </w:tr>
    </w:tbl>
    <w:p w14:paraId="4CC66F2C" w14:textId="77777777" w:rsidR="00BA4C67" w:rsidRPr="004C2412" w:rsidRDefault="00BA4C67" w:rsidP="00BA4C67">
      <w:pPr>
        <w:spacing w:after="240" w:line="240" w:lineRule="auto"/>
        <w:ind w:left="0"/>
      </w:pPr>
      <w:r w:rsidRPr="004C2412">
        <w:t>This table breaks down the data included in the “Participation Failure imposed’ column of the previous overview table by the reason the job seeker gave for their failure. Reasons are recorded where the failure is for non-attendance at appointments with the Department of Human Services, third party appointments, with employers or for non-attendance at activities.</w:t>
      </w:r>
    </w:p>
    <w:p w14:paraId="73A3D3A8" w14:textId="77777777" w:rsidR="00BA4C67" w:rsidRPr="004C2412" w:rsidRDefault="00BA4C67" w:rsidP="00BA4C67">
      <w:pPr>
        <w:spacing w:before="240" w:after="240" w:line="240" w:lineRule="auto"/>
        <w:ind w:left="0"/>
      </w:pPr>
      <w:r w:rsidRPr="004C2412">
        <w:t>Non</w:t>
      </w:r>
      <w:r w:rsidRPr="004C2412">
        <w:noBreakHyphen/>
        <w:t xml:space="preserve">Attendance Reports, which </w:t>
      </w:r>
      <w:proofErr w:type="gramStart"/>
      <w:r w:rsidRPr="004C2412">
        <w:t>are used</w:t>
      </w:r>
      <w:proofErr w:type="gramEnd"/>
      <w:r w:rsidRPr="004C2412">
        <w:t xml:space="preserve"> to report non-attendance at provider appointments, are not included in this table because they do not result in a Participation Failure under the compliance framework and simply delay a job seeker’s income support payment rather than resulting in a penalty. Because of this, the job seeker’s reason for non-attendance </w:t>
      </w:r>
      <w:proofErr w:type="gramStart"/>
      <w:r w:rsidRPr="004C2412">
        <w:t>is not sought or recorded by the Department of Human Services</w:t>
      </w:r>
      <w:proofErr w:type="gramEnd"/>
      <w:r w:rsidRPr="004C2412">
        <w:t>.</w:t>
      </w:r>
    </w:p>
    <w:p w14:paraId="6EFBCAB7" w14:textId="77777777" w:rsidR="00BA4C67" w:rsidRPr="004C2412" w:rsidRDefault="00BA4C67" w:rsidP="00BA4C67">
      <w:pPr>
        <w:spacing w:before="240" w:after="240" w:line="240" w:lineRule="auto"/>
        <w:ind w:left="0"/>
      </w:pPr>
      <w:r w:rsidRPr="004C2412">
        <w:t xml:space="preserve">The Department of Human Services is required under legislation to determine each case on its merits and to consider </w:t>
      </w:r>
      <w:proofErr w:type="gramStart"/>
      <w:r w:rsidRPr="004C2412">
        <w:t>whether or not</w:t>
      </w:r>
      <w:proofErr w:type="gramEnd"/>
      <w:r w:rsidRPr="004C2412">
        <w:t xml:space="preserve"> the job seeker’s personal circumstances affected their ability to comply or to give prior notice of their inability to comply for each incidence of non-attendance. This table gives the types of excuses that job seekers provided to the Department of Human Services and which the Department of Human Services did not accept as reasonable in the specific circumstances of each case. In these instances, the Department of Human Services’ decision-maker has determined that the circumstances described by the job seeker did not </w:t>
      </w:r>
      <w:proofErr w:type="gramStart"/>
      <w:r w:rsidRPr="004C2412">
        <w:t>impact</w:t>
      </w:r>
      <w:proofErr w:type="gramEnd"/>
      <w:r w:rsidRPr="004C2412">
        <w:t xml:space="preserve"> sufficiently on the job seeker’s capacity to attend the appointment or activity at the scheduled time or there is no evidence to support the job seeker’s reason for non-attendance or failure to give prior notice.</w:t>
      </w:r>
    </w:p>
    <w:p w14:paraId="3385571D" w14:textId="4C9CC3E5" w:rsidR="00194B57" w:rsidRDefault="00BA4C67" w:rsidP="00BA4C67">
      <w:pPr>
        <w:spacing w:after="240" w:line="240" w:lineRule="auto"/>
        <w:ind w:left="0"/>
        <w:sectPr w:rsidR="00194B57" w:rsidSect="00763831">
          <w:pgSz w:w="16838" w:h="11906" w:orient="landscape"/>
          <w:pgMar w:top="142" w:right="962" w:bottom="720" w:left="1134" w:header="567" w:footer="0" w:gutter="0"/>
          <w:cols w:space="708"/>
          <w:docGrid w:linePitch="360"/>
        </w:sectPr>
      </w:pPr>
      <w:r w:rsidRPr="004C2412">
        <w:t>Note: Discrepancies may occur between the sum of component percentages and the total percentage, due to rounding.</w:t>
      </w:r>
    </w:p>
    <w:p w14:paraId="406831B0" w14:textId="4BA1981B" w:rsidR="00194B57" w:rsidRPr="00194B57" w:rsidRDefault="00194B57" w:rsidP="00194B57">
      <w:pPr>
        <w:pStyle w:val="Heading3"/>
        <w:numPr>
          <w:ilvl w:val="0"/>
          <w:numId w:val="0"/>
        </w:numPr>
        <w:rPr>
          <w:rFonts w:eastAsiaTheme="minorHAnsi"/>
          <w:noProof/>
        </w:rPr>
      </w:pPr>
      <w:bookmarkStart w:id="24" w:name="_Toc526864431"/>
      <w:r w:rsidRPr="004C2412">
        <w:t xml:space="preserve">7 </w:t>
      </w:r>
      <w:r>
        <w:t>d</w:t>
      </w:r>
      <w:r w:rsidRPr="004C2412">
        <w:t xml:space="preserve"> – Participation Failures applied by the Department of Human Services due to unacceptable reasons given by job seekers for non-attendance </w:t>
      </w:r>
      <w:r w:rsidRPr="004C2412">
        <w:rPr>
          <w:noProof/>
        </w:rPr>
        <w:t>-</w:t>
      </w:r>
      <w:r w:rsidRPr="004C2412">
        <w:rPr>
          <w:rFonts w:eastAsiaTheme="minorHAnsi"/>
          <w:noProof/>
        </w:rPr>
        <w:t xml:space="preserve"> 1 </w:t>
      </w:r>
      <w:r>
        <w:rPr>
          <w:rFonts w:eastAsiaTheme="minorHAnsi"/>
          <w:noProof/>
        </w:rPr>
        <w:t>July 2017</w:t>
      </w:r>
      <w:r w:rsidRPr="004C2412">
        <w:rPr>
          <w:rFonts w:eastAsiaTheme="minorHAnsi"/>
          <w:noProof/>
        </w:rPr>
        <w:t xml:space="preserve"> to </w:t>
      </w:r>
      <w:r>
        <w:rPr>
          <w:rFonts w:eastAsiaTheme="minorHAnsi"/>
          <w:noProof/>
        </w:rPr>
        <w:t>30 June</w:t>
      </w:r>
      <w:r w:rsidRPr="004C2412">
        <w:rPr>
          <w:rFonts w:eastAsiaTheme="minorHAnsi"/>
          <w:noProof/>
        </w:rPr>
        <w:t xml:space="preserve"> 2018</w:t>
      </w:r>
      <w:bookmarkEnd w:id="24"/>
      <w:r>
        <w:rPr>
          <w:rFonts w:eastAsiaTheme="minorHAnsi"/>
          <w:noProof/>
        </w:rPr>
        <w:t xml:space="preserve"> </w:t>
      </w:r>
    </w:p>
    <w:tbl>
      <w:tblPr>
        <w:tblStyle w:val="TableGrid"/>
        <w:tblW w:w="15029" w:type="dxa"/>
        <w:tblInd w:w="-5" w:type="dxa"/>
        <w:tblLook w:val="04A0" w:firstRow="1" w:lastRow="0" w:firstColumn="1" w:lastColumn="0" w:noHBand="0" w:noVBand="1"/>
      </w:tblPr>
      <w:tblGrid>
        <w:gridCol w:w="6070"/>
        <w:gridCol w:w="4047"/>
        <w:gridCol w:w="4912"/>
      </w:tblGrid>
      <w:tr w:rsidR="00194B57" w:rsidRPr="004C2412" w14:paraId="7FA24B45" w14:textId="77777777" w:rsidTr="00C9726D">
        <w:trPr>
          <w:trHeight w:val="344"/>
          <w:tblHeader/>
        </w:trPr>
        <w:tc>
          <w:tcPr>
            <w:tcW w:w="6070" w:type="dxa"/>
            <w:shd w:val="clear" w:color="auto" w:fill="auto"/>
            <w:vAlign w:val="center"/>
          </w:tcPr>
          <w:p w14:paraId="784714C9" w14:textId="77777777" w:rsidR="00194B57" w:rsidRPr="004C2412" w:rsidRDefault="00194B57" w:rsidP="00C9726D">
            <w:pPr>
              <w:spacing w:before="0"/>
              <w:ind w:left="0"/>
              <w:rPr>
                <w:b/>
              </w:rPr>
            </w:pPr>
            <w:r w:rsidRPr="004C2412">
              <w:rPr>
                <w:b/>
              </w:rPr>
              <w:t>Reason Participation Failure Applied</w:t>
            </w:r>
          </w:p>
        </w:tc>
        <w:tc>
          <w:tcPr>
            <w:tcW w:w="4047" w:type="dxa"/>
            <w:tcBorders>
              <w:bottom w:val="single" w:sz="4" w:space="0" w:color="auto"/>
            </w:tcBorders>
            <w:vAlign w:val="center"/>
          </w:tcPr>
          <w:p w14:paraId="59F559C8" w14:textId="77777777" w:rsidR="00194B57" w:rsidRPr="004C2412" w:rsidRDefault="00194B57" w:rsidP="00C9726D">
            <w:pPr>
              <w:spacing w:before="0"/>
              <w:ind w:left="0"/>
              <w:jc w:val="center"/>
              <w:rPr>
                <w:b/>
              </w:rPr>
            </w:pPr>
            <w:r w:rsidRPr="004C2412">
              <w:rPr>
                <w:b/>
              </w:rPr>
              <w:t>No. Participation Failures</w:t>
            </w:r>
          </w:p>
        </w:tc>
        <w:tc>
          <w:tcPr>
            <w:tcW w:w="4912" w:type="dxa"/>
            <w:tcBorders>
              <w:bottom w:val="single" w:sz="4" w:space="0" w:color="auto"/>
            </w:tcBorders>
            <w:vAlign w:val="center"/>
          </w:tcPr>
          <w:p w14:paraId="348223C0" w14:textId="77777777" w:rsidR="00194B57" w:rsidRPr="004C2412" w:rsidRDefault="00194B57" w:rsidP="00C9726D">
            <w:pPr>
              <w:spacing w:before="0"/>
              <w:ind w:left="0"/>
              <w:jc w:val="center"/>
              <w:rPr>
                <w:b/>
              </w:rPr>
            </w:pPr>
            <w:r w:rsidRPr="004C2412">
              <w:rPr>
                <w:b/>
              </w:rPr>
              <w:t>% of All Participation Failures Applied</w:t>
            </w:r>
          </w:p>
        </w:tc>
      </w:tr>
      <w:tr w:rsidR="00194B57" w:rsidRPr="004C2412" w14:paraId="707B2225" w14:textId="77777777" w:rsidTr="00C9726D">
        <w:trPr>
          <w:trHeight w:val="332"/>
        </w:trPr>
        <w:tc>
          <w:tcPr>
            <w:tcW w:w="6070" w:type="dxa"/>
            <w:vAlign w:val="center"/>
          </w:tcPr>
          <w:p w14:paraId="102EA40F" w14:textId="77777777" w:rsidR="00194B57" w:rsidRPr="004C2412" w:rsidRDefault="00194B57" w:rsidP="00C9726D">
            <w:pPr>
              <w:spacing w:before="0"/>
              <w:ind w:left="0"/>
            </w:pPr>
            <w:r w:rsidRPr="004C2412">
              <w:t>Job seeker error</w:t>
            </w:r>
          </w:p>
        </w:tc>
        <w:tc>
          <w:tcPr>
            <w:tcW w:w="4047" w:type="dxa"/>
            <w:tcBorders>
              <w:top w:val="single" w:sz="4" w:space="0" w:color="auto"/>
              <w:left w:val="nil"/>
              <w:bottom w:val="single" w:sz="4" w:space="0" w:color="auto"/>
              <w:right w:val="single" w:sz="4" w:space="0" w:color="auto"/>
            </w:tcBorders>
            <w:shd w:val="clear" w:color="auto" w:fill="auto"/>
            <w:vAlign w:val="center"/>
          </w:tcPr>
          <w:p w14:paraId="68588F04" w14:textId="699E18A5" w:rsidR="00194B57" w:rsidRPr="00B45BDF" w:rsidRDefault="00194B57" w:rsidP="00C9726D">
            <w:pPr>
              <w:spacing w:before="0"/>
              <w:ind w:left="0"/>
              <w:jc w:val="center"/>
            </w:pPr>
            <w:r>
              <w:t>61,215</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287375CE" w14:textId="118E900C" w:rsidR="00194B57" w:rsidRPr="00B45BDF" w:rsidRDefault="00194B57" w:rsidP="00C9726D">
            <w:pPr>
              <w:spacing w:before="0"/>
              <w:ind w:left="0"/>
              <w:jc w:val="center"/>
            </w:pPr>
            <w:r>
              <w:t>14.7%</w:t>
            </w:r>
          </w:p>
        </w:tc>
      </w:tr>
      <w:tr w:rsidR="00194B57" w:rsidRPr="004C2412" w14:paraId="2BFAD613" w14:textId="77777777" w:rsidTr="00C9726D">
        <w:trPr>
          <w:trHeight w:val="344"/>
        </w:trPr>
        <w:tc>
          <w:tcPr>
            <w:tcW w:w="6070" w:type="dxa"/>
            <w:vAlign w:val="center"/>
          </w:tcPr>
          <w:p w14:paraId="3ED9DC21" w14:textId="77777777" w:rsidR="00194B57" w:rsidRPr="004C2412" w:rsidRDefault="00194B57" w:rsidP="00C9726D">
            <w:pPr>
              <w:spacing w:before="0"/>
              <w:ind w:left="0"/>
            </w:pPr>
            <w:r w:rsidRPr="004C2412">
              <w:t>Manageable or unproven medical issue</w:t>
            </w:r>
          </w:p>
        </w:tc>
        <w:tc>
          <w:tcPr>
            <w:tcW w:w="4047" w:type="dxa"/>
            <w:tcBorders>
              <w:top w:val="single" w:sz="4" w:space="0" w:color="auto"/>
              <w:left w:val="nil"/>
              <w:bottom w:val="single" w:sz="4" w:space="0" w:color="auto"/>
              <w:right w:val="single" w:sz="4" w:space="0" w:color="auto"/>
            </w:tcBorders>
            <w:shd w:val="clear" w:color="auto" w:fill="auto"/>
            <w:vAlign w:val="center"/>
          </w:tcPr>
          <w:p w14:paraId="46DEAD0A" w14:textId="333BD5DD" w:rsidR="00194B57" w:rsidRPr="00B45BDF" w:rsidRDefault="00194B57" w:rsidP="00C9726D">
            <w:pPr>
              <w:spacing w:before="0"/>
              <w:ind w:left="0"/>
              <w:jc w:val="center"/>
            </w:pPr>
            <w:r>
              <w:t>49,294</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67A1244F" w14:textId="08FABD72" w:rsidR="00194B57" w:rsidRPr="00B45BDF" w:rsidRDefault="00194B57" w:rsidP="00C9726D">
            <w:pPr>
              <w:spacing w:before="0"/>
              <w:ind w:left="0"/>
              <w:jc w:val="center"/>
            </w:pPr>
            <w:r>
              <w:t>11.8%</w:t>
            </w:r>
          </w:p>
        </w:tc>
      </w:tr>
      <w:tr w:rsidR="00194B57" w:rsidRPr="004C2412" w14:paraId="426725B5" w14:textId="77777777" w:rsidTr="00C9726D">
        <w:trPr>
          <w:trHeight w:val="344"/>
        </w:trPr>
        <w:tc>
          <w:tcPr>
            <w:tcW w:w="6070" w:type="dxa"/>
            <w:vAlign w:val="center"/>
          </w:tcPr>
          <w:p w14:paraId="50F3558B" w14:textId="77777777" w:rsidR="00194B57" w:rsidRPr="004C2412" w:rsidRDefault="00194B57" w:rsidP="00C9726D">
            <w:pPr>
              <w:spacing w:before="0"/>
              <w:ind w:left="0"/>
            </w:pPr>
            <w:r w:rsidRPr="004C2412">
              <w:t>Job seeker chose not to participate</w:t>
            </w:r>
          </w:p>
        </w:tc>
        <w:tc>
          <w:tcPr>
            <w:tcW w:w="4047" w:type="dxa"/>
            <w:tcBorders>
              <w:top w:val="single" w:sz="4" w:space="0" w:color="auto"/>
              <w:left w:val="nil"/>
              <w:bottom w:val="single" w:sz="4" w:space="0" w:color="auto"/>
              <w:right w:val="single" w:sz="4" w:space="0" w:color="auto"/>
            </w:tcBorders>
            <w:shd w:val="clear" w:color="auto" w:fill="auto"/>
            <w:vAlign w:val="center"/>
          </w:tcPr>
          <w:p w14:paraId="222589A5" w14:textId="0AE00485" w:rsidR="00194B57" w:rsidRPr="00B45BDF" w:rsidRDefault="00194B57" w:rsidP="00C9726D">
            <w:pPr>
              <w:spacing w:before="0"/>
              <w:ind w:left="0"/>
              <w:jc w:val="center"/>
            </w:pPr>
            <w:r>
              <w:t>100,953</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151E31BF" w14:textId="0F48B4A7" w:rsidR="00194B57" w:rsidRPr="00B45BDF" w:rsidRDefault="00194B57" w:rsidP="00C9726D">
            <w:pPr>
              <w:spacing w:before="0"/>
              <w:ind w:left="0"/>
              <w:jc w:val="center"/>
            </w:pPr>
            <w:r>
              <w:t>24.3%</w:t>
            </w:r>
          </w:p>
        </w:tc>
      </w:tr>
      <w:tr w:rsidR="00194B57" w:rsidRPr="004C2412" w14:paraId="7B78DBE7" w14:textId="77777777" w:rsidTr="00C9726D">
        <w:trPr>
          <w:trHeight w:val="332"/>
        </w:trPr>
        <w:tc>
          <w:tcPr>
            <w:tcW w:w="6070" w:type="dxa"/>
            <w:vAlign w:val="center"/>
          </w:tcPr>
          <w:p w14:paraId="0A1E68E0" w14:textId="77777777" w:rsidR="00194B57" w:rsidRPr="004C2412" w:rsidRDefault="00194B57" w:rsidP="00C9726D">
            <w:pPr>
              <w:spacing w:before="0"/>
              <w:ind w:left="0"/>
            </w:pPr>
            <w:r w:rsidRPr="004C2412">
              <w:t>Job seeker denied being notified</w:t>
            </w:r>
          </w:p>
        </w:tc>
        <w:tc>
          <w:tcPr>
            <w:tcW w:w="4047" w:type="dxa"/>
            <w:tcBorders>
              <w:top w:val="single" w:sz="4" w:space="0" w:color="auto"/>
              <w:left w:val="nil"/>
              <w:bottom w:val="single" w:sz="4" w:space="0" w:color="auto"/>
              <w:right w:val="single" w:sz="4" w:space="0" w:color="auto"/>
            </w:tcBorders>
            <w:shd w:val="clear" w:color="auto" w:fill="auto"/>
            <w:vAlign w:val="center"/>
          </w:tcPr>
          <w:p w14:paraId="4BA9FDDD" w14:textId="523B898E" w:rsidR="00194B57" w:rsidRPr="00B45BDF" w:rsidRDefault="00194B57" w:rsidP="00C9726D">
            <w:pPr>
              <w:spacing w:before="0"/>
              <w:ind w:left="0"/>
              <w:jc w:val="center"/>
            </w:pPr>
            <w:r>
              <w:t>11,435</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537CF2BB" w14:textId="4EA988F2" w:rsidR="00194B57" w:rsidRPr="00B45BDF" w:rsidRDefault="00194B57" w:rsidP="00C9726D">
            <w:pPr>
              <w:spacing w:before="0"/>
              <w:ind w:left="0"/>
              <w:jc w:val="center"/>
            </w:pPr>
            <w:r>
              <w:t>2.7%</w:t>
            </w:r>
          </w:p>
        </w:tc>
      </w:tr>
      <w:tr w:rsidR="00194B57" w:rsidRPr="004C2412" w14:paraId="76EB4AA4" w14:textId="77777777" w:rsidTr="00C9726D">
        <w:trPr>
          <w:trHeight w:val="344"/>
        </w:trPr>
        <w:tc>
          <w:tcPr>
            <w:tcW w:w="6070" w:type="dxa"/>
            <w:vAlign w:val="center"/>
          </w:tcPr>
          <w:p w14:paraId="6699234D" w14:textId="77777777" w:rsidR="00194B57" w:rsidRPr="004C2412" w:rsidRDefault="00194B57" w:rsidP="00C9726D">
            <w:pPr>
              <w:spacing w:before="0"/>
              <w:ind w:left="0"/>
            </w:pPr>
            <w:r w:rsidRPr="004C2412">
              <w:t>Foreseeable or unacceptable activity prevented compliance</w:t>
            </w:r>
          </w:p>
        </w:tc>
        <w:tc>
          <w:tcPr>
            <w:tcW w:w="4047" w:type="dxa"/>
            <w:tcBorders>
              <w:top w:val="single" w:sz="4" w:space="0" w:color="auto"/>
              <w:left w:val="nil"/>
              <w:bottom w:val="single" w:sz="4" w:space="0" w:color="auto"/>
              <w:right w:val="single" w:sz="4" w:space="0" w:color="auto"/>
            </w:tcBorders>
            <w:shd w:val="clear" w:color="auto" w:fill="auto"/>
            <w:vAlign w:val="center"/>
          </w:tcPr>
          <w:p w14:paraId="1BEC40E1" w14:textId="757EBCE9" w:rsidR="00194B57" w:rsidRPr="00B45BDF" w:rsidRDefault="00194B57" w:rsidP="00C9726D">
            <w:pPr>
              <w:spacing w:before="0"/>
              <w:ind w:left="0"/>
              <w:jc w:val="center"/>
            </w:pPr>
            <w:r>
              <w:t>15,228</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5181AD89" w14:textId="609004A4" w:rsidR="00194B57" w:rsidRPr="00B45BDF" w:rsidRDefault="00194B57" w:rsidP="00C9726D">
            <w:pPr>
              <w:spacing w:before="0"/>
              <w:ind w:left="0"/>
              <w:jc w:val="center"/>
            </w:pPr>
            <w:r>
              <w:t>3.7%</w:t>
            </w:r>
          </w:p>
        </w:tc>
      </w:tr>
      <w:tr w:rsidR="00194B57" w:rsidRPr="004C2412" w14:paraId="26E7F506" w14:textId="77777777" w:rsidTr="00C9726D">
        <w:trPr>
          <w:trHeight w:val="344"/>
        </w:trPr>
        <w:tc>
          <w:tcPr>
            <w:tcW w:w="6070" w:type="dxa"/>
            <w:vAlign w:val="center"/>
          </w:tcPr>
          <w:p w14:paraId="3B9B68AB" w14:textId="77777777" w:rsidR="00194B57" w:rsidRPr="004C2412" w:rsidRDefault="00194B57" w:rsidP="00C9726D">
            <w:pPr>
              <w:spacing w:before="0"/>
              <w:ind w:left="0"/>
            </w:pPr>
            <w:r w:rsidRPr="004C2412">
              <w:t>Personal matter</w:t>
            </w:r>
          </w:p>
        </w:tc>
        <w:tc>
          <w:tcPr>
            <w:tcW w:w="4047" w:type="dxa"/>
            <w:tcBorders>
              <w:top w:val="single" w:sz="4" w:space="0" w:color="auto"/>
              <w:left w:val="nil"/>
              <w:bottom w:val="single" w:sz="4" w:space="0" w:color="auto"/>
              <w:right w:val="single" w:sz="4" w:space="0" w:color="auto"/>
            </w:tcBorders>
            <w:shd w:val="clear" w:color="auto" w:fill="auto"/>
            <w:vAlign w:val="center"/>
          </w:tcPr>
          <w:p w14:paraId="540B41F6" w14:textId="70872F0E" w:rsidR="00194B57" w:rsidRPr="00B45BDF" w:rsidRDefault="00194B57" w:rsidP="00C9726D">
            <w:pPr>
              <w:spacing w:before="0"/>
              <w:ind w:left="0"/>
              <w:jc w:val="center"/>
            </w:pPr>
            <w:r>
              <w:t>24,579</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4EEE4C0A" w14:textId="09BC44E6" w:rsidR="00194B57" w:rsidRPr="00B45BDF" w:rsidRDefault="00194B57" w:rsidP="00C9726D">
            <w:pPr>
              <w:spacing w:before="0"/>
              <w:ind w:left="0"/>
              <w:jc w:val="center"/>
            </w:pPr>
            <w:r>
              <w:t>5.9%</w:t>
            </w:r>
          </w:p>
        </w:tc>
      </w:tr>
      <w:tr w:rsidR="00194B57" w:rsidRPr="004C2412" w14:paraId="53525945" w14:textId="77777777" w:rsidTr="00C9726D">
        <w:trPr>
          <w:trHeight w:val="346"/>
        </w:trPr>
        <w:tc>
          <w:tcPr>
            <w:tcW w:w="6070" w:type="dxa"/>
            <w:vAlign w:val="center"/>
          </w:tcPr>
          <w:p w14:paraId="2BAFB568" w14:textId="77777777" w:rsidR="00194B57" w:rsidRPr="004C2412" w:rsidRDefault="00194B57" w:rsidP="00C9726D">
            <w:pPr>
              <w:spacing w:before="0"/>
              <w:ind w:left="0"/>
            </w:pPr>
            <w:r w:rsidRPr="004C2412">
              <w:t>Transport difficulties – insufficient to prevent compliance</w:t>
            </w:r>
          </w:p>
        </w:tc>
        <w:tc>
          <w:tcPr>
            <w:tcW w:w="4047" w:type="dxa"/>
            <w:tcBorders>
              <w:top w:val="single" w:sz="4" w:space="0" w:color="auto"/>
              <w:left w:val="nil"/>
              <w:bottom w:val="single" w:sz="4" w:space="0" w:color="auto"/>
              <w:right w:val="single" w:sz="4" w:space="0" w:color="auto"/>
            </w:tcBorders>
            <w:shd w:val="clear" w:color="auto" w:fill="auto"/>
            <w:vAlign w:val="center"/>
          </w:tcPr>
          <w:p w14:paraId="0ECF2289" w14:textId="0118DC41" w:rsidR="00194B57" w:rsidRPr="00B45BDF" w:rsidRDefault="00194B57" w:rsidP="00C9726D">
            <w:pPr>
              <w:spacing w:before="0"/>
              <w:ind w:left="0"/>
              <w:jc w:val="center"/>
            </w:pPr>
            <w:r>
              <w:t>13,291</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3B6CADBF" w14:textId="7752BBEF" w:rsidR="00194B57" w:rsidRPr="00F73EC1" w:rsidRDefault="00194B57" w:rsidP="00C9726D">
            <w:pPr>
              <w:spacing w:before="0"/>
              <w:ind w:left="0"/>
              <w:jc w:val="center"/>
            </w:pPr>
            <w:r>
              <w:t>3.2%</w:t>
            </w:r>
          </w:p>
        </w:tc>
      </w:tr>
      <w:tr w:rsidR="00194B57" w:rsidRPr="004C2412" w14:paraId="08EDDABD" w14:textId="77777777" w:rsidTr="00C9726D">
        <w:trPr>
          <w:trHeight w:val="344"/>
        </w:trPr>
        <w:tc>
          <w:tcPr>
            <w:tcW w:w="6070" w:type="dxa"/>
            <w:vAlign w:val="center"/>
          </w:tcPr>
          <w:p w14:paraId="19378097" w14:textId="77777777" w:rsidR="00194B57" w:rsidRPr="004C2412" w:rsidRDefault="00194B57" w:rsidP="00C9726D">
            <w:pPr>
              <w:spacing w:before="0"/>
              <w:ind w:left="0"/>
            </w:pPr>
            <w:r w:rsidRPr="004C2412">
              <w:t>Cultural/ language issues</w:t>
            </w:r>
          </w:p>
        </w:tc>
        <w:tc>
          <w:tcPr>
            <w:tcW w:w="4047" w:type="dxa"/>
            <w:tcBorders>
              <w:top w:val="single" w:sz="4" w:space="0" w:color="auto"/>
              <w:left w:val="nil"/>
              <w:bottom w:val="single" w:sz="4" w:space="0" w:color="auto"/>
              <w:right w:val="single" w:sz="4" w:space="0" w:color="auto"/>
            </w:tcBorders>
            <w:shd w:val="clear" w:color="auto" w:fill="auto"/>
            <w:vAlign w:val="center"/>
          </w:tcPr>
          <w:p w14:paraId="014CD024" w14:textId="5A95C0ED" w:rsidR="00194B57" w:rsidRPr="00B45BDF" w:rsidRDefault="00194B57" w:rsidP="00C9726D">
            <w:pPr>
              <w:spacing w:before="0"/>
              <w:ind w:left="0"/>
              <w:jc w:val="center"/>
            </w:pPr>
            <w:r>
              <w:t>2,618</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7AD999CA" w14:textId="6C614955" w:rsidR="00194B57" w:rsidRPr="00B45BDF" w:rsidRDefault="00194B57" w:rsidP="00C9726D">
            <w:pPr>
              <w:spacing w:before="0"/>
              <w:ind w:left="0"/>
              <w:jc w:val="center"/>
            </w:pPr>
            <w:r>
              <w:t>0.6%</w:t>
            </w:r>
          </w:p>
        </w:tc>
      </w:tr>
      <w:tr w:rsidR="00194B57" w:rsidRPr="004C2412" w14:paraId="57AC5B53" w14:textId="77777777" w:rsidTr="00C9726D">
        <w:trPr>
          <w:trHeight w:val="344"/>
        </w:trPr>
        <w:tc>
          <w:tcPr>
            <w:tcW w:w="6070" w:type="dxa"/>
            <w:vAlign w:val="center"/>
          </w:tcPr>
          <w:p w14:paraId="27ED4985" w14:textId="77777777" w:rsidR="00194B57" w:rsidRPr="004C2412" w:rsidRDefault="00194B57" w:rsidP="00C9726D">
            <w:pPr>
              <w:spacing w:before="0"/>
              <w:ind w:left="0"/>
            </w:pPr>
            <w:r w:rsidRPr="004C2412">
              <w:t>Job seeker considered work offered was unsuitable</w:t>
            </w:r>
          </w:p>
        </w:tc>
        <w:tc>
          <w:tcPr>
            <w:tcW w:w="4047" w:type="dxa"/>
            <w:tcBorders>
              <w:top w:val="single" w:sz="4" w:space="0" w:color="auto"/>
              <w:left w:val="nil"/>
              <w:bottom w:val="single" w:sz="4" w:space="0" w:color="auto"/>
              <w:right w:val="single" w:sz="4" w:space="0" w:color="auto"/>
            </w:tcBorders>
            <w:shd w:val="clear" w:color="auto" w:fill="auto"/>
            <w:vAlign w:val="center"/>
          </w:tcPr>
          <w:p w14:paraId="552A4A62" w14:textId="1C189CD3" w:rsidR="00194B57" w:rsidRPr="00B45BDF" w:rsidRDefault="00194B57" w:rsidP="00C9726D">
            <w:pPr>
              <w:spacing w:before="0"/>
              <w:ind w:left="0"/>
              <w:jc w:val="center"/>
            </w:pPr>
            <w:r>
              <w:t>76</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52746DFD" w14:textId="3C393FAD" w:rsidR="00194B57" w:rsidRPr="00B45BDF" w:rsidRDefault="00194B57" w:rsidP="00C9726D">
            <w:pPr>
              <w:spacing w:before="0"/>
              <w:ind w:left="0"/>
              <w:jc w:val="center"/>
            </w:pPr>
            <w:r>
              <w:t>0.0%</w:t>
            </w:r>
          </w:p>
        </w:tc>
      </w:tr>
      <w:tr w:rsidR="00194B57" w:rsidRPr="004C2412" w14:paraId="076D4B71" w14:textId="77777777" w:rsidTr="00C9726D">
        <w:trPr>
          <w:trHeight w:val="332"/>
        </w:trPr>
        <w:tc>
          <w:tcPr>
            <w:tcW w:w="6070" w:type="dxa"/>
            <w:vAlign w:val="center"/>
          </w:tcPr>
          <w:p w14:paraId="0A3865E2" w14:textId="77777777" w:rsidR="00194B57" w:rsidRPr="004C2412" w:rsidRDefault="00194B57" w:rsidP="00C9726D">
            <w:pPr>
              <w:spacing w:before="0"/>
              <w:ind w:left="0"/>
            </w:pPr>
            <w:r w:rsidRPr="004C2412">
              <w:t>No reason offered</w:t>
            </w:r>
          </w:p>
        </w:tc>
        <w:tc>
          <w:tcPr>
            <w:tcW w:w="4047" w:type="dxa"/>
            <w:tcBorders>
              <w:top w:val="single" w:sz="4" w:space="0" w:color="auto"/>
              <w:left w:val="nil"/>
              <w:bottom w:val="single" w:sz="4" w:space="0" w:color="auto"/>
              <w:right w:val="single" w:sz="4" w:space="0" w:color="auto"/>
            </w:tcBorders>
            <w:shd w:val="clear" w:color="auto" w:fill="auto"/>
            <w:vAlign w:val="center"/>
          </w:tcPr>
          <w:p w14:paraId="30A943B4" w14:textId="141567CE" w:rsidR="00194B57" w:rsidRPr="00B45BDF" w:rsidRDefault="00194B57" w:rsidP="00C9726D">
            <w:pPr>
              <w:spacing w:before="0"/>
              <w:ind w:left="0"/>
              <w:jc w:val="center"/>
            </w:pPr>
            <w:r>
              <w:t>1,328</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6897177F" w14:textId="3F48513F" w:rsidR="00194B57" w:rsidRPr="00B45BDF" w:rsidRDefault="00194B57" w:rsidP="00C9726D">
            <w:pPr>
              <w:spacing w:before="0"/>
              <w:ind w:left="0"/>
              <w:jc w:val="center"/>
            </w:pPr>
            <w:r>
              <w:t>0.3%</w:t>
            </w:r>
          </w:p>
        </w:tc>
      </w:tr>
      <w:tr w:rsidR="00194B57" w:rsidRPr="004C2412" w14:paraId="2F8E0B04" w14:textId="77777777" w:rsidTr="00C9726D">
        <w:trPr>
          <w:trHeight w:val="344"/>
        </w:trPr>
        <w:tc>
          <w:tcPr>
            <w:tcW w:w="6070" w:type="dxa"/>
            <w:vAlign w:val="center"/>
          </w:tcPr>
          <w:p w14:paraId="06F3DB89" w14:textId="77777777" w:rsidR="00194B57" w:rsidRPr="004C2412" w:rsidRDefault="00194B57" w:rsidP="00C9726D">
            <w:pPr>
              <w:spacing w:before="0"/>
              <w:ind w:left="0"/>
            </w:pPr>
            <w:r w:rsidRPr="004C2412">
              <w:t>Reason not recorded</w:t>
            </w:r>
          </w:p>
        </w:tc>
        <w:tc>
          <w:tcPr>
            <w:tcW w:w="4047" w:type="dxa"/>
            <w:tcBorders>
              <w:top w:val="single" w:sz="4" w:space="0" w:color="auto"/>
              <w:left w:val="nil"/>
              <w:bottom w:val="single" w:sz="4" w:space="0" w:color="auto"/>
              <w:right w:val="single" w:sz="4" w:space="0" w:color="auto"/>
            </w:tcBorders>
            <w:shd w:val="clear" w:color="auto" w:fill="auto"/>
            <w:vAlign w:val="center"/>
          </w:tcPr>
          <w:p w14:paraId="5439D40F" w14:textId="0ED441F1" w:rsidR="00194B57" w:rsidRPr="00B45BDF" w:rsidRDefault="00194B57" w:rsidP="00C9726D">
            <w:pPr>
              <w:spacing w:before="0"/>
              <w:ind w:left="0"/>
              <w:jc w:val="center"/>
            </w:pPr>
            <w:r>
              <w:t>1,521</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4989339E" w14:textId="283F44CA" w:rsidR="00194B57" w:rsidRPr="00B45BDF" w:rsidRDefault="00194B57" w:rsidP="00C9726D">
            <w:pPr>
              <w:spacing w:before="0"/>
              <w:ind w:left="0"/>
              <w:jc w:val="center"/>
            </w:pPr>
            <w:r>
              <w:t>0.4%</w:t>
            </w:r>
          </w:p>
        </w:tc>
      </w:tr>
      <w:tr w:rsidR="00194B57" w:rsidRPr="004C2412" w14:paraId="1C2A0C60" w14:textId="77777777" w:rsidTr="00C9726D">
        <w:trPr>
          <w:trHeight w:val="344"/>
        </w:trPr>
        <w:tc>
          <w:tcPr>
            <w:tcW w:w="6070" w:type="dxa"/>
            <w:vAlign w:val="center"/>
          </w:tcPr>
          <w:p w14:paraId="77497164" w14:textId="77777777" w:rsidR="00194B57" w:rsidRPr="004C2412" w:rsidRDefault="00194B57" w:rsidP="00C9726D">
            <w:pPr>
              <w:spacing w:before="0"/>
              <w:ind w:left="0"/>
            </w:pPr>
            <w:r w:rsidRPr="004C2412">
              <w:t>Reasonable excuse but no prior notice</w:t>
            </w:r>
          </w:p>
        </w:tc>
        <w:tc>
          <w:tcPr>
            <w:tcW w:w="4047" w:type="dxa"/>
            <w:tcBorders>
              <w:top w:val="single" w:sz="4" w:space="0" w:color="auto"/>
              <w:left w:val="nil"/>
              <w:bottom w:val="single" w:sz="4" w:space="0" w:color="auto"/>
              <w:right w:val="single" w:sz="4" w:space="0" w:color="auto"/>
            </w:tcBorders>
            <w:shd w:val="clear" w:color="auto" w:fill="auto"/>
            <w:vAlign w:val="center"/>
          </w:tcPr>
          <w:p w14:paraId="578FFA78" w14:textId="0C99FCCC" w:rsidR="00194B57" w:rsidRPr="00B45BDF" w:rsidRDefault="00194B57" w:rsidP="00C9726D">
            <w:pPr>
              <w:spacing w:before="0"/>
              <w:ind w:left="0"/>
              <w:jc w:val="center"/>
            </w:pPr>
            <w:r>
              <w:t>134,735</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4988B239" w14:textId="441DE53A" w:rsidR="00194B57" w:rsidRPr="00B45BDF" w:rsidRDefault="00194B57" w:rsidP="00C9726D">
            <w:pPr>
              <w:spacing w:before="0"/>
              <w:ind w:left="0"/>
              <w:jc w:val="center"/>
            </w:pPr>
            <w:r>
              <w:t>32.4%</w:t>
            </w:r>
          </w:p>
        </w:tc>
      </w:tr>
      <w:tr w:rsidR="00194B57" w:rsidRPr="004C2412" w14:paraId="01CC1D4C" w14:textId="77777777" w:rsidTr="00C9726D">
        <w:trPr>
          <w:trHeight w:val="332"/>
        </w:trPr>
        <w:tc>
          <w:tcPr>
            <w:tcW w:w="6070" w:type="dxa"/>
            <w:vAlign w:val="center"/>
          </w:tcPr>
          <w:p w14:paraId="14298649" w14:textId="77777777" w:rsidR="00194B57" w:rsidRPr="004C2412" w:rsidRDefault="00194B57" w:rsidP="00C9726D">
            <w:pPr>
              <w:spacing w:before="0"/>
              <w:ind w:left="0"/>
              <w:rPr>
                <w:b/>
              </w:rPr>
            </w:pPr>
            <w:r w:rsidRPr="004C2412">
              <w:rPr>
                <w:b/>
              </w:rPr>
              <w:t>Total</w:t>
            </w:r>
          </w:p>
        </w:tc>
        <w:tc>
          <w:tcPr>
            <w:tcW w:w="4047" w:type="dxa"/>
            <w:tcBorders>
              <w:top w:val="single" w:sz="4" w:space="0" w:color="auto"/>
              <w:left w:val="nil"/>
              <w:bottom w:val="single" w:sz="4" w:space="0" w:color="auto"/>
              <w:right w:val="single" w:sz="4" w:space="0" w:color="auto"/>
            </w:tcBorders>
            <w:shd w:val="clear" w:color="auto" w:fill="auto"/>
            <w:vAlign w:val="center"/>
          </w:tcPr>
          <w:p w14:paraId="181155F8" w14:textId="66D802D1" w:rsidR="00194B57" w:rsidRPr="00B45BDF" w:rsidRDefault="00194B57" w:rsidP="00C9726D">
            <w:pPr>
              <w:spacing w:before="0"/>
              <w:ind w:left="0"/>
              <w:jc w:val="center"/>
              <w:rPr>
                <w:b/>
              </w:rPr>
            </w:pPr>
            <w:r>
              <w:rPr>
                <w:b/>
              </w:rPr>
              <w:t>416,273</w:t>
            </w:r>
          </w:p>
        </w:tc>
        <w:tc>
          <w:tcPr>
            <w:tcW w:w="4912" w:type="dxa"/>
            <w:tcBorders>
              <w:top w:val="single" w:sz="4" w:space="0" w:color="auto"/>
              <w:left w:val="single" w:sz="4" w:space="0" w:color="auto"/>
              <w:bottom w:val="single" w:sz="4" w:space="0" w:color="auto"/>
              <w:right w:val="single" w:sz="4" w:space="0" w:color="auto"/>
            </w:tcBorders>
            <w:shd w:val="clear" w:color="auto" w:fill="auto"/>
            <w:vAlign w:val="center"/>
          </w:tcPr>
          <w:p w14:paraId="6C1BCE74" w14:textId="07238170" w:rsidR="00194B57" w:rsidRPr="00B45BDF" w:rsidRDefault="00194B57" w:rsidP="00C9726D">
            <w:pPr>
              <w:spacing w:before="0"/>
              <w:ind w:left="0"/>
              <w:jc w:val="center"/>
              <w:rPr>
                <w:b/>
              </w:rPr>
            </w:pPr>
            <w:r>
              <w:rPr>
                <w:b/>
              </w:rPr>
              <w:t>100%</w:t>
            </w:r>
          </w:p>
        </w:tc>
      </w:tr>
    </w:tbl>
    <w:p w14:paraId="360912D2" w14:textId="6B74EB71" w:rsidR="00B84812" w:rsidRPr="004C2412" w:rsidRDefault="00B84812" w:rsidP="00F65699">
      <w:pPr>
        <w:spacing w:after="240" w:line="240" w:lineRule="auto"/>
        <w:ind w:left="0"/>
      </w:pPr>
      <w:r w:rsidRPr="004C2412">
        <w:t>This table breaks down the data included in the “Participation Failure imposed’ column of the previous overview table by the reason the job seeker gave for their failure. Reasons are recorded where the failure is for non-attendance at appointments with the Department of Human Services, third party appointments, with employers or for non-attendance at activit</w:t>
      </w:r>
      <w:r w:rsidR="004322AF" w:rsidRPr="004C2412">
        <w:t>ies.</w:t>
      </w:r>
    </w:p>
    <w:p w14:paraId="360912D3" w14:textId="61A32290" w:rsidR="00B84812" w:rsidRPr="004C2412" w:rsidRDefault="00B84812" w:rsidP="00A609AA">
      <w:pPr>
        <w:spacing w:before="240" w:after="240" w:line="240" w:lineRule="auto"/>
        <w:ind w:left="0"/>
      </w:pPr>
      <w:r w:rsidRPr="004C2412">
        <w:t>Non</w:t>
      </w:r>
      <w:r w:rsidRPr="004C2412">
        <w:noBreakHyphen/>
        <w:t xml:space="preserve">Attendance Reports, which </w:t>
      </w:r>
      <w:proofErr w:type="gramStart"/>
      <w:r w:rsidRPr="004C2412">
        <w:t>are used</w:t>
      </w:r>
      <w:proofErr w:type="gramEnd"/>
      <w:r w:rsidRPr="004C2412">
        <w:t xml:space="preserve"> to report non-attendance at provider appointments, are not included in this table because they do not result in a Participation Failure under the compliance framework and simply delay a job seeker’s income support payment rather than resulting in a penalty. Because of this, the job seeker’s reason for non-attendance </w:t>
      </w:r>
      <w:proofErr w:type="gramStart"/>
      <w:r w:rsidRPr="004C2412">
        <w:t>is not sought or recorded by the Department of Human Services</w:t>
      </w:r>
      <w:proofErr w:type="gramEnd"/>
      <w:r w:rsidR="00680E4C" w:rsidRPr="004C2412">
        <w:t>.</w:t>
      </w:r>
    </w:p>
    <w:p w14:paraId="360912D4" w14:textId="77777777" w:rsidR="00B84812" w:rsidRPr="004C2412" w:rsidRDefault="00B84812" w:rsidP="00A609AA">
      <w:pPr>
        <w:spacing w:before="240" w:after="240" w:line="240" w:lineRule="auto"/>
        <w:ind w:left="0"/>
      </w:pPr>
      <w:r w:rsidRPr="004C2412">
        <w:t xml:space="preserve">The Department of Human Services is required under legislation to determine each case on its merits and to consider </w:t>
      </w:r>
      <w:proofErr w:type="gramStart"/>
      <w:r w:rsidRPr="004C2412">
        <w:t>whether or not</w:t>
      </w:r>
      <w:proofErr w:type="gramEnd"/>
      <w:r w:rsidRPr="004C2412">
        <w:t xml:space="preserve"> the job seeker’s personal circumstances affected their ability to comply or to give prior notice of their inability to comply for each incidence of non-attendance. This table gives the types of excuses that job seekers provided to the Department of Human Services and which the Department of Human Services did not accept as reasonable in the specific circumstances of each case. In these instances, the Department of Human Services’ decision-maker has determined that the circumstances described by the job seeker did not </w:t>
      </w:r>
      <w:proofErr w:type="gramStart"/>
      <w:r w:rsidRPr="004C2412">
        <w:t>impact</w:t>
      </w:r>
      <w:proofErr w:type="gramEnd"/>
      <w:r w:rsidRPr="004C2412">
        <w:t xml:space="preserve"> sufficiently on the job seeker’s capacity to attend the appointment or activity at the scheduled time or there is no evidence to support the job seeker’s reason for non-attendance or failure to give prior notice.</w:t>
      </w:r>
    </w:p>
    <w:p w14:paraId="360912D5" w14:textId="10C3A745" w:rsidR="00F41E83" w:rsidRPr="004C2412" w:rsidRDefault="007E15CD" w:rsidP="00A609AA">
      <w:pPr>
        <w:spacing w:before="240" w:after="240" w:line="240" w:lineRule="auto"/>
        <w:ind w:left="0"/>
        <w:rPr>
          <w:b/>
        </w:rPr>
      </w:pPr>
      <w:r w:rsidRPr="004C2412">
        <w:t>Note: Discrepancies may occur between the sum of component percentages and the total percentage, due to rounding.</w:t>
      </w:r>
      <w:r w:rsidR="00F41E83" w:rsidRPr="004C2412">
        <w:rPr>
          <w:b/>
        </w:rPr>
        <w:br w:type="page"/>
      </w:r>
    </w:p>
    <w:p w14:paraId="360912D6" w14:textId="4F2EB802" w:rsidR="0032395B" w:rsidRPr="004C2412" w:rsidRDefault="00970C39" w:rsidP="00A609AA">
      <w:pPr>
        <w:pStyle w:val="Heading3"/>
        <w:numPr>
          <w:ilvl w:val="0"/>
          <w:numId w:val="0"/>
        </w:numPr>
        <w:rPr>
          <w:rFonts w:eastAsiaTheme="minorHAnsi"/>
          <w:noProof/>
        </w:rPr>
      </w:pPr>
      <w:bookmarkStart w:id="25" w:name="_Toc526864432"/>
      <w:r w:rsidRPr="004C2412">
        <w:t>7</w:t>
      </w:r>
      <w:r w:rsidR="00C95ED9" w:rsidRPr="004C2412">
        <w:t xml:space="preserve"> </w:t>
      </w:r>
      <w:r w:rsidR="00194B57">
        <w:t>e</w:t>
      </w:r>
      <w:r w:rsidR="00A80828" w:rsidRPr="004C2412">
        <w:t xml:space="preserve"> </w:t>
      </w:r>
      <w:r w:rsidR="00C95ED9" w:rsidRPr="004C2412">
        <w:t>–</w:t>
      </w:r>
      <w:r w:rsidR="00A80828" w:rsidRPr="004C2412">
        <w:t xml:space="preserve"> </w:t>
      </w:r>
      <w:r w:rsidR="005D34B6" w:rsidRPr="004C2412">
        <w:t>Department of Human Services</w:t>
      </w:r>
      <w:r w:rsidR="0057581F" w:rsidRPr="004C2412">
        <w:t>’</w:t>
      </w:r>
      <w:r w:rsidR="0032395B" w:rsidRPr="004C2412">
        <w:t xml:space="preserve"> reasons for applying </w:t>
      </w:r>
      <w:r w:rsidR="00CC3CBA" w:rsidRPr="004C2412">
        <w:t xml:space="preserve">Provider Appointment Reports </w:t>
      </w:r>
      <w:r w:rsidR="009F5798" w:rsidRPr="004C2412">
        <w:t xml:space="preserve">or </w:t>
      </w:r>
      <w:r w:rsidR="0032395B" w:rsidRPr="004C2412">
        <w:t>Participation Reports</w:t>
      </w:r>
      <w:r w:rsidR="00257627" w:rsidRPr="004C2412">
        <w:t xml:space="preserve"> </w:t>
      </w:r>
      <w:r w:rsidR="00C95ED9" w:rsidRPr="004C2412">
        <w:rPr>
          <w:noProof/>
        </w:rPr>
        <w:t>-</w:t>
      </w:r>
      <w:r w:rsidR="00A740E3" w:rsidRPr="004C2412">
        <w:rPr>
          <w:rFonts w:eastAsiaTheme="minorHAnsi"/>
          <w:noProof/>
        </w:rPr>
        <w:t xml:space="preserve"> 1 </w:t>
      </w:r>
      <w:r w:rsidR="00D25FC5">
        <w:rPr>
          <w:rFonts w:eastAsiaTheme="minorHAnsi"/>
          <w:noProof/>
        </w:rPr>
        <w:t>April</w:t>
      </w:r>
      <w:r w:rsidR="00D25FC5" w:rsidRPr="004C2412">
        <w:rPr>
          <w:rFonts w:eastAsiaTheme="minorHAnsi"/>
          <w:noProof/>
        </w:rPr>
        <w:t xml:space="preserve"> </w:t>
      </w:r>
      <w:r w:rsidR="00A740E3" w:rsidRPr="004C2412">
        <w:rPr>
          <w:rFonts w:eastAsiaTheme="minorHAnsi"/>
          <w:noProof/>
        </w:rPr>
        <w:t>to 3</w:t>
      </w:r>
      <w:r w:rsidR="00D25FC5">
        <w:rPr>
          <w:rFonts w:eastAsiaTheme="minorHAnsi"/>
          <w:noProof/>
        </w:rPr>
        <w:t>0</w:t>
      </w:r>
      <w:r w:rsidR="00A740E3" w:rsidRPr="004C2412">
        <w:rPr>
          <w:rFonts w:eastAsiaTheme="minorHAnsi"/>
          <w:noProof/>
        </w:rPr>
        <w:t xml:space="preserve"> </w:t>
      </w:r>
      <w:r w:rsidR="00D25FC5">
        <w:rPr>
          <w:rFonts w:eastAsiaTheme="minorHAnsi"/>
          <w:noProof/>
        </w:rPr>
        <w:t>June</w:t>
      </w:r>
      <w:r w:rsidR="00312794" w:rsidRPr="004C2412">
        <w:rPr>
          <w:rFonts w:eastAsiaTheme="minorHAnsi"/>
          <w:noProof/>
        </w:rPr>
        <w:t xml:space="preserve"> </w:t>
      </w:r>
      <w:r w:rsidR="00A740E3" w:rsidRPr="004C2412">
        <w:rPr>
          <w:rFonts w:eastAsiaTheme="minorHAnsi"/>
          <w:noProof/>
        </w:rPr>
        <w:t>201</w:t>
      </w:r>
      <w:r w:rsidR="00312794" w:rsidRPr="004C2412">
        <w:rPr>
          <w:rFonts w:eastAsiaTheme="minorHAnsi"/>
          <w:noProof/>
        </w:rPr>
        <w:t>8</w:t>
      </w:r>
      <w:bookmarkEnd w:id="25"/>
    </w:p>
    <w:tbl>
      <w:tblPr>
        <w:tblStyle w:val="CenterAlignTable"/>
        <w:tblW w:w="14427" w:type="dxa"/>
        <w:tblInd w:w="-5" w:type="dxa"/>
        <w:tblLayout w:type="fixed"/>
        <w:tblLook w:val="06A0" w:firstRow="1" w:lastRow="0" w:firstColumn="1" w:lastColumn="0" w:noHBand="1" w:noVBand="1"/>
        <w:tblCaption w:val="DHS reasons for applying Participation Reports"/>
        <w:tblDescription w:val="DHS reasons for applying Participation Reports"/>
      </w:tblPr>
      <w:tblGrid>
        <w:gridCol w:w="1579"/>
        <w:gridCol w:w="1580"/>
        <w:gridCol w:w="1580"/>
        <w:gridCol w:w="1580"/>
        <w:gridCol w:w="1579"/>
        <w:gridCol w:w="1580"/>
        <w:gridCol w:w="1580"/>
        <w:gridCol w:w="1580"/>
        <w:gridCol w:w="1789"/>
      </w:tblGrid>
      <w:tr w:rsidR="00257627" w:rsidRPr="004C2412" w14:paraId="360912E2" w14:textId="77777777" w:rsidTr="00194B57">
        <w:trPr>
          <w:cnfStyle w:val="100000000000" w:firstRow="1" w:lastRow="0" w:firstColumn="0" w:lastColumn="0" w:oddVBand="0" w:evenVBand="0" w:oddHBand="0" w:evenHBand="0" w:firstRowFirstColumn="0" w:firstRowLastColumn="0" w:lastRowFirstColumn="0" w:lastRowLastColumn="0"/>
          <w:trHeight w:val="1109"/>
          <w:tblHeader/>
        </w:trPr>
        <w:tc>
          <w:tcPr>
            <w:cnfStyle w:val="001000000000" w:firstRow="0" w:lastRow="0" w:firstColumn="1" w:lastColumn="0" w:oddVBand="0" w:evenVBand="0" w:oddHBand="0" w:evenHBand="0" w:firstRowFirstColumn="0" w:firstRowLastColumn="0" w:lastRowFirstColumn="0" w:lastRowLastColumn="0"/>
            <w:tcW w:w="3159" w:type="dxa"/>
            <w:gridSpan w:val="2"/>
            <w:shd w:val="clear" w:color="auto" w:fill="auto"/>
            <w:vAlign w:val="center"/>
          </w:tcPr>
          <w:p w14:paraId="360912DD" w14:textId="4128D40C" w:rsidR="00257627" w:rsidRPr="004C2412" w:rsidRDefault="00257627" w:rsidP="00910012">
            <w:pPr>
              <w:spacing w:before="0"/>
              <w:ind w:left="0"/>
            </w:pPr>
            <w:r w:rsidRPr="004C2412">
              <w:t>Prior notice not given</w:t>
            </w:r>
            <w:r w:rsidR="00DB1FF9" w:rsidRPr="004C2412">
              <w:t xml:space="preserve"> -</w:t>
            </w:r>
            <w:r w:rsidRPr="004C2412">
              <w:t xml:space="preserve"> </w:t>
            </w:r>
            <w:r w:rsidR="00DB1FF9" w:rsidRPr="004C2412">
              <w:t>(</w:t>
            </w:r>
            <w:r w:rsidRPr="004C2412">
              <w:t>reasonable excuse</w:t>
            </w:r>
            <w:r w:rsidR="00DB1FF9" w:rsidRPr="004C2412">
              <w:t>)</w:t>
            </w:r>
          </w:p>
        </w:tc>
        <w:tc>
          <w:tcPr>
            <w:tcW w:w="3160" w:type="dxa"/>
            <w:gridSpan w:val="2"/>
            <w:vAlign w:val="center"/>
          </w:tcPr>
          <w:p w14:paraId="360912DE" w14:textId="514672FF"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Prior notice not given</w:t>
            </w:r>
            <w:r w:rsidR="00DB1FF9" w:rsidRPr="004C2412">
              <w:t xml:space="preserve"> -</w:t>
            </w:r>
            <w:r w:rsidRPr="004C2412">
              <w:t xml:space="preserve"> </w:t>
            </w:r>
            <w:r w:rsidR="00DB1FF9" w:rsidRPr="004C2412">
              <w:t>(</w:t>
            </w:r>
            <w:r w:rsidRPr="004C2412">
              <w:t>no reasonable excuse</w:t>
            </w:r>
            <w:r w:rsidR="00DB1FF9" w:rsidRPr="004C2412">
              <w:t>)</w:t>
            </w:r>
          </w:p>
        </w:tc>
        <w:tc>
          <w:tcPr>
            <w:tcW w:w="3159" w:type="dxa"/>
            <w:gridSpan w:val="2"/>
            <w:vAlign w:val="center"/>
          </w:tcPr>
          <w:p w14:paraId="360912DF" w14:textId="0D55F3F9"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Prior notice given</w:t>
            </w:r>
            <w:r w:rsidR="00DB1FF9" w:rsidRPr="004C2412">
              <w:t xml:space="preserve"> -</w:t>
            </w:r>
            <w:r w:rsidRPr="004C2412">
              <w:t xml:space="preserve"> but no reasonable excuse</w:t>
            </w:r>
          </w:p>
        </w:tc>
        <w:tc>
          <w:tcPr>
            <w:tcW w:w="3160" w:type="dxa"/>
            <w:gridSpan w:val="2"/>
            <w:vAlign w:val="center"/>
          </w:tcPr>
          <w:p w14:paraId="360912E0" w14:textId="77777777" w:rsidR="00257627" w:rsidRPr="004C2412" w:rsidRDefault="001975E9"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Prior notice not relevant – no reasonable excuse</w:t>
            </w:r>
          </w:p>
        </w:tc>
        <w:tc>
          <w:tcPr>
            <w:tcW w:w="1789" w:type="dxa"/>
            <w:vAlign w:val="center"/>
          </w:tcPr>
          <w:p w14:paraId="360912E1" w14:textId="081AF9EA" w:rsidR="00257627" w:rsidRPr="004C2412" w:rsidRDefault="001975E9"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Applied</w:t>
            </w:r>
          </w:p>
        </w:tc>
      </w:tr>
      <w:tr w:rsidR="00257627" w:rsidRPr="004C2412" w14:paraId="360912ED" w14:textId="77777777" w:rsidTr="00910012">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1579" w:type="dxa"/>
            <w:vAlign w:val="center"/>
          </w:tcPr>
          <w:p w14:paraId="360912E4" w14:textId="77777777" w:rsidR="00257627" w:rsidRPr="004C2412" w:rsidRDefault="00257627" w:rsidP="00910012">
            <w:pPr>
              <w:spacing w:before="0"/>
              <w:ind w:left="0"/>
            </w:pPr>
            <w:r w:rsidRPr="004C2412">
              <w:t>No.</w:t>
            </w:r>
          </w:p>
        </w:tc>
        <w:tc>
          <w:tcPr>
            <w:tcW w:w="1580" w:type="dxa"/>
            <w:vAlign w:val="center"/>
          </w:tcPr>
          <w:p w14:paraId="360912E5"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580" w:type="dxa"/>
            <w:vAlign w:val="center"/>
          </w:tcPr>
          <w:p w14:paraId="360912E6"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580" w:type="dxa"/>
            <w:vAlign w:val="center"/>
          </w:tcPr>
          <w:p w14:paraId="360912E7"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579" w:type="dxa"/>
            <w:vAlign w:val="center"/>
          </w:tcPr>
          <w:p w14:paraId="360912E8"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580" w:type="dxa"/>
            <w:vAlign w:val="center"/>
          </w:tcPr>
          <w:p w14:paraId="360912E9"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580" w:type="dxa"/>
            <w:vAlign w:val="center"/>
          </w:tcPr>
          <w:p w14:paraId="360912EA"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580" w:type="dxa"/>
            <w:vAlign w:val="center"/>
          </w:tcPr>
          <w:p w14:paraId="360912EB"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789" w:type="dxa"/>
            <w:vAlign w:val="center"/>
          </w:tcPr>
          <w:p w14:paraId="360912EC"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312794" w:rsidRPr="004C2412" w14:paraId="360912F8" w14:textId="77777777" w:rsidTr="00910012">
        <w:trPr>
          <w:trHeight w:val="454"/>
        </w:trPr>
        <w:tc>
          <w:tcPr>
            <w:cnfStyle w:val="001000000000" w:firstRow="0" w:lastRow="0" w:firstColumn="1" w:lastColumn="0" w:oddVBand="0" w:evenVBand="0" w:oddHBand="0" w:evenHBand="0" w:firstRowFirstColumn="0" w:firstRowLastColumn="0" w:lastRowFirstColumn="0" w:lastRowLastColumn="0"/>
            <w:tcW w:w="1579" w:type="dxa"/>
            <w:vAlign w:val="center"/>
          </w:tcPr>
          <w:p w14:paraId="360912EF" w14:textId="3C0027B0" w:rsidR="00312794" w:rsidRPr="004C2412" w:rsidRDefault="00312794" w:rsidP="00D25FC5">
            <w:pPr>
              <w:autoSpaceDE w:val="0"/>
              <w:autoSpaceDN w:val="0"/>
              <w:adjustRightInd w:val="0"/>
              <w:spacing w:before="0"/>
              <w:ind w:left="0"/>
              <w:rPr>
                <w:rFonts w:cs="Gill Sans MT"/>
                <w:b w:val="0"/>
                <w:color w:val="000000"/>
              </w:rPr>
            </w:pPr>
            <w:r w:rsidRPr="004C2412">
              <w:rPr>
                <w:b w:val="0"/>
              </w:rPr>
              <w:t>3</w:t>
            </w:r>
            <w:r w:rsidR="00D25FC5">
              <w:rPr>
                <w:b w:val="0"/>
              </w:rPr>
              <w:t>3,805</w:t>
            </w:r>
          </w:p>
        </w:tc>
        <w:tc>
          <w:tcPr>
            <w:tcW w:w="1580" w:type="dxa"/>
            <w:vAlign w:val="center"/>
          </w:tcPr>
          <w:p w14:paraId="360912F0" w14:textId="21389881" w:rsidR="00312794" w:rsidRPr="004C2412" w:rsidRDefault="00D25FC5" w:rsidP="0031279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34</w:t>
            </w:r>
            <w:r w:rsidR="00312794" w:rsidRPr="004C2412">
              <w:t>%</w:t>
            </w:r>
          </w:p>
        </w:tc>
        <w:tc>
          <w:tcPr>
            <w:tcW w:w="1580" w:type="dxa"/>
            <w:vAlign w:val="center"/>
          </w:tcPr>
          <w:p w14:paraId="360912F1" w14:textId="3173E4BB" w:rsidR="00312794" w:rsidRPr="004C2412" w:rsidRDefault="00D25FC5" w:rsidP="0031279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45,549</w:t>
            </w:r>
          </w:p>
        </w:tc>
        <w:tc>
          <w:tcPr>
            <w:tcW w:w="1580" w:type="dxa"/>
            <w:vAlign w:val="center"/>
          </w:tcPr>
          <w:p w14:paraId="360912F2" w14:textId="6764EC2A" w:rsidR="00312794" w:rsidRPr="004C2412" w:rsidRDefault="003F6AE0" w:rsidP="0031279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46</w:t>
            </w:r>
            <w:r w:rsidR="00312794" w:rsidRPr="004C2412">
              <w:t>%</w:t>
            </w:r>
          </w:p>
        </w:tc>
        <w:tc>
          <w:tcPr>
            <w:tcW w:w="1579" w:type="dxa"/>
            <w:vAlign w:val="center"/>
          </w:tcPr>
          <w:p w14:paraId="360912F3" w14:textId="1501EE35" w:rsidR="00312794" w:rsidRPr="004C2412" w:rsidRDefault="003F6AE0" w:rsidP="0031279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1,500</w:t>
            </w:r>
          </w:p>
        </w:tc>
        <w:tc>
          <w:tcPr>
            <w:tcW w:w="1580" w:type="dxa"/>
            <w:vAlign w:val="center"/>
          </w:tcPr>
          <w:p w14:paraId="360912F4" w14:textId="322DA4B9" w:rsidR="00312794" w:rsidRPr="004C2412" w:rsidRDefault="00F73EC1" w:rsidP="0031279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1</w:t>
            </w:r>
            <w:r w:rsidR="00312794" w:rsidRPr="004C2412">
              <w:t>%</w:t>
            </w:r>
          </w:p>
        </w:tc>
        <w:tc>
          <w:tcPr>
            <w:tcW w:w="1580" w:type="dxa"/>
            <w:vAlign w:val="center"/>
          </w:tcPr>
          <w:p w14:paraId="360912F5" w14:textId="3E7E75F7" w:rsidR="00312794" w:rsidRPr="004C2412" w:rsidRDefault="003F6AE0" w:rsidP="0031279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 xml:space="preserve"> 19,116</w:t>
            </w:r>
          </w:p>
        </w:tc>
        <w:tc>
          <w:tcPr>
            <w:tcW w:w="1580" w:type="dxa"/>
            <w:vAlign w:val="center"/>
          </w:tcPr>
          <w:p w14:paraId="360912F6" w14:textId="03365EF2" w:rsidR="00312794" w:rsidRPr="004C2412" w:rsidRDefault="00312794" w:rsidP="0031279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2412">
              <w:t>19%</w:t>
            </w:r>
          </w:p>
        </w:tc>
        <w:tc>
          <w:tcPr>
            <w:tcW w:w="1789" w:type="dxa"/>
            <w:vAlign w:val="center"/>
          </w:tcPr>
          <w:p w14:paraId="360912F7" w14:textId="52811695" w:rsidR="00312794" w:rsidRPr="004C2412" w:rsidRDefault="003F6AE0" w:rsidP="0031279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99,970</w:t>
            </w:r>
          </w:p>
        </w:tc>
      </w:tr>
    </w:tbl>
    <w:p w14:paraId="360912F9" w14:textId="3A68633A" w:rsidR="00B84812" w:rsidRPr="004C2412" w:rsidRDefault="00B84812" w:rsidP="00F65699">
      <w:pPr>
        <w:spacing w:after="0" w:line="240" w:lineRule="auto"/>
        <w:ind w:left="0"/>
      </w:pPr>
      <w:r w:rsidRPr="004C2412">
        <w:t xml:space="preserve">Where a job seeker is unable to attend an appointment or activity they must give prior notice of their reason for not being able to attend, where it is reasonable to expect them to do so. If they fail to do so, a penalty </w:t>
      </w:r>
      <w:proofErr w:type="gramStart"/>
      <w:r w:rsidRPr="004C2412">
        <w:t>may be applied</w:t>
      </w:r>
      <w:proofErr w:type="gramEnd"/>
      <w:r w:rsidRPr="004C2412">
        <w:t xml:space="preserve"> regardless of the reason for non-attendance. Job seekers can therefor</w:t>
      </w:r>
      <w:r w:rsidR="004322AF" w:rsidRPr="004C2412">
        <w:t>e have penalties applied where:</w:t>
      </w:r>
    </w:p>
    <w:p w14:paraId="0F43365E" w14:textId="77777777" w:rsidR="0071417E" w:rsidRPr="00F73EC1" w:rsidRDefault="00B84812" w:rsidP="0071417E">
      <w:pPr>
        <w:pStyle w:val="ListParagraph"/>
        <w:numPr>
          <w:ilvl w:val="0"/>
          <w:numId w:val="10"/>
        </w:numPr>
        <w:spacing w:before="0" w:after="0" w:line="240" w:lineRule="auto"/>
      </w:pPr>
      <w:r w:rsidRPr="004C2412">
        <w:t>they failed to give prior notice of a reasonable excuse for not attending an appointm</w:t>
      </w:r>
      <w:r w:rsidRPr="00F73EC1">
        <w:t>ent or activity</w:t>
      </w:r>
      <w:r w:rsidR="00DB1FF9" w:rsidRPr="00F73EC1">
        <w:t xml:space="preserve"> (i.e. columns 1 and 2)</w:t>
      </w:r>
      <w:r w:rsidRPr="00F73EC1">
        <w:t>;</w:t>
      </w:r>
    </w:p>
    <w:p w14:paraId="2B94A63A" w14:textId="77777777" w:rsidR="0071417E" w:rsidRPr="00F73EC1" w:rsidRDefault="00B84812" w:rsidP="0071417E">
      <w:pPr>
        <w:pStyle w:val="ListParagraph"/>
        <w:numPr>
          <w:ilvl w:val="0"/>
          <w:numId w:val="10"/>
        </w:numPr>
        <w:spacing w:before="0" w:after="0" w:line="240" w:lineRule="auto"/>
      </w:pPr>
      <w:r w:rsidRPr="00F73EC1">
        <w:t>they gave prior notice but their excuse was not accepted by the Department of Human Services as reasonable</w:t>
      </w:r>
      <w:r w:rsidR="00DB1FF9" w:rsidRPr="00F73EC1">
        <w:t xml:space="preserve"> (i.e. column 3)</w:t>
      </w:r>
      <w:r w:rsidR="004322AF" w:rsidRPr="00F73EC1">
        <w:t>; or</w:t>
      </w:r>
    </w:p>
    <w:p w14:paraId="360912FC" w14:textId="728D236B" w:rsidR="00B84812" w:rsidRPr="00F73EC1" w:rsidRDefault="00B84812" w:rsidP="0071417E">
      <w:pPr>
        <w:pStyle w:val="ListParagraph"/>
        <w:numPr>
          <w:ilvl w:val="0"/>
          <w:numId w:val="10"/>
        </w:numPr>
        <w:spacing w:before="0" w:after="0" w:line="240" w:lineRule="auto"/>
      </w:pPr>
      <w:proofErr w:type="gramStart"/>
      <w:r w:rsidRPr="00F73EC1">
        <w:t>where</w:t>
      </w:r>
      <w:proofErr w:type="gramEnd"/>
      <w:r w:rsidRPr="00F73EC1">
        <w:t xml:space="preserve"> there was no requirement to give prior notice (because the failure did not relate to attendance - for example, a failure to enter into a Job Plan) but the job seeker had no reasonable excuse for their action</w:t>
      </w:r>
      <w:r w:rsidR="00DB1FF9" w:rsidRPr="00F73EC1">
        <w:t xml:space="preserve"> (i.e. column 4)</w:t>
      </w:r>
      <w:r w:rsidRPr="00F73EC1">
        <w:t>.</w:t>
      </w:r>
    </w:p>
    <w:p w14:paraId="360912FD" w14:textId="2DC7D613" w:rsidR="00B84812" w:rsidRPr="004C2412" w:rsidRDefault="00B84812" w:rsidP="00A609AA">
      <w:pPr>
        <w:spacing w:before="240" w:after="240" w:line="240" w:lineRule="auto"/>
        <w:ind w:left="0"/>
      </w:pPr>
      <w:r w:rsidRPr="00F73EC1">
        <w:t xml:space="preserve">Non-Attendance Reports, which </w:t>
      </w:r>
      <w:proofErr w:type="gramStart"/>
      <w:r w:rsidRPr="00F73EC1">
        <w:t>are used</w:t>
      </w:r>
      <w:proofErr w:type="gramEnd"/>
      <w:r w:rsidRPr="00F73EC1">
        <w:t xml:space="preserve"> to report non-attendance at provider appointments</w:t>
      </w:r>
      <w:r w:rsidRPr="004C2412">
        <w:t xml:space="preserve"> (which constitute the bulk of appointment types) are not included in this table because they do not result in a Participation Failure under the compliance framework. </w:t>
      </w:r>
      <w:proofErr w:type="gramStart"/>
      <w:r w:rsidRPr="004C2412">
        <w:t>Instead</w:t>
      </w:r>
      <w:proofErr w:type="gramEnd"/>
      <w:r w:rsidRPr="004C2412">
        <w:t xml:space="preserve"> they delay a job seeker’s income support payment rather than result in a penalty. Because of this, whether or not the job seeker had a reasonable excuse </w:t>
      </w:r>
      <w:proofErr w:type="gramStart"/>
      <w:r w:rsidRPr="004C2412">
        <w:t>is not investigated or recorded by the Department of Human Services</w:t>
      </w:r>
      <w:proofErr w:type="gramEnd"/>
      <w:r w:rsidRPr="004C2412">
        <w:t>.</w:t>
      </w:r>
    </w:p>
    <w:p w14:paraId="360912FE" w14:textId="36D66401" w:rsidR="00DE0793" w:rsidRDefault="00B84812" w:rsidP="00A609AA">
      <w:pPr>
        <w:spacing w:before="240" w:after="240" w:line="240" w:lineRule="auto"/>
        <w:ind w:left="0"/>
      </w:pPr>
      <w:r w:rsidRPr="004C2412">
        <w:t xml:space="preserve">Since 1 July 2015, a provider will submit a Provider Appointment Report if they want to recommend to the Department of Human Services that a penalty be applied for the job seeker’s non-attendance. The Department of Human Services will investigate the job seeker’s non-compliance and determine if a Non-Attendance Failure </w:t>
      </w:r>
      <w:proofErr w:type="gramStart"/>
      <w:r w:rsidRPr="004C2412">
        <w:t>should be applied</w:t>
      </w:r>
      <w:proofErr w:type="gramEnd"/>
      <w:r w:rsidRPr="004C2412">
        <w:t>.</w:t>
      </w:r>
    </w:p>
    <w:p w14:paraId="59C74969" w14:textId="77777777" w:rsidR="00DE0793" w:rsidRDefault="00DE0793">
      <w:pPr>
        <w:spacing w:before="0"/>
        <w:ind w:left="0"/>
      </w:pPr>
      <w:r>
        <w:br w:type="page"/>
      </w:r>
    </w:p>
    <w:p w14:paraId="00AD04C5" w14:textId="539506AC" w:rsidR="00194B57" w:rsidRPr="004C2412" w:rsidRDefault="00194B57" w:rsidP="00194B57">
      <w:pPr>
        <w:pStyle w:val="Heading3"/>
        <w:numPr>
          <w:ilvl w:val="0"/>
          <w:numId w:val="0"/>
        </w:numPr>
        <w:rPr>
          <w:rFonts w:eastAsiaTheme="minorHAnsi"/>
          <w:noProof/>
        </w:rPr>
      </w:pPr>
      <w:bookmarkStart w:id="26" w:name="_Toc526864433"/>
      <w:r w:rsidRPr="004C2412">
        <w:t xml:space="preserve">7 </w:t>
      </w:r>
      <w:r>
        <w:t>f</w:t>
      </w:r>
      <w:r w:rsidRPr="004C2412">
        <w:t xml:space="preserve"> – Department of Human Services’ reasons for applying Provider Appointment Reports or Participation Reports </w:t>
      </w:r>
      <w:r w:rsidRPr="004C2412">
        <w:rPr>
          <w:noProof/>
        </w:rPr>
        <w:t>-</w:t>
      </w:r>
      <w:r w:rsidRPr="004C2412">
        <w:rPr>
          <w:rFonts w:eastAsiaTheme="minorHAnsi"/>
          <w:noProof/>
        </w:rPr>
        <w:t xml:space="preserve"> 1 </w:t>
      </w:r>
      <w:r>
        <w:rPr>
          <w:rFonts w:eastAsiaTheme="minorHAnsi"/>
          <w:noProof/>
        </w:rPr>
        <w:t>July 2017</w:t>
      </w:r>
      <w:r w:rsidRPr="004C2412">
        <w:rPr>
          <w:rFonts w:eastAsiaTheme="minorHAnsi"/>
          <w:noProof/>
        </w:rPr>
        <w:t xml:space="preserve"> to 3</w:t>
      </w:r>
      <w:r>
        <w:rPr>
          <w:rFonts w:eastAsiaTheme="minorHAnsi"/>
          <w:noProof/>
        </w:rPr>
        <w:t>0</w:t>
      </w:r>
      <w:r w:rsidRPr="004C2412">
        <w:rPr>
          <w:rFonts w:eastAsiaTheme="minorHAnsi"/>
          <w:noProof/>
        </w:rPr>
        <w:t xml:space="preserve"> </w:t>
      </w:r>
      <w:r>
        <w:rPr>
          <w:rFonts w:eastAsiaTheme="minorHAnsi"/>
          <w:noProof/>
        </w:rPr>
        <w:t>June</w:t>
      </w:r>
      <w:r w:rsidRPr="004C2412">
        <w:rPr>
          <w:rFonts w:eastAsiaTheme="minorHAnsi"/>
          <w:noProof/>
        </w:rPr>
        <w:t xml:space="preserve"> 2018</w:t>
      </w:r>
      <w:bookmarkEnd w:id="26"/>
    </w:p>
    <w:tbl>
      <w:tblPr>
        <w:tblStyle w:val="CenterAlignTable"/>
        <w:tblW w:w="14427" w:type="dxa"/>
        <w:tblInd w:w="-5" w:type="dxa"/>
        <w:tblLayout w:type="fixed"/>
        <w:tblLook w:val="06A0" w:firstRow="1" w:lastRow="0" w:firstColumn="1" w:lastColumn="0" w:noHBand="1" w:noVBand="1"/>
        <w:tblCaption w:val="DHS reasons for applying Participation Reports"/>
        <w:tblDescription w:val="DHS reasons for applying Participation Reports"/>
      </w:tblPr>
      <w:tblGrid>
        <w:gridCol w:w="1579"/>
        <w:gridCol w:w="1580"/>
        <w:gridCol w:w="1580"/>
        <w:gridCol w:w="1580"/>
        <w:gridCol w:w="1579"/>
        <w:gridCol w:w="1580"/>
        <w:gridCol w:w="1580"/>
        <w:gridCol w:w="1580"/>
        <w:gridCol w:w="1789"/>
      </w:tblGrid>
      <w:tr w:rsidR="00194B57" w:rsidRPr="004C2412" w14:paraId="5DA77DE4" w14:textId="77777777" w:rsidTr="00BA4C67">
        <w:trPr>
          <w:cnfStyle w:val="100000000000" w:firstRow="1" w:lastRow="0" w:firstColumn="0" w:lastColumn="0" w:oddVBand="0" w:evenVBand="0" w:oddHBand="0" w:evenHBand="0" w:firstRowFirstColumn="0" w:firstRowLastColumn="0" w:lastRowFirstColumn="0" w:lastRowLastColumn="0"/>
          <w:trHeight w:val="1109"/>
          <w:tblHeader/>
        </w:trPr>
        <w:tc>
          <w:tcPr>
            <w:cnfStyle w:val="001000000000" w:firstRow="0" w:lastRow="0" w:firstColumn="1" w:lastColumn="0" w:oddVBand="0" w:evenVBand="0" w:oddHBand="0" w:evenHBand="0" w:firstRowFirstColumn="0" w:firstRowLastColumn="0" w:lastRowFirstColumn="0" w:lastRowLastColumn="0"/>
            <w:tcW w:w="3159" w:type="dxa"/>
            <w:gridSpan w:val="2"/>
            <w:shd w:val="clear" w:color="auto" w:fill="auto"/>
            <w:vAlign w:val="center"/>
          </w:tcPr>
          <w:p w14:paraId="089CAA0C" w14:textId="77777777" w:rsidR="00194B57" w:rsidRPr="004C2412" w:rsidRDefault="00194B57" w:rsidP="00C9726D">
            <w:pPr>
              <w:spacing w:before="0"/>
              <w:ind w:left="0"/>
            </w:pPr>
            <w:r w:rsidRPr="004C2412">
              <w:t>Prior notice not given - (reasonable excuse)</w:t>
            </w:r>
          </w:p>
        </w:tc>
        <w:tc>
          <w:tcPr>
            <w:tcW w:w="3160" w:type="dxa"/>
            <w:gridSpan w:val="2"/>
            <w:vAlign w:val="center"/>
          </w:tcPr>
          <w:p w14:paraId="7D3455D7"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Prior notice not given - (no reasonable excuse)</w:t>
            </w:r>
          </w:p>
        </w:tc>
        <w:tc>
          <w:tcPr>
            <w:tcW w:w="3159" w:type="dxa"/>
            <w:gridSpan w:val="2"/>
            <w:vAlign w:val="center"/>
          </w:tcPr>
          <w:p w14:paraId="5BCE0962"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Prior notice given - but no reasonable excuse</w:t>
            </w:r>
          </w:p>
        </w:tc>
        <w:tc>
          <w:tcPr>
            <w:tcW w:w="3160" w:type="dxa"/>
            <w:gridSpan w:val="2"/>
            <w:vAlign w:val="center"/>
          </w:tcPr>
          <w:p w14:paraId="0A4AE8F8"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Prior notice not relevant – no reasonable excuse</w:t>
            </w:r>
          </w:p>
        </w:tc>
        <w:tc>
          <w:tcPr>
            <w:tcW w:w="1789" w:type="dxa"/>
            <w:vAlign w:val="center"/>
          </w:tcPr>
          <w:p w14:paraId="76D828F0"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Total Applied</w:t>
            </w:r>
          </w:p>
        </w:tc>
      </w:tr>
      <w:tr w:rsidR="00194B57" w:rsidRPr="004C2412" w14:paraId="143B8093" w14:textId="77777777" w:rsidTr="00C9726D">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1579" w:type="dxa"/>
            <w:vAlign w:val="center"/>
          </w:tcPr>
          <w:p w14:paraId="7D9573A8" w14:textId="77777777" w:rsidR="00194B57" w:rsidRPr="004C2412" w:rsidRDefault="00194B57" w:rsidP="00C9726D">
            <w:pPr>
              <w:spacing w:before="0"/>
              <w:ind w:left="0"/>
            </w:pPr>
            <w:r w:rsidRPr="004C2412">
              <w:t>No.</w:t>
            </w:r>
          </w:p>
        </w:tc>
        <w:tc>
          <w:tcPr>
            <w:tcW w:w="1580" w:type="dxa"/>
            <w:vAlign w:val="center"/>
          </w:tcPr>
          <w:p w14:paraId="69830072"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580" w:type="dxa"/>
            <w:vAlign w:val="center"/>
          </w:tcPr>
          <w:p w14:paraId="61B4FE89"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580" w:type="dxa"/>
            <w:vAlign w:val="center"/>
          </w:tcPr>
          <w:p w14:paraId="7795C7E6"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579" w:type="dxa"/>
            <w:vAlign w:val="center"/>
          </w:tcPr>
          <w:p w14:paraId="4822C59B"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580" w:type="dxa"/>
            <w:vAlign w:val="center"/>
          </w:tcPr>
          <w:p w14:paraId="7903994E"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580" w:type="dxa"/>
            <w:vAlign w:val="center"/>
          </w:tcPr>
          <w:p w14:paraId="1A1D48EA"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580" w:type="dxa"/>
            <w:vAlign w:val="center"/>
          </w:tcPr>
          <w:p w14:paraId="7082EAFB"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789" w:type="dxa"/>
            <w:vAlign w:val="center"/>
          </w:tcPr>
          <w:p w14:paraId="697DA54E" w14:textId="77777777" w:rsidR="00194B57" w:rsidRPr="004C2412" w:rsidRDefault="00194B5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A31277" w:rsidRPr="004C2412" w14:paraId="731D8FE2" w14:textId="77777777" w:rsidTr="00C9726D">
        <w:trPr>
          <w:trHeight w:val="454"/>
        </w:trPr>
        <w:tc>
          <w:tcPr>
            <w:cnfStyle w:val="001000000000" w:firstRow="0" w:lastRow="0" w:firstColumn="1" w:lastColumn="0" w:oddVBand="0" w:evenVBand="0" w:oddHBand="0" w:evenHBand="0" w:firstRowFirstColumn="0" w:firstRowLastColumn="0" w:lastRowFirstColumn="0" w:lastRowLastColumn="0"/>
            <w:tcW w:w="1579" w:type="dxa"/>
            <w:vAlign w:val="center"/>
          </w:tcPr>
          <w:p w14:paraId="49C035B5" w14:textId="6D94F240" w:rsidR="00A31277" w:rsidRPr="00A31277" w:rsidRDefault="00A31277" w:rsidP="00A31277">
            <w:pPr>
              <w:autoSpaceDE w:val="0"/>
              <w:autoSpaceDN w:val="0"/>
              <w:adjustRightInd w:val="0"/>
              <w:spacing w:before="0"/>
              <w:ind w:left="0"/>
              <w:rPr>
                <w:rFonts w:cs="Gill Sans MT"/>
                <w:b w:val="0"/>
                <w:color w:val="000000"/>
              </w:rPr>
            </w:pPr>
            <w:r w:rsidRPr="00A31277">
              <w:rPr>
                <w:rFonts w:cs="Gill Sans MT"/>
                <w:b w:val="0"/>
                <w:color w:val="000000"/>
              </w:rPr>
              <w:t>134,735</w:t>
            </w:r>
          </w:p>
        </w:tc>
        <w:tc>
          <w:tcPr>
            <w:tcW w:w="1580" w:type="dxa"/>
            <w:vAlign w:val="center"/>
          </w:tcPr>
          <w:p w14:paraId="6DD94455" w14:textId="061E686E"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32%</w:t>
            </w:r>
          </w:p>
        </w:tc>
        <w:tc>
          <w:tcPr>
            <w:tcW w:w="1580" w:type="dxa"/>
            <w:vAlign w:val="center"/>
          </w:tcPr>
          <w:p w14:paraId="431F5A14" w14:textId="5798FC15"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196,904</w:t>
            </w:r>
          </w:p>
        </w:tc>
        <w:tc>
          <w:tcPr>
            <w:tcW w:w="1580" w:type="dxa"/>
            <w:vAlign w:val="center"/>
          </w:tcPr>
          <w:p w14:paraId="24CF8C01" w14:textId="230B8D58"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47%</w:t>
            </w:r>
          </w:p>
        </w:tc>
        <w:tc>
          <w:tcPr>
            <w:tcW w:w="1579" w:type="dxa"/>
            <w:vAlign w:val="center"/>
          </w:tcPr>
          <w:p w14:paraId="493ADAEE" w14:textId="0D3A2909"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6,941</w:t>
            </w:r>
          </w:p>
        </w:tc>
        <w:tc>
          <w:tcPr>
            <w:tcW w:w="1580" w:type="dxa"/>
            <w:vAlign w:val="center"/>
          </w:tcPr>
          <w:p w14:paraId="71EDAAC2" w14:textId="0B44FD5D"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2</w:t>
            </w:r>
            <w:r w:rsidRPr="00FE7CCB">
              <w:rPr>
                <w:rFonts w:cs="Gill Sans MT"/>
                <w:color w:val="000000"/>
              </w:rPr>
              <w:t>%</w:t>
            </w:r>
          </w:p>
        </w:tc>
        <w:tc>
          <w:tcPr>
            <w:tcW w:w="1580" w:type="dxa"/>
            <w:vAlign w:val="center"/>
          </w:tcPr>
          <w:p w14:paraId="45BCCD90" w14:textId="70B88A03"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77,693</w:t>
            </w:r>
          </w:p>
        </w:tc>
        <w:tc>
          <w:tcPr>
            <w:tcW w:w="1580" w:type="dxa"/>
            <w:vAlign w:val="center"/>
          </w:tcPr>
          <w:p w14:paraId="7726D52A" w14:textId="72937BE4"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19</w:t>
            </w:r>
            <w:r w:rsidRPr="00FE7CCB">
              <w:rPr>
                <w:rFonts w:cs="Gill Sans MT"/>
                <w:color w:val="000000"/>
              </w:rPr>
              <w:t>%</w:t>
            </w:r>
          </w:p>
        </w:tc>
        <w:tc>
          <w:tcPr>
            <w:tcW w:w="1789" w:type="dxa"/>
            <w:vAlign w:val="center"/>
          </w:tcPr>
          <w:p w14:paraId="27CCB3E1" w14:textId="1F04BBC3"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416,273</w:t>
            </w:r>
          </w:p>
        </w:tc>
      </w:tr>
    </w:tbl>
    <w:p w14:paraId="58577BBC" w14:textId="77777777" w:rsidR="00DE0793" w:rsidRPr="004C2412" w:rsidRDefault="00DE0793" w:rsidP="00DE0793">
      <w:pPr>
        <w:spacing w:after="0" w:line="240" w:lineRule="auto"/>
        <w:ind w:left="0"/>
      </w:pPr>
      <w:r w:rsidRPr="004C2412">
        <w:t xml:space="preserve">Where a job seeker is unable to attend an appointment or activity they must give prior notice of their reason for not being able to attend, where it is reasonable to expect them to do so. If they fail to do so, a penalty </w:t>
      </w:r>
      <w:proofErr w:type="gramStart"/>
      <w:r w:rsidRPr="004C2412">
        <w:t>may be applied</w:t>
      </w:r>
      <w:proofErr w:type="gramEnd"/>
      <w:r w:rsidRPr="004C2412">
        <w:t xml:space="preserve"> regardless of the reason for non-attendance. Job seekers can therefore have penalties applied where:</w:t>
      </w:r>
    </w:p>
    <w:p w14:paraId="2F32BC7B" w14:textId="77777777" w:rsidR="00DE0793" w:rsidRPr="00F73EC1" w:rsidRDefault="00DE0793" w:rsidP="00DE0793">
      <w:pPr>
        <w:pStyle w:val="ListParagraph"/>
        <w:numPr>
          <w:ilvl w:val="0"/>
          <w:numId w:val="10"/>
        </w:numPr>
        <w:spacing w:before="0" w:after="0" w:line="240" w:lineRule="auto"/>
      </w:pPr>
      <w:r w:rsidRPr="004C2412">
        <w:t>they failed to give prior notice of a reasonable excuse for not attending an appointm</w:t>
      </w:r>
      <w:r w:rsidRPr="00F73EC1">
        <w:t>ent or activity (i.e. columns 1 and 2);</w:t>
      </w:r>
    </w:p>
    <w:p w14:paraId="487584B6" w14:textId="77777777" w:rsidR="00DE0793" w:rsidRPr="00F73EC1" w:rsidRDefault="00DE0793" w:rsidP="00DE0793">
      <w:pPr>
        <w:pStyle w:val="ListParagraph"/>
        <w:numPr>
          <w:ilvl w:val="0"/>
          <w:numId w:val="10"/>
        </w:numPr>
        <w:spacing w:before="0" w:after="0" w:line="240" w:lineRule="auto"/>
      </w:pPr>
      <w:r w:rsidRPr="00F73EC1">
        <w:t>they gave prior notice but their excuse was not accepted by the Department of Human Services as reasonable (i.e. column 3); or</w:t>
      </w:r>
    </w:p>
    <w:p w14:paraId="5F7125A3" w14:textId="77777777" w:rsidR="00DE0793" w:rsidRPr="00F73EC1" w:rsidRDefault="00DE0793" w:rsidP="00DE0793">
      <w:pPr>
        <w:pStyle w:val="ListParagraph"/>
        <w:numPr>
          <w:ilvl w:val="0"/>
          <w:numId w:val="10"/>
        </w:numPr>
        <w:spacing w:before="0" w:after="0" w:line="240" w:lineRule="auto"/>
      </w:pPr>
      <w:proofErr w:type="gramStart"/>
      <w:r w:rsidRPr="00F73EC1">
        <w:t>where</w:t>
      </w:r>
      <w:proofErr w:type="gramEnd"/>
      <w:r w:rsidRPr="00F73EC1">
        <w:t xml:space="preserve"> there was no requirement to give prior notice (because the failure did not relate to attendance - for example, a failure to enter into a Job Plan) but the job seeker had no reasonable excuse for their action (i.e. column 4).</w:t>
      </w:r>
    </w:p>
    <w:p w14:paraId="12BDD128" w14:textId="77777777" w:rsidR="00DE0793" w:rsidRPr="004C2412" w:rsidRDefault="00DE0793" w:rsidP="00DE0793">
      <w:pPr>
        <w:spacing w:before="240" w:after="240" w:line="240" w:lineRule="auto"/>
        <w:ind w:left="0"/>
      </w:pPr>
      <w:r w:rsidRPr="00F73EC1">
        <w:t xml:space="preserve">Non-Attendance Reports, which </w:t>
      </w:r>
      <w:proofErr w:type="gramStart"/>
      <w:r w:rsidRPr="00F73EC1">
        <w:t>are used</w:t>
      </w:r>
      <w:proofErr w:type="gramEnd"/>
      <w:r w:rsidRPr="00F73EC1">
        <w:t xml:space="preserve"> to report non-attendance at provider appointments</w:t>
      </w:r>
      <w:r w:rsidRPr="004C2412">
        <w:t xml:space="preserve"> (which constitute the bulk of appointment types) are not included in this table because they do not result in a Participation Failure under the compliance framework. </w:t>
      </w:r>
      <w:proofErr w:type="gramStart"/>
      <w:r w:rsidRPr="004C2412">
        <w:t>Instead</w:t>
      </w:r>
      <w:proofErr w:type="gramEnd"/>
      <w:r w:rsidRPr="004C2412">
        <w:t xml:space="preserve"> they delay a job seeker’s income support payment rather than result in a penalty. Because of this, whether or not the job seeker had a reasonable excuse </w:t>
      </w:r>
      <w:proofErr w:type="gramStart"/>
      <w:r w:rsidRPr="004C2412">
        <w:t>is not investigated or recorded by the Department of Human Services</w:t>
      </w:r>
      <w:proofErr w:type="gramEnd"/>
      <w:r w:rsidRPr="004C2412">
        <w:t>.</w:t>
      </w:r>
    </w:p>
    <w:p w14:paraId="170DB770" w14:textId="77777777" w:rsidR="00DE0793" w:rsidRDefault="00DE0793" w:rsidP="00DE0793">
      <w:pPr>
        <w:spacing w:before="240" w:after="240" w:line="240" w:lineRule="auto"/>
        <w:ind w:left="0"/>
      </w:pPr>
      <w:r w:rsidRPr="004C2412">
        <w:t xml:space="preserve">Since 1 July 2015, a provider will submit a Provider Appointment Report if they want to recommend to the Department of Human Services that a penalty be applied for the job seeker’s non-attendance. The Department of Human Services will investigate the job seeker’s non-compliance and determine if a Non-Attendance Failure </w:t>
      </w:r>
      <w:proofErr w:type="gramStart"/>
      <w:r w:rsidRPr="004C2412">
        <w:t>should be applied</w:t>
      </w:r>
      <w:proofErr w:type="gramEnd"/>
      <w:r w:rsidRPr="004C2412">
        <w:t>.</w:t>
      </w:r>
    </w:p>
    <w:p w14:paraId="379C4DD7" w14:textId="77777777" w:rsidR="00194B57" w:rsidRPr="004C2412" w:rsidRDefault="00194B57" w:rsidP="00A609AA">
      <w:pPr>
        <w:spacing w:before="240" w:after="240" w:line="240" w:lineRule="auto"/>
        <w:ind w:left="0"/>
      </w:pPr>
    </w:p>
    <w:p w14:paraId="46573F02" w14:textId="77777777" w:rsidR="00B51AA6" w:rsidRPr="004C2412" w:rsidRDefault="00B51AA6" w:rsidP="00A609AA">
      <w:pPr>
        <w:spacing w:before="0"/>
        <w:ind w:left="0"/>
      </w:pPr>
      <w:r w:rsidRPr="004C2412">
        <w:br w:type="page"/>
      </w:r>
    </w:p>
    <w:p w14:paraId="36091305" w14:textId="126A9709" w:rsidR="00366AB0" w:rsidRPr="004C2412" w:rsidRDefault="00A80828" w:rsidP="00A609AA">
      <w:pPr>
        <w:pStyle w:val="Heading3"/>
        <w:numPr>
          <w:ilvl w:val="0"/>
          <w:numId w:val="0"/>
        </w:numPr>
      </w:pPr>
      <w:bookmarkStart w:id="27" w:name="_Toc526864434"/>
      <w:r w:rsidRPr="004C2412">
        <w:t>7</w:t>
      </w:r>
      <w:r w:rsidR="00C95ED9" w:rsidRPr="004C2412">
        <w:t xml:space="preserve"> </w:t>
      </w:r>
      <w:r w:rsidR="00A31277">
        <w:t>g</w:t>
      </w:r>
      <w:r w:rsidRPr="004C2412">
        <w:t xml:space="preserve"> </w:t>
      </w:r>
      <w:r w:rsidR="00C95ED9" w:rsidRPr="004C2412">
        <w:t>–</w:t>
      </w:r>
      <w:r w:rsidRPr="004C2412">
        <w:t xml:space="preserve"> </w:t>
      </w:r>
      <w:r w:rsidR="005D34B6" w:rsidRPr="004C2412">
        <w:t>Department of Human Services</w:t>
      </w:r>
      <w:r w:rsidR="0057581F" w:rsidRPr="004C2412">
        <w:t>’</w:t>
      </w:r>
      <w:r w:rsidR="0032395B" w:rsidRPr="004C2412">
        <w:t xml:space="preserve"> reasons fo</w:t>
      </w:r>
      <w:r w:rsidR="0087481C" w:rsidRPr="004C2412">
        <w:t>r</w:t>
      </w:r>
      <w:r w:rsidR="0032395B" w:rsidRPr="004C2412">
        <w:t xml:space="preserve"> rejecting </w:t>
      </w:r>
      <w:r w:rsidR="00CC3CBA" w:rsidRPr="004C2412">
        <w:t xml:space="preserve">Provider Appointment Reports </w:t>
      </w:r>
      <w:r w:rsidR="000C5CB6" w:rsidRPr="004C2412">
        <w:t xml:space="preserve">and </w:t>
      </w:r>
      <w:r w:rsidR="0032395B" w:rsidRPr="004C2412">
        <w:t>Participation Reports</w:t>
      </w:r>
      <w:r w:rsidR="00257627" w:rsidRPr="004C2412">
        <w:t xml:space="preserve"> </w:t>
      </w:r>
      <w:r w:rsidR="00C95ED9" w:rsidRPr="004C2412">
        <w:rPr>
          <w:noProof/>
        </w:rPr>
        <w:t>-</w:t>
      </w:r>
      <w:r w:rsidR="00DB1FF9" w:rsidRPr="004C2412">
        <w:rPr>
          <w:rFonts w:eastAsiaTheme="minorHAnsi"/>
          <w:noProof/>
        </w:rPr>
        <w:t xml:space="preserve"> 1 </w:t>
      </w:r>
      <w:r w:rsidR="003F6AE0">
        <w:rPr>
          <w:rFonts w:eastAsiaTheme="minorHAnsi"/>
          <w:noProof/>
        </w:rPr>
        <w:t>April</w:t>
      </w:r>
      <w:r w:rsidR="003F6AE0" w:rsidRPr="004C2412">
        <w:rPr>
          <w:rFonts w:eastAsiaTheme="minorHAnsi"/>
          <w:noProof/>
        </w:rPr>
        <w:t xml:space="preserve"> </w:t>
      </w:r>
      <w:r w:rsidR="00DB1FF9" w:rsidRPr="004C2412">
        <w:rPr>
          <w:rFonts w:eastAsiaTheme="minorHAnsi"/>
          <w:noProof/>
        </w:rPr>
        <w:t>to 3</w:t>
      </w:r>
      <w:r w:rsidR="003F6AE0">
        <w:rPr>
          <w:rFonts w:eastAsiaTheme="minorHAnsi"/>
          <w:noProof/>
        </w:rPr>
        <w:t>0</w:t>
      </w:r>
      <w:r w:rsidR="00DB1FF9" w:rsidRPr="004C2412">
        <w:rPr>
          <w:rFonts w:eastAsiaTheme="minorHAnsi"/>
          <w:noProof/>
        </w:rPr>
        <w:t xml:space="preserve"> </w:t>
      </w:r>
      <w:r w:rsidR="003F6AE0">
        <w:rPr>
          <w:rFonts w:eastAsiaTheme="minorHAnsi"/>
          <w:noProof/>
        </w:rPr>
        <w:t>June</w:t>
      </w:r>
      <w:r w:rsidR="00FA6B1D" w:rsidRPr="004C2412">
        <w:rPr>
          <w:rFonts w:eastAsiaTheme="minorHAnsi"/>
          <w:noProof/>
        </w:rPr>
        <w:t xml:space="preserve"> </w:t>
      </w:r>
      <w:r w:rsidR="00DB1FF9" w:rsidRPr="004C2412">
        <w:rPr>
          <w:rFonts w:eastAsiaTheme="minorHAnsi"/>
          <w:noProof/>
        </w:rPr>
        <w:t>201</w:t>
      </w:r>
      <w:r w:rsidR="00FA6B1D" w:rsidRPr="004C2412">
        <w:rPr>
          <w:rFonts w:eastAsiaTheme="minorHAnsi"/>
          <w:noProof/>
        </w:rPr>
        <w:t>8</w:t>
      </w:r>
      <w:bookmarkEnd w:id="27"/>
    </w:p>
    <w:tbl>
      <w:tblPr>
        <w:tblStyle w:val="CenterAlignTable"/>
        <w:tblW w:w="14747" w:type="dxa"/>
        <w:tblInd w:w="-34" w:type="dxa"/>
        <w:tblLayout w:type="fixed"/>
        <w:tblLook w:val="06A0" w:firstRow="1" w:lastRow="0" w:firstColumn="1" w:lastColumn="0" w:noHBand="1" w:noVBand="1"/>
        <w:tblCaption w:val=" DHS reasons for rejecting Participation Reports: Overview"/>
        <w:tblDescription w:val=" DHS reasons for rejecting Participation Reports: Overview"/>
      </w:tblPr>
      <w:tblGrid>
        <w:gridCol w:w="1022"/>
        <w:gridCol w:w="1131"/>
        <w:gridCol w:w="2373"/>
        <w:gridCol w:w="2373"/>
        <w:gridCol w:w="3651"/>
        <w:gridCol w:w="1460"/>
        <w:gridCol w:w="1094"/>
        <w:gridCol w:w="1643"/>
      </w:tblGrid>
      <w:tr w:rsidR="00257627" w:rsidRPr="004C2412" w14:paraId="36091313" w14:textId="77777777" w:rsidTr="00A31277">
        <w:trPr>
          <w:cnfStyle w:val="100000000000" w:firstRow="1" w:lastRow="0" w:firstColumn="0" w:lastColumn="0" w:oddVBand="0" w:evenVBand="0" w:oddHBand="0" w:evenHBand="0" w:firstRowFirstColumn="0" w:firstRowLastColumn="0" w:lastRowFirstColumn="0" w:lastRowLastColumn="0"/>
          <w:trHeight w:val="965"/>
          <w:tblHeader/>
        </w:trPr>
        <w:tc>
          <w:tcPr>
            <w:cnfStyle w:val="001000000000" w:firstRow="0" w:lastRow="0" w:firstColumn="1" w:lastColumn="0" w:oddVBand="0" w:evenVBand="0" w:oddHBand="0" w:evenHBand="0" w:firstRowFirstColumn="0" w:firstRowLastColumn="0" w:lastRowFirstColumn="0" w:lastRowLastColumn="0"/>
            <w:tcW w:w="2153" w:type="dxa"/>
            <w:gridSpan w:val="2"/>
            <w:shd w:val="clear" w:color="auto" w:fill="auto"/>
            <w:vAlign w:val="center"/>
          </w:tcPr>
          <w:p w14:paraId="3609130D" w14:textId="7F71149D" w:rsidR="00257627" w:rsidRPr="004C2412" w:rsidRDefault="00244CB0" w:rsidP="00910012">
            <w:pPr>
              <w:spacing w:before="0"/>
              <w:ind w:left="0"/>
            </w:pPr>
            <w:r w:rsidRPr="004C2412">
              <w:t>Job seeker had reasonable excuse</w:t>
            </w:r>
          </w:p>
        </w:tc>
        <w:tc>
          <w:tcPr>
            <w:tcW w:w="2373" w:type="dxa"/>
            <w:vAlign w:val="center"/>
          </w:tcPr>
          <w:p w14:paraId="3609130E" w14:textId="3774AF0C" w:rsidR="00257627" w:rsidRPr="004C2412" w:rsidRDefault="00244CB0"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 xml:space="preserve">Procedural errors relating to </w:t>
            </w:r>
            <w:r w:rsidR="00257627" w:rsidRPr="004C2412">
              <w:rPr>
                <w:sz w:val="20"/>
                <w:szCs w:val="20"/>
              </w:rPr>
              <w:t>Nature of requirements</w:t>
            </w:r>
          </w:p>
        </w:tc>
        <w:tc>
          <w:tcPr>
            <w:tcW w:w="2373" w:type="dxa"/>
            <w:vAlign w:val="center"/>
          </w:tcPr>
          <w:p w14:paraId="3609130F" w14:textId="3998C96B" w:rsidR="00257627" w:rsidRPr="004C2412" w:rsidRDefault="00244CB0"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 xml:space="preserve">Procedural errors relating to </w:t>
            </w:r>
            <w:r w:rsidR="00257627" w:rsidRPr="004C2412">
              <w:rPr>
                <w:sz w:val="20"/>
                <w:szCs w:val="20"/>
              </w:rPr>
              <w:t>Notifying requirements</w:t>
            </w:r>
          </w:p>
        </w:tc>
        <w:tc>
          <w:tcPr>
            <w:tcW w:w="3651" w:type="dxa"/>
            <w:vAlign w:val="center"/>
          </w:tcPr>
          <w:p w14:paraId="36091310" w14:textId="279EC25C" w:rsidR="00257627" w:rsidRPr="004C2412" w:rsidRDefault="00244CB0"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 xml:space="preserve">Procedural errors relating to </w:t>
            </w:r>
            <w:r w:rsidR="00257627" w:rsidRPr="004C2412">
              <w:rPr>
                <w:sz w:val="20"/>
                <w:szCs w:val="20"/>
              </w:rPr>
              <w:t>Submitting Provider Appointment Reports and Participation Reports</w:t>
            </w:r>
          </w:p>
        </w:tc>
        <w:tc>
          <w:tcPr>
            <w:tcW w:w="2554" w:type="dxa"/>
            <w:gridSpan w:val="2"/>
            <w:vAlign w:val="center"/>
          </w:tcPr>
          <w:p w14:paraId="36091311" w14:textId="09BDF0CD" w:rsidR="00257627" w:rsidRPr="004C2412" w:rsidRDefault="00244CB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r w:rsidR="00535609" w:rsidRPr="004C2412">
              <w:t xml:space="preserve"> P</w:t>
            </w:r>
            <w:r w:rsidRPr="004C2412">
              <w:t>rocedural errors</w:t>
            </w:r>
          </w:p>
        </w:tc>
        <w:tc>
          <w:tcPr>
            <w:tcW w:w="1643" w:type="dxa"/>
            <w:vAlign w:val="center"/>
          </w:tcPr>
          <w:p w14:paraId="36091312" w14:textId="694B2B32" w:rsidR="00257627" w:rsidRPr="004C2412" w:rsidRDefault="00244CB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Rejections</w:t>
            </w:r>
          </w:p>
        </w:tc>
      </w:tr>
      <w:tr w:rsidR="00257627" w:rsidRPr="004C2412" w14:paraId="3609131D" w14:textId="77777777" w:rsidTr="00910012">
        <w:trPr>
          <w:cnfStyle w:val="100000000000" w:firstRow="1" w:lastRow="0" w:firstColumn="0" w:lastColumn="0" w:oddVBand="0" w:evenVBand="0" w:oddHBand="0" w:evenHBand="0" w:firstRowFirstColumn="0" w:firstRowLastColumn="0" w:lastRowFirstColumn="0" w:lastRowLastColumn="0"/>
          <w:trHeight w:val="408"/>
          <w:tblHeader/>
        </w:trPr>
        <w:tc>
          <w:tcPr>
            <w:cnfStyle w:val="001000000000" w:firstRow="0" w:lastRow="0" w:firstColumn="1" w:lastColumn="0" w:oddVBand="0" w:evenVBand="0" w:oddHBand="0" w:evenHBand="0" w:firstRowFirstColumn="0" w:firstRowLastColumn="0" w:lastRowFirstColumn="0" w:lastRowLastColumn="0"/>
            <w:tcW w:w="1022" w:type="dxa"/>
            <w:vAlign w:val="center"/>
          </w:tcPr>
          <w:p w14:paraId="36091315" w14:textId="77777777" w:rsidR="00257627" w:rsidRPr="004C2412" w:rsidRDefault="00257627" w:rsidP="00910012">
            <w:pPr>
              <w:spacing w:before="0"/>
              <w:ind w:left="0"/>
            </w:pPr>
            <w:r w:rsidRPr="004C2412">
              <w:t>No.</w:t>
            </w:r>
          </w:p>
        </w:tc>
        <w:tc>
          <w:tcPr>
            <w:tcW w:w="1131" w:type="dxa"/>
            <w:vAlign w:val="center"/>
          </w:tcPr>
          <w:p w14:paraId="36091316"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2373" w:type="dxa"/>
            <w:vAlign w:val="center"/>
          </w:tcPr>
          <w:p w14:paraId="36091317"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2373" w:type="dxa"/>
            <w:vAlign w:val="center"/>
          </w:tcPr>
          <w:p w14:paraId="36091318"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3651" w:type="dxa"/>
            <w:vAlign w:val="center"/>
          </w:tcPr>
          <w:p w14:paraId="36091319"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460" w:type="dxa"/>
            <w:vAlign w:val="center"/>
          </w:tcPr>
          <w:p w14:paraId="3609131A"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094" w:type="dxa"/>
            <w:vAlign w:val="center"/>
          </w:tcPr>
          <w:p w14:paraId="3609131B"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643" w:type="dxa"/>
            <w:vAlign w:val="center"/>
          </w:tcPr>
          <w:p w14:paraId="3609131C"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FA6B1D" w:rsidRPr="004C2412" w14:paraId="36091327" w14:textId="77777777" w:rsidTr="00910012">
        <w:trPr>
          <w:trHeight w:val="454"/>
        </w:trPr>
        <w:tc>
          <w:tcPr>
            <w:cnfStyle w:val="001000000000" w:firstRow="0" w:lastRow="0" w:firstColumn="1" w:lastColumn="0" w:oddVBand="0" w:evenVBand="0" w:oddHBand="0" w:evenHBand="0" w:firstRowFirstColumn="0" w:firstRowLastColumn="0" w:lastRowFirstColumn="0" w:lastRowLastColumn="0"/>
            <w:tcW w:w="1022" w:type="dxa"/>
            <w:vAlign w:val="center"/>
          </w:tcPr>
          <w:p w14:paraId="3609131F" w14:textId="42837CFF" w:rsidR="00FA6B1D" w:rsidRPr="004C2412" w:rsidRDefault="003F6AE0" w:rsidP="00FA6B1D">
            <w:pPr>
              <w:autoSpaceDE w:val="0"/>
              <w:autoSpaceDN w:val="0"/>
              <w:adjustRightInd w:val="0"/>
              <w:spacing w:before="0"/>
              <w:ind w:left="0"/>
              <w:rPr>
                <w:rFonts w:cs="Gill Sans MT"/>
                <w:b w:val="0"/>
                <w:color w:val="000000"/>
              </w:rPr>
            </w:pPr>
            <w:r>
              <w:rPr>
                <w:rFonts w:cs="Gill Sans MT"/>
                <w:b w:val="0"/>
                <w:color w:val="000000"/>
              </w:rPr>
              <w:t xml:space="preserve"> 37,388</w:t>
            </w:r>
          </w:p>
        </w:tc>
        <w:tc>
          <w:tcPr>
            <w:tcW w:w="1131" w:type="dxa"/>
            <w:vAlign w:val="center"/>
          </w:tcPr>
          <w:p w14:paraId="36091320" w14:textId="7F189BA8" w:rsidR="00FA6B1D" w:rsidRPr="004C2412" w:rsidRDefault="003F6AE0" w:rsidP="003F6AE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47</w:t>
            </w:r>
            <w:r w:rsidR="00FA6B1D" w:rsidRPr="004C2412">
              <w:rPr>
                <w:rFonts w:cs="Gill Sans MT"/>
                <w:color w:val="000000"/>
              </w:rPr>
              <w:t>%</w:t>
            </w:r>
          </w:p>
        </w:tc>
        <w:tc>
          <w:tcPr>
            <w:tcW w:w="2373" w:type="dxa"/>
            <w:vAlign w:val="center"/>
          </w:tcPr>
          <w:p w14:paraId="36091321" w14:textId="0669EDD1" w:rsidR="00FA6B1D" w:rsidRPr="004C2412" w:rsidRDefault="003F6AE0" w:rsidP="00FA6B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13</w:t>
            </w:r>
            <w:r w:rsidR="00FA6B1D" w:rsidRPr="004C2412">
              <w:rPr>
                <w:rFonts w:cs="Gill Sans MT"/>
                <w:color w:val="000000"/>
              </w:rPr>
              <w:t>%</w:t>
            </w:r>
          </w:p>
        </w:tc>
        <w:tc>
          <w:tcPr>
            <w:tcW w:w="2373" w:type="dxa"/>
            <w:vAlign w:val="center"/>
          </w:tcPr>
          <w:p w14:paraId="36091322" w14:textId="77444276" w:rsidR="00FA6B1D" w:rsidRPr="004C2412" w:rsidRDefault="003F6AE0" w:rsidP="00FA6B1D">
            <w:pPr>
              <w:spacing w:before="0"/>
              <w:ind w:left="0"/>
              <w:cnfStyle w:val="000000000000" w:firstRow="0" w:lastRow="0" w:firstColumn="0" w:lastColumn="0" w:oddVBand="0" w:evenVBand="0" w:oddHBand="0" w:evenHBand="0" w:firstRowFirstColumn="0" w:firstRowLastColumn="0" w:lastRowFirstColumn="0" w:lastRowLastColumn="0"/>
            </w:pPr>
            <w:r>
              <w:t>8</w:t>
            </w:r>
            <w:r w:rsidR="00FA6B1D" w:rsidRPr="004C2412">
              <w:t>%</w:t>
            </w:r>
          </w:p>
        </w:tc>
        <w:tc>
          <w:tcPr>
            <w:tcW w:w="3651" w:type="dxa"/>
            <w:vAlign w:val="center"/>
          </w:tcPr>
          <w:p w14:paraId="36091323" w14:textId="4372FE8A" w:rsidR="00FA6B1D" w:rsidRPr="004C2412" w:rsidRDefault="003F6AE0" w:rsidP="00FA6B1D">
            <w:pPr>
              <w:spacing w:before="0"/>
              <w:ind w:left="0"/>
              <w:cnfStyle w:val="000000000000" w:firstRow="0" w:lastRow="0" w:firstColumn="0" w:lastColumn="0" w:oddVBand="0" w:evenVBand="0" w:oddHBand="0" w:evenHBand="0" w:firstRowFirstColumn="0" w:firstRowLastColumn="0" w:lastRowFirstColumn="0" w:lastRowLastColumn="0"/>
            </w:pPr>
            <w:r>
              <w:t>32</w:t>
            </w:r>
            <w:r w:rsidR="00FA6B1D" w:rsidRPr="004C2412">
              <w:t>%</w:t>
            </w:r>
          </w:p>
        </w:tc>
        <w:tc>
          <w:tcPr>
            <w:tcW w:w="1460" w:type="dxa"/>
            <w:vAlign w:val="center"/>
          </w:tcPr>
          <w:p w14:paraId="36091324" w14:textId="372F415D" w:rsidR="00FA6B1D" w:rsidRPr="004C2412" w:rsidRDefault="003F6AE0" w:rsidP="00FA6B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42,790</w:t>
            </w:r>
          </w:p>
        </w:tc>
        <w:tc>
          <w:tcPr>
            <w:tcW w:w="1094" w:type="dxa"/>
            <w:vAlign w:val="center"/>
          </w:tcPr>
          <w:p w14:paraId="36091325" w14:textId="4DEE38A7" w:rsidR="00FA6B1D" w:rsidRPr="004C2412" w:rsidRDefault="003F6AE0" w:rsidP="00FA6B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53</w:t>
            </w:r>
            <w:r w:rsidR="00FA6B1D" w:rsidRPr="004C2412">
              <w:rPr>
                <w:rFonts w:cs="Gill Sans MT"/>
                <w:color w:val="000000"/>
              </w:rPr>
              <w:t>%</w:t>
            </w:r>
          </w:p>
        </w:tc>
        <w:tc>
          <w:tcPr>
            <w:tcW w:w="1643" w:type="dxa"/>
            <w:vAlign w:val="center"/>
          </w:tcPr>
          <w:p w14:paraId="36091326" w14:textId="51D72EA7" w:rsidR="00FA6B1D" w:rsidRPr="004C2412" w:rsidRDefault="003F6AE0" w:rsidP="00FA6B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80,178</w:t>
            </w:r>
          </w:p>
        </w:tc>
      </w:tr>
    </w:tbl>
    <w:p w14:paraId="4B6E8029" w14:textId="6B274219" w:rsidR="00DB1FF9" w:rsidRPr="004C2412" w:rsidRDefault="00B84812" w:rsidP="00F65699">
      <w:pPr>
        <w:spacing w:after="480" w:line="240" w:lineRule="auto"/>
        <w:ind w:left="0"/>
      </w:pPr>
      <w:r w:rsidRPr="004C2412">
        <w:t xml:space="preserve">Non-Attendance Reports, which </w:t>
      </w:r>
      <w:proofErr w:type="gramStart"/>
      <w:r w:rsidRPr="004C2412">
        <w:t>are used</w:t>
      </w:r>
      <w:proofErr w:type="gramEnd"/>
      <w:r w:rsidRPr="004C2412">
        <w:t xml:space="preserve"> to report non-attendance at provider appointments where no prior notice of a valid reason was </w:t>
      </w:r>
      <w:r w:rsidR="00DB01A3" w:rsidRPr="004C2412">
        <w:t>given,</w:t>
      </w:r>
      <w:r w:rsidRPr="004C2412">
        <w:t xml:space="preserve"> are not included in this table because they do not result in a Participation Failure under the compliance framework. </w:t>
      </w:r>
      <w:proofErr w:type="gramStart"/>
      <w:r w:rsidRPr="004C2412">
        <w:t>Instead</w:t>
      </w:r>
      <w:proofErr w:type="gramEnd"/>
      <w:r w:rsidRPr="004C2412">
        <w:t xml:space="preserve"> they delay a job seeker’s income support payment rather than result in a penalty. Because of this, whether or not the job seeker had a reasonable excuse </w:t>
      </w:r>
      <w:proofErr w:type="gramStart"/>
      <w:r w:rsidRPr="004C2412">
        <w:t>is not investigated or recorded by the Department of Human Services</w:t>
      </w:r>
      <w:proofErr w:type="gramEnd"/>
      <w:r w:rsidRPr="004C2412">
        <w:t>.</w:t>
      </w:r>
    </w:p>
    <w:p w14:paraId="2549D87A" w14:textId="0FC1B763" w:rsidR="00A31277" w:rsidRPr="004C2412" w:rsidRDefault="00A31277" w:rsidP="00A31277">
      <w:pPr>
        <w:pStyle w:val="Heading3"/>
        <w:numPr>
          <w:ilvl w:val="0"/>
          <w:numId w:val="0"/>
        </w:numPr>
      </w:pPr>
      <w:bookmarkStart w:id="28" w:name="_Toc526864435"/>
      <w:r w:rsidRPr="004C2412">
        <w:t xml:space="preserve">7 </w:t>
      </w:r>
      <w:r w:rsidR="00BA4C67">
        <w:t>h</w:t>
      </w:r>
      <w:r w:rsidRPr="004C2412">
        <w:t xml:space="preserve"> – Department of Human Services’ reasons for rejecting Provider Appointment Reports and Participation Reports </w:t>
      </w:r>
      <w:r w:rsidRPr="004C2412">
        <w:rPr>
          <w:noProof/>
        </w:rPr>
        <w:t>-</w:t>
      </w:r>
      <w:r w:rsidRPr="004C2412">
        <w:rPr>
          <w:rFonts w:eastAsiaTheme="minorHAnsi"/>
          <w:noProof/>
        </w:rPr>
        <w:t xml:space="preserve"> 1 </w:t>
      </w:r>
      <w:r>
        <w:rPr>
          <w:rFonts w:eastAsiaTheme="minorHAnsi"/>
          <w:noProof/>
        </w:rPr>
        <w:t>July 2017</w:t>
      </w:r>
      <w:r w:rsidRPr="004C2412">
        <w:rPr>
          <w:rFonts w:eastAsiaTheme="minorHAnsi"/>
          <w:noProof/>
        </w:rPr>
        <w:t xml:space="preserve"> to 3</w:t>
      </w:r>
      <w:r>
        <w:rPr>
          <w:rFonts w:eastAsiaTheme="minorHAnsi"/>
          <w:noProof/>
        </w:rPr>
        <w:t>0</w:t>
      </w:r>
      <w:r w:rsidRPr="004C2412">
        <w:rPr>
          <w:rFonts w:eastAsiaTheme="minorHAnsi"/>
          <w:noProof/>
        </w:rPr>
        <w:t xml:space="preserve"> </w:t>
      </w:r>
      <w:r>
        <w:rPr>
          <w:rFonts w:eastAsiaTheme="minorHAnsi"/>
          <w:noProof/>
        </w:rPr>
        <w:t>June</w:t>
      </w:r>
      <w:r w:rsidRPr="004C2412">
        <w:rPr>
          <w:rFonts w:eastAsiaTheme="minorHAnsi"/>
          <w:noProof/>
        </w:rPr>
        <w:t xml:space="preserve"> 2018</w:t>
      </w:r>
      <w:bookmarkEnd w:id="28"/>
    </w:p>
    <w:tbl>
      <w:tblPr>
        <w:tblStyle w:val="CenterAlignTable"/>
        <w:tblW w:w="14747" w:type="dxa"/>
        <w:tblInd w:w="-34" w:type="dxa"/>
        <w:tblLayout w:type="fixed"/>
        <w:tblLook w:val="06A0" w:firstRow="1" w:lastRow="0" w:firstColumn="1" w:lastColumn="0" w:noHBand="1" w:noVBand="1"/>
        <w:tblCaption w:val=" DHS reasons for rejecting Participation Reports: Overview"/>
        <w:tblDescription w:val=" DHS reasons for rejecting Participation Reports: Overview"/>
      </w:tblPr>
      <w:tblGrid>
        <w:gridCol w:w="1022"/>
        <w:gridCol w:w="1131"/>
        <w:gridCol w:w="2373"/>
        <w:gridCol w:w="2373"/>
        <w:gridCol w:w="3651"/>
        <w:gridCol w:w="1460"/>
        <w:gridCol w:w="1094"/>
        <w:gridCol w:w="1643"/>
      </w:tblGrid>
      <w:tr w:rsidR="00A31277" w:rsidRPr="004C2412" w14:paraId="0AAE230D" w14:textId="77777777" w:rsidTr="00BA4C67">
        <w:trPr>
          <w:cnfStyle w:val="100000000000" w:firstRow="1" w:lastRow="0" w:firstColumn="0" w:lastColumn="0" w:oddVBand="0" w:evenVBand="0" w:oddHBand="0" w:evenHBand="0" w:firstRowFirstColumn="0" w:firstRowLastColumn="0" w:lastRowFirstColumn="0" w:lastRowLastColumn="0"/>
          <w:trHeight w:val="965"/>
          <w:tblHeader/>
        </w:trPr>
        <w:tc>
          <w:tcPr>
            <w:cnfStyle w:val="001000000000" w:firstRow="0" w:lastRow="0" w:firstColumn="1" w:lastColumn="0" w:oddVBand="0" w:evenVBand="0" w:oddHBand="0" w:evenHBand="0" w:firstRowFirstColumn="0" w:firstRowLastColumn="0" w:lastRowFirstColumn="0" w:lastRowLastColumn="0"/>
            <w:tcW w:w="2153" w:type="dxa"/>
            <w:gridSpan w:val="2"/>
            <w:shd w:val="clear" w:color="auto" w:fill="auto"/>
            <w:vAlign w:val="center"/>
          </w:tcPr>
          <w:p w14:paraId="1D027B4B" w14:textId="77777777" w:rsidR="00A31277" w:rsidRPr="004C2412" w:rsidRDefault="00A31277" w:rsidP="00C9726D">
            <w:pPr>
              <w:spacing w:before="0"/>
              <w:ind w:left="0"/>
            </w:pPr>
            <w:r w:rsidRPr="004C2412">
              <w:t>Job seeker had reasonable excuse</w:t>
            </w:r>
          </w:p>
        </w:tc>
        <w:tc>
          <w:tcPr>
            <w:tcW w:w="2373" w:type="dxa"/>
            <w:vAlign w:val="center"/>
          </w:tcPr>
          <w:p w14:paraId="03409DDA"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Procedural errors relating to Nature of requirements</w:t>
            </w:r>
          </w:p>
        </w:tc>
        <w:tc>
          <w:tcPr>
            <w:tcW w:w="2373" w:type="dxa"/>
            <w:vAlign w:val="center"/>
          </w:tcPr>
          <w:p w14:paraId="60F4711C"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Procedural errors relating to Notifying requirements</w:t>
            </w:r>
          </w:p>
        </w:tc>
        <w:tc>
          <w:tcPr>
            <w:tcW w:w="3651" w:type="dxa"/>
            <w:vAlign w:val="center"/>
          </w:tcPr>
          <w:p w14:paraId="1CA432DE"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Procedural errors relating to Submitting Provider Appointment Reports and Participation Reports</w:t>
            </w:r>
          </w:p>
        </w:tc>
        <w:tc>
          <w:tcPr>
            <w:tcW w:w="2554" w:type="dxa"/>
            <w:gridSpan w:val="2"/>
            <w:vAlign w:val="center"/>
          </w:tcPr>
          <w:p w14:paraId="62402425"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Total Procedural errors</w:t>
            </w:r>
          </w:p>
        </w:tc>
        <w:tc>
          <w:tcPr>
            <w:tcW w:w="1643" w:type="dxa"/>
            <w:vAlign w:val="center"/>
          </w:tcPr>
          <w:p w14:paraId="51B793CE"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Total Rejections</w:t>
            </w:r>
          </w:p>
        </w:tc>
      </w:tr>
      <w:tr w:rsidR="00A31277" w:rsidRPr="004C2412" w14:paraId="38C4758B" w14:textId="77777777" w:rsidTr="00C9726D">
        <w:trPr>
          <w:cnfStyle w:val="100000000000" w:firstRow="1" w:lastRow="0" w:firstColumn="0" w:lastColumn="0" w:oddVBand="0" w:evenVBand="0" w:oddHBand="0" w:evenHBand="0" w:firstRowFirstColumn="0" w:firstRowLastColumn="0" w:lastRowFirstColumn="0" w:lastRowLastColumn="0"/>
          <w:trHeight w:val="408"/>
          <w:tblHeader/>
        </w:trPr>
        <w:tc>
          <w:tcPr>
            <w:cnfStyle w:val="001000000000" w:firstRow="0" w:lastRow="0" w:firstColumn="1" w:lastColumn="0" w:oddVBand="0" w:evenVBand="0" w:oddHBand="0" w:evenHBand="0" w:firstRowFirstColumn="0" w:firstRowLastColumn="0" w:lastRowFirstColumn="0" w:lastRowLastColumn="0"/>
            <w:tcW w:w="1022" w:type="dxa"/>
            <w:vAlign w:val="center"/>
          </w:tcPr>
          <w:p w14:paraId="55835BB3" w14:textId="77777777" w:rsidR="00A31277" w:rsidRPr="004C2412" w:rsidRDefault="00A31277" w:rsidP="00C9726D">
            <w:pPr>
              <w:spacing w:before="0"/>
              <w:ind w:left="0"/>
            </w:pPr>
            <w:r w:rsidRPr="004C2412">
              <w:t>No.</w:t>
            </w:r>
          </w:p>
        </w:tc>
        <w:tc>
          <w:tcPr>
            <w:tcW w:w="1131" w:type="dxa"/>
            <w:vAlign w:val="center"/>
          </w:tcPr>
          <w:p w14:paraId="2B61C1CA"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2373" w:type="dxa"/>
            <w:vAlign w:val="center"/>
          </w:tcPr>
          <w:p w14:paraId="60541B1A"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2373" w:type="dxa"/>
            <w:vAlign w:val="center"/>
          </w:tcPr>
          <w:p w14:paraId="15A0A18B"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3651" w:type="dxa"/>
            <w:vAlign w:val="center"/>
          </w:tcPr>
          <w:p w14:paraId="4E6216F4"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460" w:type="dxa"/>
            <w:vAlign w:val="center"/>
          </w:tcPr>
          <w:p w14:paraId="24177718"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094" w:type="dxa"/>
            <w:vAlign w:val="center"/>
          </w:tcPr>
          <w:p w14:paraId="33408F23"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643" w:type="dxa"/>
            <w:vAlign w:val="center"/>
          </w:tcPr>
          <w:p w14:paraId="4EC00D20" w14:textId="77777777" w:rsidR="00A31277" w:rsidRPr="004C2412" w:rsidRDefault="00A3127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A31277" w:rsidRPr="004C2412" w14:paraId="09E61F36" w14:textId="77777777" w:rsidTr="00C9726D">
        <w:trPr>
          <w:trHeight w:val="454"/>
        </w:trPr>
        <w:tc>
          <w:tcPr>
            <w:cnfStyle w:val="001000000000" w:firstRow="0" w:lastRow="0" w:firstColumn="1" w:lastColumn="0" w:oddVBand="0" w:evenVBand="0" w:oddHBand="0" w:evenHBand="0" w:firstRowFirstColumn="0" w:firstRowLastColumn="0" w:lastRowFirstColumn="0" w:lastRowLastColumn="0"/>
            <w:tcW w:w="1022" w:type="dxa"/>
            <w:vAlign w:val="center"/>
          </w:tcPr>
          <w:p w14:paraId="63DE2511" w14:textId="7AD9A45F" w:rsidR="00A31277" w:rsidRPr="00A31277" w:rsidRDefault="00A31277" w:rsidP="00A31277">
            <w:pPr>
              <w:autoSpaceDE w:val="0"/>
              <w:autoSpaceDN w:val="0"/>
              <w:adjustRightInd w:val="0"/>
              <w:spacing w:before="0"/>
              <w:ind w:left="0"/>
              <w:rPr>
                <w:rFonts w:cs="Gill Sans MT"/>
                <w:b w:val="0"/>
                <w:color w:val="000000"/>
              </w:rPr>
            </w:pPr>
            <w:r w:rsidRPr="00A31277">
              <w:rPr>
                <w:rFonts w:cs="Gill Sans MT"/>
                <w:b w:val="0"/>
                <w:color w:val="000000"/>
              </w:rPr>
              <w:t>172,626</w:t>
            </w:r>
          </w:p>
        </w:tc>
        <w:tc>
          <w:tcPr>
            <w:tcW w:w="1131" w:type="dxa"/>
            <w:vAlign w:val="center"/>
          </w:tcPr>
          <w:p w14:paraId="5C40F9A1" w14:textId="0A83C747"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50%</w:t>
            </w:r>
          </w:p>
        </w:tc>
        <w:tc>
          <w:tcPr>
            <w:tcW w:w="2373" w:type="dxa"/>
            <w:vAlign w:val="center"/>
          </w:tcPr>
          <w:p w14:paraId="43B58A60" w14:textId="7C809E85"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12%</w:t>
            </w:r>
          </w:p>
        </w:tc>
        <w:tc>
          <w:tcPr>
            <w:tcW w:w="2373" w:type="dxa"/>
            <w:vAlign w:val="center"/>
          </w:tcPr>
          <w:p w14:paraId="268A6C81" w14:textId="6D4E4934" w:rsidR="00A31277" w:rsidRPr="004C2412" w:rsidRDefault="00A31277" w:rsidP="00A31277">
            <w:pPr>
              <w:spacing w:before="0"/>
              <w:ind w:left="0"/>
              <w:cnfStyle w:val="000000000000" w:firstRow="0" w:lastRow="0" w:firstColumn="0" w:lastColumn="0" w:oddVBand="0" w:evenVBand="0" w:oddHBand="0" w:evenHBand="0" w:firstRowFirstColumn="0" w:firstRowLastColumn="0" w:lastRowFirstColumn="0" w:lastRowLastColumn="0"/>
            </w:pPr>
            <w:r w:rsidRPr="00FE7CCB">
              <w:t>9%</w:t>
            </w:r>
          </w:p>
        </w:tc>
        <w:tc>
          <w:tcPr>
            <w:tcW w:w="3651" w:type="dxa"/>
            <w:vAlign w:val="center"/>
          </w:tcPr>
          <w:p w14:paraId="27714C5C" w14:textId="6F5B3784" w:rsidR="00A31277" w:rsidRPr="004C2412" w:rsidRDefault="00A31277" w:rsidP="00A31277">
            <w:pPr>
              <w:spacing w:before="0"/>
              <w:ind w:left="0"/>
              <w:cnfStyle w:val="000000000000" w:firstRow="0" w:lastRow="0" w:firstColumn="0" w:lastColumn="0" w:oddVBand="0" w:evenVBand="0" w:oddHBand="0" w:evenHBand="0" w:firstRowFirstColumn="0" w:firstRowLastColumn="0" w:lastRowFirstColumn="0" w:lastRowLastColumn="0"/>
            </w:pPr>
            <w:r w:rsidRPr="00FE7CCB">
              <w:t>29%</w:t>
            </w:r>
          </w:p>
        </w:tc>
        <w:tc>
          <w:tcPr>
            <w:tcW w:w="1460" w:type="dxa"/>
            <w:vAlign w:val="center"/>
          </w:tcPr>
          <w:p w14:paraId="408B2171" w14:textId="196DA4E3"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175,021</w:t>
            </w:r>
          </w:p>
        </w:tc>
        <w:tc>
          <w:tcPr>
            <w:tcW w:w="1094" w:type="dxa"/>
            <w:vAlign w:val="center"/>
          </w:tcPr>
          <w:p w14:paraId="348EB27C" w14:textId="1E5B5B87"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50%</w:t>
            </w:r>
          </w:p>
        </w:tc>
        <w:tc>
          <w:tcPr>
            <w:tcW w:w="1643" w:type="dxa"/>
            <w:vAlign w:val="center"/>
          </w:tcPr>
          <w:p w14:paraId="61620EFE" w14:textId="31D31353" w:rsidR="00A31277" w:rsidRPr="004C2412" w:rsidRDefault="00A31277" w:rsidP="00A3127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347,647</w:t>
            </w:r>
          </w:p>
        </w:tc>
      </w:tr>
    </w:tbl>
    <w:p w14:paraId="6BC5B511" w14:textId="77777777" w:rsidR="00E16596" w:rsidRPr="004C2412" w:rsidRDefault="00E16596" w:rsidP="00E16596">
      <w:pPr>
        <w:spacing w:after="480" w:line="240" w:lineRule="auto"/>
        <w:ind w:left="0"/>
      </w:pPr>
      <w:r w:rsidRPr="004C2412">
        <w:t xml:space="preserve">Non-Attendance Reports, which </w:t>
      </w:r>
      <w:proofErr w:type="gramStart"/>
      <w:r w:rsidRPr="004C2412">
        <w:t>are used</w:t>
      </w:r>
      <w:proofErr w:type="gramEnd"/>
      <w:r w:rsidRPr="004C2412">
        <w:t xml:space="preserve"> to report non-attendance at provider appointments where no prior notice of a valid reason was given, are not included in this table because they do not result in a Participation Failure under the compliance framework. </w:t>
      </w:r>
      <w:proofErr w:type="gramStart"/>
      <w:r w:rsidRPr="004C2412">
        <w:t>Instead</w:t>
      </w:r>
      <w:proofErr w:type="gramEnd"/>
      <w:r w:rsidRPr="004C2412">
        <w:t xml:space="preserve"> they delay a job seeker’s income support payment rather than result in a penalty. Because of this, whether or not the job seeker had a reasonable excuse </w:t>
      </w:r>
      <w:proofErr w:type="gramStart"/>
      <w:r w:rsidRPr="004C2412">
        <w:t>is not investigated or recorded by the Department of Human Services</w:t>
      </w:r>
      <w:proofErr w:type="gramEnd"/>
      <w:r w:rsidRPr="004C2412">
        <w:t>.</w:t>
      </w:r>
    </w:p>
    <w:p w14:paraId="3B0E8C75" w14:textId="77777777" w:rsidR="00A31277" w:rsidRDefault="00A31277" w:rsidP="00A609AA">
      <w:pPr>
        <w:pStyle w:val="Heading3"/>
        <w:numPr>
          <w:ilvl w:val="0"/>
          <w:numId w:val="0"/>
        </w:numPr>
        <w:sectPr w:rsidR="00A31277" w:rsidSect="00763831">
          <w:pgSz w:w="16838" w:h="11906" w:orient="landscape"/>
          <w:pgMar w:top="142" w:right="962" w:bottom="720" w:left="1134" w:header="567" w:footer="0" w:gutter="0"/>
          <w:cols w:space="708"/>
          <w:docGrid w:linePitch="360"/>
        </w:sectPr>
      </w:pPr>
    </w:p>
    <w:p w14:paraId="36091329" w14:textId="08F75F28" w:rsidR="0032395B" w:rsidRPr="004C2412" w:rsidRDefault="00A80828" w:rsidP="00A609AA">
      <w:pPr>
        <w:pStyle w:val="Heading3"/>
        <w:numPr>
          <w:ilvl w:val="0"/>
          <w:numId w:val="0"/>
        </w:numPr>
      </w:pPr>
      <w:bookmarkStart w:id="29" w:name="_Toc526864436"/>
      <w:r w:rsidRPr="004C2412">
        <w:t>7</w:t>
      </w:r>
      <w:r w:rsidR="00C95ED9" w:rsidRPr="004C2412">
        <w:t xml:space="preserve"> </w:t>
      </w:r>
      <w:proofErr w:type="spellStart"/>
      <w:r w:rsidR="00BA4C67">
        <w:t>i</w:t>
      </w:r>
      <w:proofErr w:type="spellEnd"/>
      <w:r w:rsidRPr="004C2412">
        <w:t xml:space="preserve"> </w:t>
      </w:r>
      <w:r w:rsidR="00C95ED9" w:rsidRPr="004C2412">
        <w:t>–</w:t>
      </w:r>
      <w:r w:rsidRPr="004C2412">
        <w:t xml:space="preserve"> </w:t>
      </w:r>
      <w:r w:rsidR="005D34B6" w:rsidRPr="004C2412">
        <w:t>Department of Human Services</w:t>
      </w:r>
      <w:r w:rsidR="007D480B" w:rsidRPr="004C2412">
        <w:t>’</w:t>
      </w:r>
      <w:r w:rsidR="0032395B" w:rsidRPr="004C2412">
        <w:t xml:space="preserve"> reasons for rejecting </w:t>
      </w:r>
      <w:r w:rsidR="00CC3CBA" w:rsidRPr="004C2412">
        <w:t xml:space="preserve">Provider </w:t>
      </w:r>
      <w:r w:rsidR="00F44645" w:rsidRPr="004C2412">
        <w:t xml:space="preserve">Appointment </w:t>
      </w:r>
      <w:r w:rsidR="00CC3CBA" w:rsidRPr="004C2412">
        <w:t xml:space="preserve">Reports </w:t>
      </w:r>
      <w:r w:rsidR="00AC3830" w:rsidRPr="004C2412">
        <w:t xml:space="preserve">and </w:t>
      </w:r>
      <w:r w:rsidR="0032395B" w:rsidRPr="004C2412">
        <w:t>Participation Reports: Reasonable Excuse</w:t>
      </w:r>
      <w:r w:rsidR="00DB1FF9" w:rsidRPr="004C2412">
        <w:t xml:space="preserve"> </w:t>
      </w:r>
      <w:r w:rsidR="00C95ED9" w:rsidRPr="004C2412">
        <w:rPr>
          <w:noProof/>
        </w:rPr>
        <w:t>-</w:t>
      </w:r>
      <w:r w:rsidR="00DB1FF9" w:rsidRPr="004C2412">
        <w:rPr>
          <w:rFonts w:eastAsiaTheme="minorHAnsi"/>
          <w:noProof/>
        </w:rPr>
        <w:t xml:space="preserve"> 1 </w:t>
      </w:r>
      <w:r w:rsidR="003A3A3A">
        <w:rPr>
          <w:rFonts w:eastAsiaTheme="minorHAnsi"/>
          <w:noProof/>
        </w:rPr>
        <w:t>April</w:t>
      </w:r>
      <w:r w:rsidR="00DB1FF9" w:rsidRPr="004C2412">
        <w:rPr>
          <w:rFonts w:eastAsiaTheme="minorHAnsi"/>
          <w:noProof/>
        </w:rPr>
        <w:t xml:space="preserve"> to 3</w:t>
      </w:r>
      <w:r w:rsidR="003A3A3A">
        <w:rPr>
          <w:rFonts w:eastAsiaTheme="minorHAnsi"/>
          <w:noProof/>
        </w:rPr>
        <w:t>0</w:t>
      </w:r>
      <w:r w:rsidR="00DB1FF9" w:rsidRPr="004C2412">
        <w:rPr>
          <w:rFonts w:eastAsiaTheme="minorHAnsi"/>
          <w:noProof/>
        </w:rPr>
        <w:t> </w:t>
      </w:r>
      <w:r w:rsidR="003A3A3A">
        <w:rPr>
          <w:rFonts w:eastAsiaTheme="minorHAnsi"/>
          <w:noProof/>
        </w:rPr>
        <w:t>June</w:t>
      </w:r>
      <w:r w:rsidR="00FA6B1D" w:rsidRPr="004C2412">
        <w:rPr>
          <w:rFonts w:eastAsiaTheme="minorHAnsi"/>
          <w:noProof/>
        </w:rPr>
        <w:t xml:space="preserve"> </w:t>
      </w:r>
      <w:r w:rsidR="00DB1FF9" w:rsidRPr="004C2412">
        <w:rPr>
          <w:rFonts w:eastAsiaTheme="minorHAnsi"/>
          <w:noProof/>
        </w:rPr>
        <w:t>201</w:t>
      </w:r>
      <w:r w:rsidR="00FA6B1D" w:rsidRPr="004C2412">
        <w:rPr>
          <w:rFonts w:eastAsiaTheme="minorHAnsi"/>
          <w:noProof/>
        </w:rPr>
        <w:t>8</w:t>
      </w:r>
      <w:bookmarkEnd w:id="29"/>
      <w:r w:rsidRPr="004C2412">
        <w:t xml:space="preserve"> </w:t>
      </w:r>
    </w:p>
    <w:tbl>
      <w:tblPr>
        <w:tblStyle w:val="CenterAlignTable"/>
        <w:tblW w:w="14769" w:type="dxa"/>
        <w:tblInd w:w="-34" w:type="dxa"/>
        <w:tblLayout w:type="fixed"/>
        <w:tblLook w:val="04A0" w:firstRow="1" w:lastRow="0" w:firstColumn="1" w:lastColumn="0" w:noHBand="0" w:noVBand="1"/>
        <w:tblCaption w:val="DHS reasons for rejecting Participation Reports: Reasonable Excuse"/>
        <w:tblDescription w:val="DHS reasons for rejecting Participation Reports: Reasonable Excuse"/>
      </w:tblPr>
      <w:tblGrid>
        <w:gridCol w:w="1430"/>
        <w:gridCol w:w="1270"/>
        <w:gridCol w:w="1270"/>
        <w:gridCol w:w="1111"/>
        <w:gridCol w:w="1611"/>
        <w:gridCol w:w="1566"/>
        <w:gridCol w:w="1270"/>
        <w:gridCol w:w="2065"/>
        <w:gridCol w:w="953"/>
        <w:gridCol w:w="1270"/>
        <w:gridCol w:w="953"/>
      </w:tblGrid>
      <w:tr w:rsidR="00257627" w:rsidRPr="004C2412" w14:paraId="36091335" w14:textId="77777777" w:rsidTr="008E736B">
        <w:trPr>
          <w:cnfStyle w:val="100000000000" w:firstRow="1" w:lastRow="0" w:firstColumn="0" w:lastColumn="0" w:oddVBand="0" w:evenVBand="0" w:oddHBand="0" w:evenHBand="0" w:firstRowFirstColumn="0" w:firstRowLastColumn="0" w:lastRowFirstColumn="0" w:lastRowLastColumn="0"/>
          <w:trHeight w:val="853"/>
          <w:tblHeader/>
        </w:trPr>
        <w:tc>
          <w:tcPr>
            <w:cnfStyle w:val="001000000000" w:firstRow="0" w:lastRow="0" w:firstColumn="1" w:lastColumn="0" w:oddVBand="0" w:evenVBand="0" w:oddHBand="0" w:evenHBand="0" w:firstRowFirstColumn="0" w:firstRowLastColumn="0" w:lastRowFirstColumn="0" w:lastRowLastColumn="0"/>
            <w:tcW w:w="1430" w:type="dxa"/>
            <w:shd w:val="clear" w:color="auto" w:fill="auto"/>
            <w:vAlign w:val="center"/>
          </w:tcPr>
          <w:p w14:paraId="3609132B" w14:textId="77777777" w:rsidR="00257627" w:rsidRPr="001C410D" w:rsidRDefault="00257627" w:rsidP="00910012">
            <w:pPr>
              <w:spacing w:before="0"/>
              <w:ind w:left="0"/>
              <w:rPr>
                <w:sz w:val="20"/>
                <w:szCs w:val="20"/>
              </w:rPr>
            </w:pPr>
            <w:r w:rsidRPr="001C410D">
              <w:rPr>
                <w:sz w:val="20"/>
                <w:szCs w:val="20"/>
              </w:rPr>
              <w:t>Medical reason – A</w:t>
            </w:r>
          </w:p>
        </w:tc>
        <w:tc>
          <w:tcPr>
            <w:tcW w:w="1270" w:type="dxa"/>
            <w:vAlign w:val="center"/>
          </w:tcPr>
          <w:p w14:paraId="3609132C"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Medical reason – B</w:t>
            </w:r>
          </w:p>
        </w:tc>
        <w:tc>
          <w:tcPr>
            <w:tcW w:w="1270" w:type="dxa"/>
            <w:vAlign w:val="center"/>
          </w:tcPr>
          <w:p w14:paraId="3609132D"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Other acceptable activity</w:t>
            </w:r>
          </w:p>
        </w:tc>
        <w:tc>
          <w:tcPr>
            <w:tcW w:w="1111" w:type="dxa"/>
            <w:vAlign w:val="center"/>
          </w:tcPr>
          <w:p w14:paraId="3609132E"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Personal crisis</w:t>
            </w:r>
          </w:p>
        </w:tc>
        <w:tc>
          <w:tcPr>
            <w:tcW w:w="1611" w:type="dxa"/>
            <w:vAlign w:val="center"/>
          </w:tcPr>
          <w:p w14:paraId="3609132F"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Caring responsibilities</w:t>
            </w:r>
          </w:p>
        </w:tc>
        <w:tc>
          <w:tcPr>
            <w:tcW w:w="1566" w:type="dxa"/>
            <w:vAlign w:val="center"/>
          </w:tcPr>
          <w:p w14:paraId="36091330"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Homelessness</w:t>
            </w:r>
          </w:p>
        </w:tc>
        <w:tc>
          <w:tcPr>
            <w:tcW w:w="1270" w:type="dxa"/>
            <w:vAlign w:val="center"/>
          </w:tcPr>
          <w:p w14:paraId="36091331"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Transport difficulties</w:t>
            </w:r>
          </w:p>
        </w:tc>
        <w:tc>
          <w:tcPr>
            <w:tcW w:w="2065" w:type="dxa"/>
            <w:vAlign w:val="center"/>
          </w:tcPr>
          <w:p w14:paraId="36091332"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Cultural/language issues</w:t>
            </w:r>
          </w:p>
        </w:tc>
        <w:tc>
          <w:tcPr>
            <w:tcW w:w="953" w:type="dxa"/>
            <w:vAlign w:val="center"/>
          </w:tcPr>
          <w:p w14:paraId="36091333"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Other</w:t>
            </w:r>
          </w:p>
        </w:tc>
        <w:tc>
          <w:tcPr>
            <w:tcW w:w="2223" w:type="dxa"/>
            <w:gridSpan w:val="2"/>
            <w:vAlign w:val="center"/>
          </w:tcPr>
          <w:p w14:paraId="36091334" w14:textId="0BEDC80C"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Total rejections for reasonable excuse</w:t>
            </w:r>
          </w:p>
        </w:tc>
      </w:tr>
      <w:tr w:rsidR="00257627" w:rsidRPr="004C2412" w14:paraId="36091342" w14:textId="77777777" w:rsidTr="00FA6B1D">
        <w:trPr>
          <w:cnfStyle w:val="100000000000" w:firstRow="1" w:lastRow="0" w:firstColumn="0" w:lastColumn="0" w:oddVBand="0" w:evenVBand="0" w:oddHBand="0" w:evenHBand="0" w:firstRowFirstColumn="0" w:firstRowLastColumn="0" w:lastRowFirstColumn="0" w:lastRowLastColumn="0"/>
          <w:trHeight w:val="337"/>
          <w:tblHeader/>
        </w:trPr>
        <w:tc>
          <w:tcPr>
            <w:cnfStyle w:val="001000000000" w:firstRow="0" w:lastRow="0" w:firstColumn="1" w:lastColumn="0" w:oddVBand="0" w:evenVBand="0" w:oddHBand="0" w:evenHBand="0" w:firstRowFirstColumn="0" w:firstRowLastColumn="0" w:lastRowFirstColumn="0" w:lastRowLastColumn="0"/>
            <w:tcW w:w="1430" w:type="dxa"/>
            <w:vAlign w:val="center"/>
          </w:tcPr>
          <w:p w14:paraId="36091337" w14:textId="77777777" w:rsidR="00257627" w:rsidRPr="001C410D" w:rsidRDefault="00257627" w:rsidP="00910012">
            <w:pPr>
              <w:spacing w:before="0"/>
              <w:ind w:left="0"/>
              <w:rPr>
                <w:sz w:val="20"/>
                <w:szCs w:val="20"/>
              </w:rPr>
            </w:pPr>
            <w:r w:rsidRPr="001C410D">
              <w:rPr>
                <w:sz w:val="20"/>
                <w:szCs w:val="20"/>
              </w:rPr>
              <w:t>%</w:t>
            </w:r>
          </w:p>
        </w:tc>
        <w:tc>
          <w:tcPr>
            <w:tcW w:w="1270" w:type="dxa"/>
            <w:vAlign w:val="center"/>
          </w:tcPr>
          <w:p w14:paraId="36091338"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270" w:type="dxa"/>
            <w:vAlign w:val="center"/>
          </w:tcPr>
          <w:p w14:paraId="36091339"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111" w:type="dxa"/>
            <w:vAlign w:val="center"/>
          </w:tcPr>
          <w:p w14:paraId="3609133A"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611" w:type="dxa"/>
            <w:vAlign w:val="center"/>
          </w:tcPr>
          <w:p w14:paraId="3609133B"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566" w:type="dxa"/>
            <w:vAlign w:val="center"/>
          </w:tcPr>
          <w:p w14:paraId="3609133C"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270" w:type="dxa"/>
            <w:vAlign w:val="center"/>
          </w:tcPr>
          <w:p w14:paraId="3609133D"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2065" w:type="dxa"/>
            <w:vAlign w:val="center"/>
          </w:tcPr>
          <w:p w14:paraId="3609133E"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953" w:type="dxa"/>
            <w:vAlign w:val="center"/>
          </w:tcPr>
          <w:p w14:paraId="3609133F"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270" w:type="dxa"/>
            <w:vAlign w:val="center"/>
          </w:tcPr>
          <w:p w14:paraId="36091340" w14:textId="77777777" w:rsidR="00257627" w:rsidRPr="001C410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953" w:type="dxa"/>
            <w:vAlign w:val="center"/>
          </w:tcPr>
          <w:p w14:paraId="36091341" w14:textId="77777777" w:rsidR="00257627" w:rsidRPr="00C9726D" w:rsidRDefault="002576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C9726D">
              <w:rPr>
                <w:sz w:val="20"/>
                <w:szCs w:val="20"/>
              </w:rPr>
              <w:t>No.</w:t>
            </w:r>
          </w:p>
        </w:tc>
      </w:tr>
      <w:tr w:rsidR="00FA6B1D" w:rsidRPr="004C2412" w14:paraId="3609134F" w14:textId="77777777" w:rsidTr="00FA6B1D">
        <w:trPr>
          <w:trHeight w:val="441"/>
        </w:trPr>
        <w:tc>
          <w:tcPr>
            <w:cnfStyle w:val="001000000000" w:firstRow="0" w:lastRow="0" w:firstColumn="1" w:lastColumn="0" w:oddVBand="0" w:evenVBand="0" w:oddHBand="0" w:evenHBand="0" w:firstRowFirstColumn="0" w:firstRowLastColumn="0" w:lastRowFirstColumn="0" w:lastRowLastColumn="0"/>
            <w:tcW w:w="1430" w:type="dxa"/>
            <w:vAlign w:val="center"/>
          </w:tcPr>
          <w:p w14:paraId="36091344" w14:textId="0A9A7975" w:rsidR="00FA6B1D" w:rsidRPr="00C9726D" w:rsidRDefault="003A3A3A" w:rsidP="00FA6B1D">
            <w:pPr>
              <w:spacing w:before="0"/>
              <w:ind w:left="0"/>
              <w:rPr>
                <w:b w:val="0"/>
                <w:sz w:val="20"/>
                <w:szCs w:val="20"/>
              </w:rPr>
            </w:pPr>
            <w:r w:rsidRPr="00C9726D">
              <w:rPr>
                <w:b w:val="0"/>
                <w:sz w:val="20"/>
                <w:szCs w:val="20"/>
              </w:rPr>
              <w:t>6.5</w:t>
            </w:r>
            <w:r w:rsidR="00FA6B1D" w:rsidRPr="00C9726D">
              <w:rPr>
                <w:b w:val="0"/>
                <w:sz w:val="20"/>
                <w:szCs w:val="20"/>
              </w:rPr>
              <w:t>%</w:t>
            </w:r>
          </w:p>
        </w:tc>
        <w:tc>
          <w:tcPr>
            <w:tcW w:w="1270" w:type="dxa"/>
            <w:vAlign w:val="center"/>
          </w:tcPr>
          <w:p w14:paraId="36091345" w14:textId="1A1407E4" w:rsidR="00FA6B1D" w:rsidRPr="00C9726D" w:rsidRDefault="003A3A3A" w:rsidP="00FA6B1D">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szCs w:val="20"/>
              </w:rPr>
              <w:t>8.0</w:t>
            </w:r>
            <w:r w:rsidR="00FA6B1D" w:rsidRPr="00C9726D">
              <w:rPr>
                <w:sz w:val="20"/>
                <w:szCs w:val="20"/>
              </w:rPr>
              <w:t>%</w:t>
            </w:r>
          </w:p>
        </w:tc>
        <w:tc>
          <w:tcPr>
            <w:tcW w:w="1270" w:type="dxa"/>
            <w:vAlign w:val="center"/>
          </w:tcPr>
          <w:p w14:paraId="36091346" w14:textId="4F2616BB" w:rsidR="00FA6B1D" w:rsidRPr="00C9726D" w:rsidRDefault="003A3A3A" w:rsidP="00FA6B1D">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szCs w:val="20"/>
              </w:rPr>
              <w:t>12.1</w:t>
            </w:r>
            <w:r w:rsidR="00FA6B1D" w:rsidRPr="00C9726D">
              <w:rPr>
                <w:sz w:val="20"/>
                <w:szCs w:val="20"/>
              </w:rPr>
              <w:t>%</w:t>
            </w:r>
          </w:p>
        </w:tc>
        <w:tc>
          <w:tcPr>
            <w:tcW w:w="1111" w:type="dxa"/>
            <w:vAlign w:val="center"/>
          </w:tcPr>
          <w:p w14:paraId="36091347" w14:textId="48BC3348" w:rsidR="00FA6B1D" w:rsidRPr="00C9726D" w:rsidRDefault="003A3A3A" w:rsidP="00FA6B1D">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szCs w:val="20"/>
              </w:rPr>
              <w:t>7.7</w:t>
            </w:r>
            <w:r w:rsidR="00FA6B1D" w:rsidRPr="00C9726D">
              <w:rPr>
                <w:sz w:val="20"/>
                <w:szCs w:val="20"/>
              </w:rPr>
              <w:t>%</w:t>
            </w:r>
          </w:p>
        </w:tc>
        <w:tc>
          <w:tcPr>
            <w:tcW w:w="1611" w:type="dxa"/>
            <w:vAlign w:val="center"/>
          </w:tcPr>
          <w:p w14:paraId="36091348" w14:textId="6A002BCC" w:rsidR="00FA6B1D" w:rsidRPr="00C9726D" w:rsidRDefault="003A3A3A" w:rsidP="00FA6B1D">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szCs w:val="20"/>
              </w:rPr>
              <w:t>4.1</w:t>
            </w:r>
            <w:r w:rsidR="00FA6B1D" w:rsidRPr="00C9726D">
              <w:rPr>
                <w:sz w:val="20"/>
                <w:szCs w:val="20"/>
              </w:rPr>
              <w:t>%</w:t>
            </w:r>
          </w:p>
        </w:tc>
        <w:tc>
          <w:tcPr>
            <w:tcW w:w="1566" w:type="dxa"/>
            <w:vAlign w:val="center"/>
          </w:tcPr>
          <w:p w14:paraId="36091349" w14:textId="54E3916B" w:rsidR="00FA6B1D" w:rsidRPr="00C9726D" w:rsidRDefault="003A3A3A" w:rsidP="00FA6B1D">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szCs w:val="20"/>
              </w:rPr>
              <w:t>1.4</w:t>
            </w:r>
            <w:r w:rsidR="00FA6B1D" w:rsidRPr="00C9726D">
              <w:rPr>
                <w:sz w:val="20"/>
                <w:szCs w:val="20"/>
              </w:rPr>
              <w:t>%</w:t>
            </w:r>
          </w:p>
        </w:tc>
        <w:tc>
          <w:tcPr>
            <w:tcW w:w="1270" w:type="dxa"/>
            <w:vAlign w:val="center"/>
          </w:tcPr>
          <w:p w14:paraId="3609134A" w14:textId="21987B60" w:rsidR="00FA6B1D" w:rsidRPr="00C9726D" w:rsidRDefault="003A3A3A" w:rsidP="00FA6B1D">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szCs w:val="20"/>
              </w:rPr>
              <w:t>1.7</w:t>
            </w:r>
            <w:r w:rsidR="00FA6B1D" w:rsidRPr="00C9726D">
              <w:rPr>
                <w:sz w:val="20"/>
                <w:szCs w:val="20"/>
              </w:rPr>
              <w:t>%</w:t>
            </w:r>
          </w:p>
        </w:tc>
        <w:tc>
          <w:tcPr>
            <w:tcW w:w="2065" w:type="dxa"/>
            <w:vAlign w:val="center"/>
          </w:tcPr>
          <w:p w14:paraId="3609134B" w14:textId="64D336A8" w:rsidR="00FA6B1D" w:rsidRPr="00C9726D" w:rsidRDefault="003A3A3A" w:rsidP="00FA6B1D">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szCs w:val="20"/>
              </w:rPr>
              <w:t>2.1</w:t>
            </w:r>
            <w:r w:rsidR="00FA6B1D" w:rsidRPr="00C9726D">
              <w:rPr>
                <w:sz w:val="20"/>
                <w:szCs w:val="20"/>
              </w:rPr>
              <w:t>%</w:t>
            </w:r>
          </w:p>
        </w:tc>
        <w:tc>
          <w:tcPr>
            <w:tcW w:w="953" w:type="dxa"/>
            <w:vAlign w:val="center"/>
          </w:tcPr>
          <w:p w14:paraId="3609134C" w14:textId="5BF5B592" w:rsidR="00FA6B1D" w:rsidRPr="00C9726D" w:rsidRDefault="003A3A3A" w:rsidP="00FA6B1D">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szCs w:val="20"/>
              </w:rPr>
              <w:t>3.1</w:t>
            </w:r>
            <w:r w:rsidR="00FA6B1D" w:rsidRPr="00C9726D">
              <w:rPr>
                <w:sz w:val="20"/>
                <w:szCs w:val="20"/>
              </w:rPr>
              <w:t>%</w:t>
            </w:r>
          </w:p>
        </w:tc>
        <w:tc>
          <w:tcPr>
            <w:tcW w:w="1270" w:type="dxa"/>
            <w:vAlign w:val="center"/>
          </w:tcPr>
          <w:p w14:paraId="3609134D" w14:textId="03E7C51F" w:rsidR="00FA6B1D" w:rsidRPr="00C9726D" w:rsidRDefault="003A3A3A" w:rsidP="00FA6B1D">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szCs w:val="20"/>
              </w:rPr>
              <w:t>47</w:t>
            </w:r>
            <w:r w:rsidR="00FA6B1D" w:rsidRPr="00C9726D">
              <w:rPr>
                <w:sz w:val="20"/>
                <w:szCs w:val="20"/>
              </w:rPr>
              <w:t>%</w:t>
            </w:r>
          </w:p>
        </w:tc>
        <w:tc>
          <w:tcPr>
            <w:tcW w:w="953" w:type="dxa"/>
            <w:vAlign w:val="center"/>
          </w:tcPr>
          <w:p w14:paraId="3609134E" w14:textId="4D082118" w:rsidR="00FA6B1D" w:rsidRPr="00C9726D" w:rsidRDefault="003A3A3A" w:rsidP="00FA6B1D">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szCs w:val="20"/>
              </w:rPr>
              <w:t>37,388</w:t>
            </w:r>
          </w:p>
        </w:tc>
      </w:tr>
    </w:tbl>
    <w:p w14:paraId="763D49C4" w14:textId="49AD07BD" w:rsidR="0071417E" w:rsidRPr="004C2412" w:rsidRDefault="0032395B" w:rsidP="00F65699">
      <w:pPr>
        <w:spacing w:after="240" w:line="240" w:lineRule="auto"/>
        <w:ind w:left="0"/>
      </w:pPr>
      <w:r w:rsidRPr="004C2412">
        <w:t xml:space="preserve">Percentages </w:t>
      </w:r>
      <w:r w:rsidR="005339AE" w:rsidRPr="004C2412">
        <w:t xml:space="preserve">in this table </w:t>
      </w:r>
      <w:r w:rsidRPr="004C2412">
        <w:t xml:space="preserve">represent the proportion of all </w:t>
      </w:r>
      <w:r w:rsidR="00CC3CBA" w:rsidRPr="004C2412">
        <w:t xml:space="preserve">Provider Appointment Reports </w:t>
      </w:r>
      <w:r w:rsidR="00AC3830" w:rsidRPr="004C2412">
        <w:t xml:space="preserve">and </w:t>
      </w:r>
      <w:r w:rsidRPr="004C2412">
        <w:t>Participation Reports rejected</w:t>
      </w:r>
      <w:r w:rsidR="0025083F" w:rsidRPr="004C2412">
        <w:t xml:space="preserve">. </w:t>
      </w:r>
      <w:r w:rsidR="00E237B1" w:rsidRPr="004C2412">
        <w:t xml:space="preserve">The sum of </w:t>
      </w:r>
      <w:r w:rsidRPr="004C2412">
        <w:t>the</w:t>
      </w:r>
      <w:r w:rsidR="00E237B1" w:rsidRPr="004C2412">
        <w:t xml:space="preserve"> percentages across all columns will equal the</w:t>
      </w:r>
      <w:r w:rsidRPr="004C2412">
        <w:t xml:space="preserve"> “Total reasonable excuse” percentage</w:t>
      </w:r>
      <w:r w:rsidR="00E237B1" w:rsidRPr="004C2412">
        <w:t xml:space="preserve"> (</w:t>
      </w:r>
      <w:r w:rsidR="00E237B1" w:rsidRPr="00F73EC1">
        <w:t>refer Table 7</w:t>
      </w:r>
      <w:r w:rsidR="00DE0793">
        <w:t>g</w:t>
      </w:r>
      <w:r w:rsidR="00E237B1" w:rsidRPr="00F73EC1">
        <w:t xml:space="preserve"> above</w:t>
      </w:r>
      <w:r w:rsidR="00E237B1" w:rsidRPr="004C2412">
        <w:t>)</w:t>
      </w:r>
      <w:r w:rsidRPr="004C2412">
        <w:t>, rather than adding up to 100%.</w:t>
      </w:r>
      <w:r w:rsidR="00081F87" w:rsidRPr="004C2412">
        <w:t xml:space="preserve"> </w:t>
      </w:r>
    </w:p>
    <w:p w14:paraId="36091350" w14:textId="10E0F8AF" w:rsidR="00E909FA" w:rsidRDefault="0071417E" w:rsidP="00F65699">
      <w:pPr>
        <w:spacing w:after="240" w:line="240" w:lineRule="auto"/>
        <w:ind w:left="0"/>
      </w:pPr>
      <w:r w:rsidRPr="007875AA">
        <w:t xml:space="preserve">Note: </w:t>
      </w:r>
      <w:r w:rsidR="0032395B" w:rsidRPr="007875AA">
        <w:t>Discrepancies m</w:t>
      </w:r>
      <w:r w:rsidR="00215AE8" w:rsidRPr="007875AA">
        <w:t xml:space="preserve">ay occur between the sum of </w:t>
      </w:r>
      <w:r w:rsidR="0032395B" w:rsidRPr="007875AA">
        <w:t>component percentages and the total percentage, due to rounding.</w:t>
      </w:r>
    </w:p>
    <w:p w14:paraId="356DE9D4" w14:textId="4EF2263D" w:rsidR="008E736B" w:rsidRPr="004C2412" w:rsidRDefault="008E736B" w:rsidP="008E736B">
      <w:pPr>
        <w:pStyle w:val="Heading3"/>
        <w:numPr>
          <w:ilvl w:val="0"/>
          <w:numId w:val="0"/>
        </w:numPr>
      </w:pPr>
      <w:bookmarkStart w:id="30" w:name="_Toc526864437"/>
      <w:r w:rsidRPr="004C2412">
        <w:t xml:space="preserve">7 </w:t>
      </w:r>
      <w:r w:rsidR="00BA4C67">
        <w:t>j</w:t>
      </w:r>
      <w:r w:rsidRPr="004C2412">
        <w:t xml:space="preserve"> – Department of Human Services’ reasons for rejecting Provider Appointment Reports and Participation Reports: Reasonable Excuse </w:t>
      </w:r>
      <w:r w:rsidRPr="004C2412">
        <w:rPr>
          <w:noProof/>
        </w:rPr>
        <w:t>-</w:t>
      </w:r>
      <w:r w:rsidRPr="004C2412">
        <w:rPr>
          <w:rFonts w:eastAsiaTheme="minorHAnsi"/>
          <w:noProof/>
        </w:rPr>
        <w:t xml:space="preserve"> 1 </w:t>
      </w:r>
      <w:r>
        <w:rPr>
          <w:rFonts w:eastAsiaTheme="minorHAnsi"/>
          <w:noProof/>
        </w:rPr>
        <w:t>July 2017</w:t>
      </w:r>
      <w:r w:rsidRPr="004C2412">
        <w:rPr>
          <w:rFonts w:eastAsiaTheme="minorHAnsi"/>
          <w:noProof/>
        </w:rPr>
        <w:t xml:space="preserve"> to 3</w:t>
      </w:r>
      <w:r>
        <w:rPr>
          <w:rFonts w:eastAsiaTheme="minorHAnsi"/>
          <w:noProof/>
        </w:rPr>
        <w:t>0</w:t>
      </w:r>
      <w:r w:rsidRPr="004C2412">
        <w:rPr>
          <w:rFonts w:eastAsiaTheme="minorHAnsi"/>
          <w:noProof/>
        </w:rPr>
        <w:t> </w:t>
      </w:r>
      <w:r>
        <w:rPr>
          <w:rFonts w:eastAsiaTheme="minorHAnsi"/>
          <w:noProof/>
        </w:rPr>
        <w:t>June</w:t>
      </w:r>
      <w:r w:rsidRPr="004C2412">
        <w:rPr>
          <w:rFonts w:eastAsiaTheme="minorHAnsi"/>
          <w:noProof/>
        </w:rPr>
        <w:t xml:space="preserve"> 2018</w:t>
      </w:r>
      <w:bookmarkEnd w:id="30"/>
      <w:r w:rsidRPr="004C2412">
        <w:t xml:space="preserve"> </w:t>
      </w:r>
    </w:p>
    <w:tbl>
      <w:tblPr>
        <w:tblStyle w:val="CenterAlignTable"/>
        <w:tblW w:w="14769" w:type="dxa"/>
        <w:tblInd w:w="-34" w:type="dxa"/>
        <w:tblLayout w:type="fixed"/>
        <w:tblLook w:val="04A0" w:firstRow="1" w:lastRow="0" w:firstColumn="1" w:lastColumn="0" w:noHBand="0" w:noVBand="1"/>
        <w:tblCaption w:val="DHS reasons for rejecting Participation Reports: Reasonable Excuse"/>
        <w:tblDescription w:val="DHS reasons for rejecting Participation Reports: Reasonable Excuse"/>
      </w:tblPr>
      <w:tblGrid>
        <w:gridCol w:w="1430"/>
        <w:gridCol w:w="1270"/>
        <w:gridCol w:w="1270"/>
        <w:gridCol w:w="1111"/>
        <w:gridCol w:w="1611"/>
        <w:gridCol w:w="1566"/>
        <w:gridCol w:w="1270"/>
        <w:gridCol w:w="2065"/>
        <w:gridCol w:w="953"/>
        <w:gridCol w:w="1270"/>
        <w:gridCol w:w="953"/>
      </w:tblGrid>
      <w:tr w:rsidR="008E736B" w:rsidRPr="004C2412" w14:paraId="0A209CEE" w14:textId="77777777" w:rsidTr="00E16596">
        <w:trPr>
          <w:cnfStyle w:val="100000000000" w:firstRow="1" w:lastRow="0" w:firstColumn="0" w:lastColumn="0" w:oddVBand="0" w:evenVBand="0" w:oddHBand="0" w:evenHBand="0" w:firstRowFirstColumn="0" w:firstRowLastColumn="0" w:lastRowFirstColumn="0" w:lastRowLastColumn="0"/>
          <w:trHeight w:val="853"/>
          <w:tblHeader/>
        </w:trPr>
        <w:tc>
          <w:tcPr>
            <w:cnfStyle w:val="001000000000" w:firstRow="0" w:lastRow="0" w:firstColumn="1" w:lastColumn="0" w:oddVBand="0" w:evenVBand="0" w:oddHBand="0" w:evenHBand="0" w:firstRowFirstColumn="0" w:firstRowLastColumn="0" w:lastRowFirstColumn="0" w:lastRowLastColumn="0"/>
            <w:tcW w:w="1430" w:type="dxa"/>
            <w:shd w:val="clear" w:color="auto" w:fill="auto"/>
            <w:vAlign w:val="center"/>
          </w:tcPr>
          <w:p w14:paraId="54B03B63" w14:textId="77777777" w:rsidR="008E736B" w:rsidRPr="001C410D" w:rsidRDefault="008E736B" w:rsidP="00C9726D">
            <w:pPr>
              <w:spacing w:before="0"/>
              <w:ind w:left="0"/>
              <w:rPr>
                <w:sz w:val="20"/>
                <w:szCs w:val="20"/>
              </w:rPr>
            </w:pPr>
            <w:r w:rsidRPr="001C410D">
              <w:rPr>
                <w:sz w:val="20"/>
                <w:szCs w:val="20"/>
              </w:rPr>
              <w:t>Medical reason – A</w:t>
            </w:r>
          </w:p>
        </w:tc>
        <w:tc>
          <w:tcPr>
            <w:tcW w:w="1270" w:type="dxa"/>
            <w:vAlign w:val="center"/>
          </w:tcPr>
          <w:p w14:paraId="07E328D9"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Medical reason – B</w:t>
            </w:r>
          </w:p>
        </w:tc>
        <w:tc>
          <w:tcPr>
            <w:tcW w:w="1270" w:type="dxa"/>
            <w:vAlign w:val="center"/>
          </w:tcPr>
          <w:p w14:paraId="30A2C52E"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Other acceptable activity</w:t>
            </w:r>
          </w:p>
        </w:tc>
        <w:tc>
          <w:tcPr>
            <w:tcW w:w="1111" w:type="dxa"/>
            <w:vAlign w:val="center"/>
          </w:tcPr>
          <w:p w14:paraId="6F733FF6"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Personal crisis</w:t>
            </w:r>
          </w:p>
        </w:tc>
        <w:tc>
          <w:tcPr>
            <w:tcW w:w="1611" w:type="dxa"/>
            <w:vAlign w:val="center"/>
          </w:tcPr>
          <w:p w14:paraId="3369C0CC"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Caring responsibilities</w:t>
            </w:r>
          </w:p>
        </w:tc>
        <w:tc>
          <w:tcPr>
            <w:tcW w:w="1566" w:type="dxa"/>
            <w:vAlign w:val="center"/>
          </w:tcPr>
          <w:p w14:paraId="7B161278"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Homelessness</w:t>
            </w:r>
          </w:p>
        </w:tc>
        <w:tc>
          <w:tcPr>
            <w:tcW w:w="1270" w:type="dxa"/>
            <w:vAlign w:val="center"/>
          </w:tcPr>
          <w:p w14:paraId="18CF86EC"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Transport difficulties</w:t>
            </w:r>
          </w:p>
        </w:tc>
        <w:tc>
          <w:tcPr>
            <w:tcW w:w="2065" w:type="dxa"/>
            <w:vAlign w:val="center"/>
          </w:tcPr>
          <w:p w14:paraId="6C77D2FD"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Cultural/language issues</w:t>
            </w:r>
          </w:p>
        </w:tc>
        <w:tc>
          <w:tcPr>
            <w:tcW w:w="953" w:type="dxa"/>
            <w:vAlign w:val="center"/>
          </w:tcPr>
          <w:p w14:paraId="4BE62A26"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Other</w:t>
            </w:r>
          </w:p>
        </w:tc>
        <w:tc>
          <w:tcPr>
            <w:tcW w:w="2223" w:type="dxa"/>
            <w:gridSpan w:val="2"/>
            <w:vAlign w:val="center"/>
          </w:tcPr>
          <w:p w14:paraId="57EBBF8E"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Total rejections for reasonable excuse</w:t>
            </w:r>
          </w:p>
        </w:tc>
      </w:tr>
      <w:tr w:rsidR="008E736B" w:rsidRPr="004C2412" w14:paraId="56FF2F04" w14:textId="77777777" w:rsidTr="00C9726D">
        <w:trPr>
          <w:cnfStyle w:val="100000000000" w:firstRow="1" w:lastRow="0" w:firstColumn="0" w:lastColumn="0" w:oddVBand="0" w:evenVBand="0" w:oddHBand="0" w:evenHBand="0" w:firstRowFirstColumn="0" w:firstRowLastColumn="0" w:lastRowFirstColumn="0" w:lastRowLastColumn="0"/>
          <w:trHeight w:val="337"/>
          <w:tblHeader/>
        </w:trPr>
        <w:tc>
          <w:tcPr>
            <w:cnfStyle w:val="001000000000" w:firstRow="0" w:lastRow="0" w:firstColumn="1" w:lastColumn="0" w:oddVBand="0" w:evenVBand="0" w:oddHBand="0" w:evenHBand="0" w:firstRowFirstColumn="0" w:firstRowLastColumn="0" w:lastRowFirstColumn="0" w:lastRowLastColumn="0"/>
            <w:tcW w:w="1430" w:type="dxa"/>
            <w:vAlign w:val="center"/>
          </w:tcPr>
          <w:p w14:paraId="203110FB" w14:textId="77777777" w:rsidR="008E736B" w:rsidRPr="001C410D" w:rsidRDefault="008E736B" w:rsidP="00C9726D">
            <w:pPr>
              <w:spacing w:before="0"/>
              <w:ind w:left="0"/>
              <w:rPr>
                <w:sz w:val="20"/>
                <w:szCs w:val="20"/>
              </w:rPr>
            </w:pPr>
            <w:r w:rsidRPr="001C410D">
              <w:rPr>
                <w:sz w:val="20"/>
                <w:szCs w:val="20"/>
              </w:rPr>
              <w:t>%</w:t>
            </w:r>
          </w:p>
        </w:tc>
        <w:tc>
          <w:tcPr>
            <w:tcW w:w="1270" w:type="dxa"/>
            <w:vAlign w:val="center"/>
          </w:tcPr>
          <w:p w14:paraId="156541B5"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270" w:type="dxa"/>
            <w:vAlign w:val="center"/>
          </w:tcPr>
          <w:p w14:paraId="68966C08"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111" w:type="dxa"/>
            <w:vAlign w:val="center"/>
          </w:tcPr>
          <w:p w14:paraId="6DBB6058"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611" w:type="dxa"/>
            <w:vAlign w:val="center"/>
          </w:tcPr>
          <w:p w14:paraId="486C1052"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566" w:type="dxa"/>
            <w:vAlign w:val="center"/>
          </w:tcPr>
          <w:p w14:paraId="74BAF978"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270" w:type="dxa"/>
            <w:vAlign w:val="center"/>
          </w:tcPr>
          <w:p w14:paraId="44016F13"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2065" w:type="dxa"/>
            <w:vAlign w:val="center"/>
          </w:tcPr>
          <w:p w14:paraId="060EF6C2"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953" w:type="dxa"/>
            <w:vAlign w:val="center"/>
          </w:tcPr>
          <w:p w14:paraId="071D3590"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1270" w:type="dxa"/>
            <w:vAlign w:val="center"/>
          </w:tcPr>
          <w:p w14:paraId="069C9AED"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w:t>
            </w:r>
          </w:p>
        </w:tc>
        <w:tc>
          <w:tcPr>
            <w:tcW w:w="953" w:type="dxa"/>
            <w:vAlign w:val="center"/>
          </w:tcPr>
          <w:p w14:paraId="40F01FC2" w14:textId="77777777" w:rsidR="008E736B" w:rsidRPr="001C410D" w:rsidRDefault="008E736B"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1C410D">
              <w:rPr>
                <w:sz w:val="20"/>
                <w:szCs w:val="20"/>
              </w:rPr>
              <w:t>No.</w:t>
            </w:r>
          </w:p>
        </w:tc>
      </w:tr>
      <w:tr w:rsidR="008E736B" w:rsidRPr="004C2412" w14:paraId="7C22B606" w14:textId="77777777" w:rsidTr="00C9726D">
        <w:trPr>
          <w:trHeight w:val="441"/>
        </w:trPr>
        <w:tc>
          <w:tcPr>
            <w:cnfStyle w:val="001000000000" w:firstRow="0" w:lastRow="0" w:firstColumn="1" w:lastColumn="0" w:oddVBand="0" w:evenVBand="0" w:oddHBand="0" w:evenHBand="0" w:firstRowFirstColumn="0" w:firstRowLastColumn="0" w:lastRowFirstColumn="0" w:lastRowLastColumn="0"/>
            <w:tcW w:w="1430" w:type="dxa"/>
            <w:vAlign w:val="center"/>
          </w:tcPr>
          <w:p w14:paraId="16BB889E" w14:textId="541B5ACB" w:rsidR="008E736B" w:rsidRPr="00C9726D" w:rsidRDefault="008E736B" w:rsidP="008E736B">
            <w:pPr>
              <w:spacing w:before="0"/>
              <w:ind w:left="0"/>
              <w:rPr>
                <w:b w:val="0"/>
                <w:sz w:val="20"/>
                <w:szCs w:val="20"/>
              </w:rPr>
            </w:pPr>
            <w:r w:rsidRPr="00C9726D">
              <w:rPr>
                <w:b w:val="0"/>
                <w:sz w:val="20"/>
              </w:rPr>
              <w:t>7.2%</w:t>
            </w:r>
          </w:p>
        </w:tc>
        <w:tc>
          <w:tcPr>
            <w:tcW w:w="1270" w:type="dxa"/>
            <w:vAlign w:val="center"/>
          </w:tcPr>
          <w:p w14:paraId="3374D8E9" w14:textId="3876F197" w:rsidR="008E736B" w:rsidRPr="00C9726D" w:rsidRDefault="008E736B" w:rsidP="008E736B">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rPr>
              <w:t>8.9%</w:t>
            </w:r>
          </w:p>
        </w:tc>
        <w:tc>
          <w:tcPr>
            <w:tcW w:w="1270" w:type="dxa"/>
            <w:vAlign w:val="center"/>
          </w:tcPr>
          <w:p w14:paraId="24B22F60" w14:textId="461F1183" w:rsidR="008E736B" w:rsidRPr="00C9726D" w:rsidRDefault="008E736B" w:rsidP="008E736B">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rPr>
              <w:t>12.0%</w:t>
            </w:r>
          </w:p>
        </w:tc>
        <w:tc>
          <w:tcPr>
            <w:tcW w:w="1111" w:type="dxa"/>
            <w:vAlign w:val="center"/>
          </w:tcPr>
          <w:p w14:paraId="62D02959" w14:textId="30EF9865" w:rsidR="008E736B" w:rsidRPr="00C9726D" w:rsidRDefault="008E736B" w:rsidP="008E736B">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rPr>
              <w:t>8.0%</w:t>
            </w:r>
          </w:p>
        </w:tc>
        <w:tc>
          <w:tcPr>
            <w:tcW w:w="1611" w:type="dxa"/>
            <w:vAlign w:val="center"/>
          </w:tcPr>
          <w:p w14:paraId="66CF335D" w14:textId="72B6314E" w:rsidR="008E736B" w:rsidRPr="00C9726D" w:rsidRDefault="008E736B" w:rsidP="008E736B">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rPr>
              <w:t>4.0%</w:t>
            </w:r>
          </w:p>
        </w:tc>
        <w:tc>
          <w:tcPr>
            <w:tcW w:w="1566" w:type="dxa"/>
            <w:vAlign w:val="center"/>
          </w:tcPr>
          <w:p w14:paraId="35F2768A" w14:textId="528E7CA3" w:rsidR="008E736B" w:rsidRPr="00C9726D" w:rsidRDefault="008E736B" w:rsidP="008E736B">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rPr>
              <w:t>1.5%</w:t>
            </w:r>
          </w:p>
        </w:tc>
        <w:tc>
          <w:tcPr>
            <w:tcW w:w="1270" w:type="dxa"/>
            <w:vAlign w:val="center"/>
          </w:tcPr>
          <w:p w14:paraId="31BA5A5C" w14:textId="3F506A6F" w:rsidR="008E736B" w:rsidRPr="00C9726D" w:rsidRDefault="008E736B" w:rsidP="008E736B">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rPr>
              <w:t>1.9%</w:t>
            </w:r>
          </w:p>
        </w:tc>
        <w:tc>
          <w:tcPr>
            <w:tcW w:w="2065" w:type="dxa"/>
            <w:vAlign w:val="center"/>
          </w:tcPr>
          <w:p w14:paraId="5529472C" w14:textId="0B0FE969" w:rsidR="008E736B" w:rsidRPr="00C9726D" w:rsidRDefault="008E736B" w:rsidP="008E736B">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rPr>
              <w:t>2.6%</w:t>
            </w:r>
          </w:p>
        </w:tc>
        <w:tc>
          <w:tcPr>
            <w:tcW w:w="953" w:type="dxa"/>
            <w:vAlign w:val="center"/>
          </w:tcPr>
          <w:p w14:paraId="2B9C5554" w14:textId="7C7A26C0" w:rsidR="008E736B" w:rsidRPr="00C9726D" w:rsidRDefault="008E736B" w:rsidP="008E736B">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sz w:val="20"/>
              </w:rPr>
              <w:t>3.5%</w:t>
            </w:r>
          </w:p>
        </w:tc>
        <w:tc>
          <w:tcPr>
            <w:tcW w:w="1270" w:type="dxa"/>
            <w:vAlign w:val="center"/>
          </w:tcPr>
          <w:p w14:paraId="27823209" w14:textId="752D8A22" w:rsidR="008E736B" w:rsidRPr="00C9726D" w:rsidRDefault="008E736B" w:rsidP="008E736B">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rFonts w:cs="Gill Sans MT"/>
                <w:color w:val="000000"/>
                <w:sz w:val="20"/>
              </w:rPr>
              <w:t>50%</w:t>
            </w:r>
          </w:p>
        </w:tc>
        <w:tc>
          <w:tcPr>
            <w:tcW w:w="953" w:type="dxa"/>
            <w:vAlign w:val="center"/>
          </w:tcPr>
          <w:p w14:paraId="48C657CA" w14:textId="6F193A40" w:rsidR="008E736B" w:rsidRPr="00C9726D" w:rsidRDefault="008E736B" w:rsidP="008E736B">
            <w:pPr>
              <w:spacing w:before="0"/>
              <w:ind w:left="0"/>
              <w:cnfStyle w:val="000000000000" w:firstRow="0" w:lastRow="0" w:firstColumn="0" w:lastColumn="0" w:oddVBand="0" w:evenVBand="0" w:oddHBand="0" w:evenHBand="0" w:firstRowFirstColumn="0" w:firstRowLastColumn="0" w:lastRowFirstColumn="0" w:lastRowLastColumn="0"/>
              <w:rPr>
                <w:sz w:val="20"/>
                <w:szCs w:val="20"/>
              </w:rPr>
            </w:pPr>
            <w:r w:rsidRPr="00C9726D">
              <w:rPr>
                <w:rFonts w:cs="Gill Sans MT"/>
                <w:color w:val="000000"/>
                <w:sz w:val="20"/>
              </w:rPr>
              <w:t>172,626</w:t>
            </w:r>
          </w:p>
        </w:tc>
      </w:tr>
    </w:tbl>
    <w:p w14:paraId="5AADF59F" w14:textId="09102154" w:rsidR="008E736B" w:rsidRPr="004C2412" w:rsidRDefault="008E736B" w:rsidP="008E736B">
      <w:pPr>
        <w:spacing w:after="240" w:line="240" w:lineRule="auto"/>
        <w:ind w:left="0"/>
      </w:pPr>
      <w:r w:rsidRPr="004C2412">
        <w:t>Percentages in this table represent the proportion of all Provider Appointment Reports and Participation Reports rejected. The sum of the percentages across all columns will equal the “Total reasonable excuse” percentage (</w:t>
      </w:r>
      <w:r w:rsidR="00DE0793">
        <w:t>refer Table 7h</w:t>
      </w:r>
      <w:r w:rsidRPr="00F73EC1">
        <w:t xml:space="preserve"> above</w:t>
      </w:r>
      <w:r w:rsidRPr="004C2412">
        <w:t xml:space="preserve">), rather than adding up to 100%. </w:t>
      </w:r>
    </w:p>
    <w:p w14:paraId="5EB4AEE6" w14:textId="77777777" w:rsidR="008E736B" w:rsidRPr="004C2412" w:rsidRDefault="008E736B" w:rsidP="008E736B">
      <w:pPr>
        <w:spacing w:after="240" w:line="240" w:lineRule="auto"/>
        <w:ind w:left="0"/>
      </w:pPr>
      <w:r w:rsidRPr="007875AA">
        <w:t>Note: Discrepancies may occur between the sum of component percentages and the total percentage, due to rounding.</w:t>
      </w:r>
    </w:p>
    <w:p w14:paraId="21B0FAC9" w14:textId="77777777" w:rsidR="008E736B" w:rsidRPr="004C2412" w:rsidRDefault="008E736B" w:rsidP="00F65699">
      <w:pPr>
        <w:spacing w:after="240" w:line="240" w:lineRule="auto"/>
        <w:ind w:left="0"/>
      </w:pPr>
    </w:p>
    <w:p w14:paraId="36091351" w14:textId="77777777" w:rsidR="00E909FA" w:rsidRPr="004C2412" w:rsidRDefault="00E909FA" w:rsidP="00A609AA">
      <w:pPr>
        <w:ind w:left="0"/>
      </w:pPr>
      <w:r w:rsidRPr="004C2412">
        <w:br w:type="page"/>
      </w:r>
    </w:p>
    <w:p w14:paraId="22E01C5F" w14:textId="6D4833C7" w:rsidR="00F3209B" w:rsidRPr="004C2412" w:rsidRDefault="00257627" w:rsidP="00A609AA">
      <w:pPr>
        <w:pStyle w:val="Heading2"/>
        <w:numPr>
          <w:ilvl w:val="0"/>
          <w:numId w:val="0"/>
        </w:numPr>
      </w:pPr>
      <w:bookmarkStart w:id="31" w:name="_Toc526864438"/>
      <w:r w:rsidRPr="004C2412">
        <w:t xml:space="preserve">8 </w:t>
      </w:r>
      <w:r w:rsidR="00E104E7" w:rsidRPr="004C2412">
        <w:rPr>
          <w:szCs w:val="22"/>
        </w:rPr>
        <w:t xml:space="preserve">– </w:t>
      </w:r>
      <w:r w:rsidR="00456F16" w:rsidRPr="004C2412">
        <w:t xml:space="preserve">Number of Compliance Reports </w:t>
      </w:r>
      <w:r w:rsidR="009F5454" w:rsidRPr="004C2412">
        <w:t xml:space="preserve">Submitted </w:t>
      </w:r>
      <w:r w:rsidR="00456F16" w:rsidRPr="004C2412">
        <w:t>per job seeker</w:t>
      </w:r>
      <w:r w:rsidR="00C93A2C" w:rsidRPr="004C2412">
        <w:t xml:space="preserve"> </w:t>
      </w:r>
      <w:r w:rsidR="00117C27" w:rsidRPr="004C2412">
        <w:t xml:space="preserve">- as at </w:t>
      </w:r>
      <w:r w:rsidR="00B7787D">
        <w:t>30</w:t>
      </w:r>
      <w:r w:rsidR="00B7787D" w:rsidRPr="004C2412">
        <w:t xml:space="preserve"> </w:t>
      </w:r>
      <w:r w:rsidR="00B7787D">
        <w:t>June</w:t>
      </w:r>
      <w:r w:rsidR="00117C27" w:rsidRPr="004C2412">
        <w:t xml:space="preserve"> 201</w:t>
      </w:r>
      <w:r w:rsidR="00C20B48" w:rsidRPr="004C2412">
        <w:t>8</w:t>
      </w:r>
      <w:bookmarkEnd w:id="31"/>
    </w:p>
    <w:tbl>
      <w:tblPr>
        <w:tblStyle w:val="CenterAlignTable"/>
        <w:tblW w:w="5000" w:type="pct"/>
        <w:tblInd w:w="0" w:type="dxa"/>
        <w:tblLook w:val="04E0" w:firstRow="1" w:lastRow="1" w:firstColumn="1" w:lastColumn="0" w:noHBand="0" w:noVBand="1"/>
        <w:tblCaption w:val="Number of Participation Reports per job seeker (at 31 March 2014)"/>
        <w:tblDescription w:val=" Number of Participation Reports per job seeker (at 31 March 2014)"/>
      </w:tblPr>
      <w:tblGrid>
        <w:gridCol w:w="4210"/>
        <w:gridCol w:w="4446"/>
        <w:gridCol w:w="3091"/>
        <w:gridCol w:w="2985"/>
      </w:tblGrid>
      <w:tr w:rsidR="00C93A2C" w:rsidRPr="004C2412" w14:paraId="36091357" w14:textId="77777777" w:rsidTr="008E736B">
        <w:trPr>
          <w:cnfStyle w:val="100000000000" w:firstRow="1" w:lastRow="0" w:firstColumn="0" w:lastColumn="0" w:oddVBand="0" w:evenVBand="0" w:oddHBand="0" w:evenHBand="0" w:firstRowFirstColumn="0" w:firstRowLastColumn="0" w:lastRowFirstColumn="0" w:lastRowLastColumn="0"/>
          <w:trHeight w:val="737"/>
          <w:tblHeader/>
        </w:trPr>
        <w:tc>
          <w:tcPr>
            <w:cnfStyle w:val="001000000000" w:firstRow="0" w:lastRow="0" w:firstColumn="1" w:lastColumn="0" w:oddVBand="0" w:evenVBand="0" w:oddHBand="0" w:evenHBand="0" w:firstRowFirstColumn="0" w:firstRowLastColumn="0" w:lastRowFirstColumn="0" w:lastRowLastColumn="0"/>
            <w:tcW w:w="1429" w:type="pct"/>
            <w:shd w:val="clear" w:color="auto" w:fill="auto"/>
            <w:vAlign w:val="center"/>
          </w:tcPr>
          <w:p w14:paraId="36091353" w14:textId="107B39D7" w:rsidR="00C93A2C" w:rsidRPr="004C2412" w:rsidRDefault="00C93A2C" w:rsidP="00910012">
            <w:pPr>
              <w:spacing w:before="0"/>
              <w:ind w:left="0"/>
              <w:rPr>
                <w:noProof/>
              </w:rPr>
            </w:pPr>
            <w:r w:rsidRPr="004C2412">
              <w:rPr>
                <w:noProof/>
              </w:rPr>
              <w:t>Number of NARs</w:t>
            </w:r>
            <w:r w:rsidR="00E237B1" w:rsidRPr="004C2412">
              <w:rPr>
                <w:noProof/>
              </w:rPr>
              <w:t>, PRs</w:t>
            </w:r>
            <w:r w:rsidRPr="004C2412">
              <w:rPr>
                <w:noProof/>
              </w:rPr>
              <w:t xml:space="preserve"> or PARs per job seeker</w:t>
            </w:r>
          </w:p>
        </w:tc>
        <w:tc>
          <w:tcPr>
            <w:tcW w:w="1509" w:type="pct"/>
            <w:vAlign w:val="center"/>
          </w:tcPr>
          <w:p w14:paraId="36091354" w14:textId="77777777" w:rsidR="00C93A2C" w:rsidRPr="004C2412" w:rsidRDefault="00C93A2C"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Number of all job seekers</w:t>
            </w:r>
          </w:p>
        </w:tc>
        <w:tc>
          <w:tcPr>
            <w:tcW w:w="1049" w:type="pct"/>
            <w:vAlign w:val="center"/>
          </w:tcPr>
          <w:p w14:paraId="36091355" w14:textId="77777777" w:rsidR="00C93A2C" w:rsidRPr="004C2412" w:rsidRDefault="00C93A2C"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 of all job seekers</w:t>
            </w:r>
          </w:p>
        </w:tc>
        <w:tc>
          <w:tcPr>
            <w:tcW w:w="1013" w:type="pct"/>
            <w:vAlign w:val="center"/>
          </w:tcPr>
          <w:p w14:paraId="36091356" w14:textId="25DF13D0" w:rsidR="00C93A2C" w:rsidRPr="004C2412" w:rsidRDefault="00C93A2C"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 of PRs, NARs or PARs</w:t>
            </w:r>
          </w:p>
        </w:tc>
      </w:tr>
      <w:tr w:rsidR="00B7787D" w:rsidRPr="004C2412" w14:paraId="3609135C"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1429" w:type="pct"/>
            <w:vAlign w:val="center"/>
          </w:tcPr>
          <w:p w14:paraId="36091358" w14:textId="77777777" w:rsidR="00B7787D" w:rsidRPr="004C2412" w:rsidRDefault="00B7787D" w:rsidP="00B7787D">
            <w:pPr>
              <w:spacing w:before="0"/>
              <w:ind w:left="0"/>
              <w:rPr>
                <w:noProof/>
              </w:rPr>
            </w:pPr>
            <w:r w:rsidRPr="004C2412">
              <w:rPr>
                <w:noProof/>
              </w:rPr>
              <w:t>0</w:t>
            </w:r>
          </w:p>
        </w:tc>
        <w:tc>
          <w:tcPr>
            <w:tcW w:w="1509" w:type="pct"/>
            <w:vAlign w:val="center"/>
          </w:tcPr>
          <w:p w14:paraId="36091359" w14:textId="54827DAA"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474,937</w:t>
            </w:r>
          </w:p>
        </w:tc>
        <w:tc>
          <w:tcPr>
            <w:tcW w:w="1049" w:type="pct"/>
            <w:vAlign w:val="center"/>
          </w:tcPr>
          <w:p w14:paraId="3609135A" w14:textId="540C9DF9"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54.6%</w:t>
            </w:r>
          </w:p>
        </w:tc>
        <w:tc>
          <w:tcPr>
            <w:tcW w:w="1013" w:type="pct"/>
            <w:vAlign w:val="center"/>
          </w:tcPr>
          <w:p w14:paraId="3609135B" w14:textId="736940B0"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N/A</w:t>
            </w:r>
          </w:p>
        </w:tc>
      </w:tr>
      <w:tr w:rsidR="00B7787D" w:rsidRPr="004C2412" w14:paraId="36091361"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1429" w:type="pct"/>
            <w:vAlign w:val="center"/>
          </w:tcPr>
          <w:p w14:paraId="3609135D" w14:textId="77777777" w:rsidR="00B7787D" w:rsidRPr="004C2412" w:rsidRDefault="00B7787D" w:rsidP="00B7787D">
            <w:pPr>
              <w:spacing w:before="0"/>
              <w:ind w:left="0"/>
              <w:rPr>
                <w:noProof/>
              </w:rPr>
            </w:pPr>
            <w:r w:rsidRPr="004C2412">
              <w:rPr>
                <w:noProof/>
              </w:rPr>
              <w:t>1</w:t>
            </w:r>
          </w:p>
        </w:tc>
        <w:tc>
          <w:tcPr>
            <w:tcW w:w="1509" w:type="pct"/>
            <w:vAlign w:val="center"/>
          </w:tcPr>
          <w:p w14:paraId="3609135E" w14:textId="0BCBC086"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122,213</w:t>
            </w:r>
          </w:p>
        </w:tc>
        <w:tc>
          <w:tcPr>
            <w:tcW w:w="1049" w:type="pct"/>
            <w:vAlign w:val="center"/>
          </w:tcPr>
          <w:p w14:paraId="3609135F" w14:textId="2AE22E0D"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14.0%</w:t>
            </w:r>
          </w:p>
        </w:tc>
        <w:tc>
          <w:tcPr>
            <w:tcW w:w="1013" w:type="pct"/>
            <w:vAlign w:val="center"/>
          </w:tcPr>
          <w:p w14:paraId="36091360" w14:textId="704B5B96"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6.5%</w:t>
            </w:r>
          </w:p>
        </w:tc>
      </w:tr>
      <w:tr w:rsidR="00B7787D" w:rsidRPr="004C2412" w14:paraId="36091366"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1429" w:type="pct"/>
            <w:vAlign w:val="center"/>
          </w:tcPr>
          <w:p w14:paraId="36091362" w14:textId="77777777" w:rsidR="00B7787D" w:rsidRPr="004C2412" w:rsidRDefault="00B7787D" w:rsidP="00B7787D">
            <w:pPr>
              <w:spacing w:before="0"/>
              <w:ind w:left="0"/>
              <w:rPr>
                <w:noProof/>
              </w:rPr>
            </w:pPr>
            <w:r w:rsidRPr="004C2412">
              <w:rPr>
                <w:noProof/>
              </w:rPr>
              <w:t>2</w:t>
            </w:r>
          </w:p>
        </w:tc>
        <w:tc>
          <w:tcPr>
            <w:tcW w:w="1509" w:type="pct"/>
            <w:vAlign w:val="center"/>
          </w:tcPr>
          <w:p w14:paraId="36091363" w14:textId="45F5B200"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65,012</w:t>
            </w:r>
          </w:p>
        </w:tc>
        <w:tc>
          <w:tcPr>
            <w:tcW w:w="1049" w:type="pct"/>
            <w:vAlign w:val="center"/>
          </w:tcPr>
          <w:p w14:paraId="36091364" w14:textId="22FD9E1D"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7.5%</w:t>
            </w:r>
          </w:p>
        </w:tc>
        <w:tc>
          <w:tcPr>
            <w:tcW w:w="1013" w:type="pct"/>
            <w:vAlign w:val="center"/>
          </w:tcPr>
          <w:p w14:paraId="36091365" w14:textId="02CF0636"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6.9%</w:t>
            </w:r>
          </w:p>
        </w:tc>
      </w:tr>
      <w:tr w:rsidR="00B7787D" w:rsidRPr="004C2412" w14:paraId="3609136B"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1429" w:type="pct"/>
            <w:vAlign w:val="center"/>
          </w:tcPr>
          <w:p w14:paraId="36091367" w14:textId="77777777" w:rsidR="00B7787D" w:rsidRPr="004C2412" w:rsidRDefault="00B7787D" w:rsidP="00B7787D">
            <w:pPr>
              <w:spacing w:before="0"/>
              <w:ind w:left="0"/>
              <w:rPr>
                <w:noProof/>
              </w:rPr>
            </w:pPr>
            <w:r w:rsidRPr="004C2412">
              <w:rPr>
                <w:noProof/>
              </w:rPr>
              <w:t>3</w:t>
            </w:r>
          </w:p>
        </w:tc>
        <w:tc>
          <w:tcPr>
            <w:tcW w:w="1509" w:type="pct"/>
            <w:vAlign w:val="center"/>
          </w:tcPr>
          <w:p w14:paraId="36091368" w14:textId="4ECBD370"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42,753</w:t>
            </w:r>
          </w:p>
        </w:tc>
        <w:tc>
          <w:tcPr>
            <w:tcW w:w="1049" w:type="pct"/>
            <w:vAlign w:val="center"/>
          </w:tcPr>
          <w:p w14:paraId="36091369" w14:textId="07C83FEF"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4.9%</w:t>
            </w:r>
          </w:p>
        </w:tc>
        <w:tc>
          <w:tcPr>
            <w:tcW w:w="1013" w:type="pct"/>
            <w:vAlign w:val="center"/>
          </w:tcPr>
          <w:p w14:paraId="3609136A" w14:textId="1E50632C"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6.8%</w:t>
            </w:r>
          </w:p>
        </w:tc>
      </w:tr>
      <w:tr w:rsidR="00B7787D" w:rsidRPr="004C2412" w14:paraId="36091370"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1429" w:type="pct"/>
            <w:vAlign w:val="center"/>
          </w:tcPr>
          <w:p w14:paraId="3609136C" w14:textId="77777777" w:rsidR="00B7787D" w:rsidRPr="004C2412" w:rsidRDefault="00B7787D" w:rsidP="00B7787D">
            <w:pPr>
              <w:spacing w:before="0"/>
              <w:ind w:left="0"/>
              <w:rPr>
                <w:noProof/>
              </w:rPr>
            </w:pPr>
            <w:r w:rsidRPr="004C2412">
              <w:rPr>
                <w:noProof/>
              </w:rPr>
              <w:t>4</w:t>
            </w:r>
          </w:p>
        </w:tc>
        <w:tc>
          <w:tcPr>
            <w:tcW w:w="1509" w:type="pct"/>
            <w:vAlign w:val="center"/>
          </w:tcPr>
          <w:p w14:paraId="3609136D" w14:textId="02085733"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31,216</w:t>
            </w:r>
          </w:p>
        </w:tc>
        <w:tc>
          <w:tcPr>
            <w:tcW w:w="1049" w:type="pct"/>
            <w:vAlign w:val="center"/>
          </w:tcPr>
          <w:p w14:paraId="3609136E" w14:textId="5B72C588"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3.6%</w:t>
            </w:r>
          </w:p>
        </w:tc>
        <w:tc>
          <w:tcPr>
            <w:tcW w:w="1013" w:type="pct"/>
            <w:vAlign w:val="center"/>
          </w:tcPr>
          <w:p w14:paraId="3609136F" w14:textId="5FEDC33D"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6.6%</w:t>
            </w:r>
          </w:p>
        </w:tc>
      </w:tr>
      <w:tr w:rsidR="00B7787D" w:rsidRPr="004C2412" w14:paraId="36091375"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1429" w:type="pct"/>
            <w:vAlign w:val="center"/>
          </w:tcPr>
          <w:p w14:paraId="36091371" w14:textId="77777777" w:rsidR="00B7787D" w:rsidRPr="004C2412" w:rsidRDefault="00B7787D" w:rsidP="00B7787D">
            <w:pPr>
              <w:spacing w:before="0"/>
              <w:ind w:left="0"/>
              <w:rPr>
                <w:noProof/>
              </w:rPr>
            </w:pPr>
            <w:r w:rsidRPr="004C2412">
              <w:rPr>
                <w:noProof/>
              </w:rPr>
              <w:t>5+</w:t>
            </w:r>
          </w:p>
        </w:tc>
        <w:tc>
          <w:tcPr>
            <w:tcW w:w="1509" w:type="pct"/>
            <w:vAlign w:val="center"/>
          </w:tcPr>
          <w:p w14:paraId="36091372" w14:textId="0056D809"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134,145</w:t>
            </w:r>
          </w:p>
        </w:tc>
        <w:tc>
          <w:tcPr>
            <w:tcW w:w="1049" w:type="pct"/>
            <w:vAlign w:val="center"/>
          </w:tcPr>
          <w:p w14:paraId="36091373" w14:textId="7E10A739"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15.4%</w:t>
            </w:r>
          </w:p>
        </w:tc>
        <w:tc>
          <w:tcPr>
            <w:tcW w:w="1013" w:type="pct"/>
            <w:vAlign w:val="center"/>
          </w:tcPr>
          <w:p w14:paraId="36091374" w14:textId="6A2A1617" w:rsidR="00B7787D" w:rsidRPr="004C2412" w:rsidRDefault="00B7787D" w:rsidP="00B778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73.3%</w:t>
            </w:r>
          </w:p>
        </w:tc>
      </w:tr>
      <w:tr w:rsidR="00B7787D" w:rsidRPr="004C2412" w14:paraId="3609137A" w14:textId="77777777" w:rsidTr="00910012">
        <w:trPr>
          <w:cnfStyle w:val="010000000000" w:firstRow="0" w:lastRow="1"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29" w:type="pct"/>
            <w:vAlign w:val="center"/>
          </w:tcPr>
          <w:p w14:paraId="36091376" w14:textId="77777777" w:rsidR="00B7787D" w:rsidRPr="004C2412" w:rsidRDefault="00B7787D" w:rsidP="00B7787D">
            <w:pPr>
              <w:spacing w:before="0"/>
              <w:ind w:left="0"/>
              <w:rPr>
                <w:noProof/>
              </w:rPr>
            </w:pPr>
            <w:r w:rsidRPr="004C2412">
              <w:rPr>
                <w:noProof/>
              </w:rPr>
              <w:t>Total</w:t>
            </w:r>
          </w:p>
        </w:tc>
        <w:tc>
          <w:tcPr>
            <w:tcW w:w="1509" w:type="pct"/>
            <w:vAlign w:val="center"/>
          </w:tcPr>
          <w:p w14:paraId="36091377" w14:textId="415A06E2" w:rsidR="00B7787D" w:rsidRPr="00443621" w:rsidRDefault="00B7787D" w:rsidP="00B7787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443621">
              <w:rPr>
                <w:rFonts w:cs="Gill Sans MT"/>
                <w:bCs/>
                <w:color w:val="000000"/>
              </w:rPr>
              <w:t>870,276</w:t>
            </w:r>
          </w:p>
        </w:tc>
        <w:tc>
          <w:tcPr>
            <w:tcW w:w="1049" w:type="pct"/>
            <w:vAlign w:val="center"/>
          </w:tcPr>
          <w:p w14:paraId="36091378" w14:textId="72041B8E" w:rsidR="00B7787D" w:rsidRPr="00443621" w:rsidRDefault="00B7787D" w:rsidP="00B7787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443621">
              <w:rPr>
                <w:rFonts w:cs="Gill Sans MT"/>
                <w:bCs/>
                <w:color w:val="000000"/>
              </w:rPr>
              <w:t>100%</w:t>
            </w:r>
          </w:p>
        </w:tc>
        <w:tc>
          <w:tcPr>
            <w:tcW w:w="1013" w:type="pct"/>
            <w:vAlign w:val="center"/>
          </w:tcPr>
          <w:p w14:paraId="36091379" w14:textId="0880EC6F" w:rsidR="00B7787D" w:rsidRPr="00443621" w:rsidRDefault="00B7787D" w:rsidP="00B7787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443621">
              <w:rPr>
                <w:rFonts w:cs="Gill Sans MT"/>
                <w:bCs/>
                <w:color w:val="000000"/>
              </w:rPr>
              <w:t>100%</w:t>
            </w:r>
          </w:p>
        </w:tc>
      </w:tr>
    </w:tbl>
    <w:p w14:paraId="3609137B" w14:textId="7B718F4B" w:rsidR="008F1667" w:rsidRPr="004C2412" w:rsidRDefault="008F1667" w:rsidP="00F65699">
      <w:pPr>
        <w:spacing w:after="120" w:line="240" w:lineRule="auto"/>
        <w:ind w:left="0"/>
      </w:pPr>
      <w:r w:rsidRPr="004C2412">
        <w:t xml:space="preserve">This table shows the number and percentage of job seekers who have not been reported for non-compliance and the number and percentage that have been reported, </w:t>
      </w:r>
      <w:proofErr w:type="gramStart"/>
      <w:r w:rsidRPr="004C2412">
        <w:t>either through</w:t>
      </w:r>
      <w:proofErr w:type="gramEnd"/>
      <w:r w:rsidRPr="004C2412">
        <w:t xml:space="preserve"> a Non-Attendance Report </w:t>
      </w:r>
      <w:r w:rsidR="00E237B1" w:rsidRPr="004C2412">
        <w:t xml:space="preserve">(NAR) and/or Participation Report (PR) </w:t>
      </w:r>
      <w:r w:rsidRPr="004C2412">
        <w:t>and/or Provider Appointment Report</w:t>
      </w:r>
      <w:r w:rsidR="00E237B1" w:rsidRPr="004C2412">
        <w:t xml:space="preserve"> (PAR)</w:t>
      </w:r>
      <w:r w:rsidRPr="004C2412">
        <w:t>, on one or multiple occasions.</w:t>
      </w:r>
    </w:p>
    <w:p w14:paraId="3609137C" w14:textId="67F788A9" w:rsidR="008F1667" w:rsidRPr="004C2412" w:rsidRDefault="008F1667" w:rsidP="00A609AA">
      <w:pPr>
        <w:spacing w:before="240" w:after="240" w:line="240" w:lineRule="auto"/>
        <w:ind w:left="0"/>
      </w:pPr>
      <w:r w:rsidRPr="004C2412">
        <w:t xml:space="preserve">A </w:t>
      </w:r>
      <w:proofErr w:type="gramStart"/>
      <w:r w:rsidRPr="004C2412">
        <w:t>Provider Appointment Report must be preceded by a Non-Attendance</w:t>
      </w:r>
      <w:proofErr w:type="gramEnd"/>
      <w:r w:rsidRPr="004C2412">
        <w:t xml:space="preserve"> </w:t>
      </w:r>
      <w:r w:rsidR="00DB01A3" w:rsidRPr="004C2412">
        <w:t>Report;</w:t>
      </w:r>
      <w:r w:rsidRPr="004C2412">
        <w:t xml:space="preserve"> however, every Non-Attendance Report may not result in a Provider Appointment Report being submitted by a provider. When a Provider Appointment Report </w:t>
      </w:r>
      <w:proofErr w:type="gramStart"/>
      <w:r w:rsidRPr="004C2412">
        <w:t>is submitted</w:t>
      </w:r>
      <w:proofErr w:type="gramEnd"/>
      <w:r w:rsidRPr="004C2412">
        <w:t>, the preceding Non-Attendance Report is not counted in the table above.</w:t>
      </w:r>
    </w:p>
    <w:p w14:paraId="3609137D" w14:textId="4C4616B9" w:rsidR="008F1667" w:rsidRPr="004C2412" w:rsidRDefault="008F1667" w:rsidP="00F65699">
      <w:pPr>
        <w:spacing w:before="360" w:after="120" w:line="240" w:lineRule="auto"/>
        <w:ind w:left="0"/>
      </w:pPr>
      <w:r w:rsidRPr="004C2412">
        <w:t>“No. of all job seekers” and “% of all job seekers” indicate</w:t>
      </w:r>
      <w:r w:rsidR="00253F6F" w:rsidRPr="004C2412">
        <w:t xml:space="preserve"> respectively</w:t>
      </w:r>
      <w:r w:rsidRPr="004C2412">
        <w:t xml:space="preserve"> the total number and proportion of all job seekers as at </w:t>
      </w:r>
      <w:r w:rsidR="002349C7" w:rsidRPr="004C2412">
        <w:t>3</w:t>
      </w:r>
      <w:r w:rsidR="00B7787D">
        <w:t>0</w:t>
      </w:r>
      <w:r w:rsidR="002349C7" w:rsidRPr="004C2412">
        <w:t xml:space="preserve"> </w:t>
      </w:r>
      <w:r w:rsidR="00B7787D">
        <w:t>June</w:t>
      </w:r>
      <w:r w:rsidR="00C20B48" w:rsidRPr="004C2412">
        <w:t xml:space="preserve"> 2018</w:t>
      </w:r>
      <w:r w:rsidRPr="004C2412">
        <w:t xml:space="preserve"> who</w:t>
      </w:r>
      <w:r w:rsidR="00B7787D">
        <w:t xml:space="preserve"> received</w:t>
      </w:r>
      <w:r w:rsidRPr="004C2412">
        <w:t xml:space="preserve"> the specified number of</w:t>
      </w:r>
      <w:r w:rsidR="00B7787D">
        <w:t xml:space="preserve"> Participation </w:t>
      </w:r>
      <w:r w:rsidR="00B7787D" w:rsidRPr="004C2412">
        <w:t>Reports</w:t>
      </w:r>
      <w:r w:rsidR="00B7787D">
        <w:t xml:space="preserve">, Provider Appointment Reports and/or Non-Attendance Report </w:t>
      </w:r>
      <w:r w:rsidRPr="004C2412">
        <w:t xml:space="preserve">over the </w:t>
      </w:r>
      <w:r w:rsidR="001201E4">
        <w:t>preceding</w:t>
      </w:r>
      <w:r w:rsidRPr="004C2412">
        <w:t xml:space="preserve"> twelve months.</w:t>
      </w:r>
    </w:p>
    <w:p w14:paraId="3609137E" w14:textId="58BA6C1D" w:rsidR="008F1667" w:rsidRPr="004C2412" w:rsidRDefault="008F1667" w:rsidP="00A609AA">
      <w:pPr>
        <w:spacing w:before="240" w:after="240" w:line="240" w:lineRule="auto"/>
        <w:ind w:left="0"/>
      </w:pPr>
      <w:proofErr w:type="gramStart"/>
      <w:r w:rsidRPr="004C2412">
        <w:t xml:space="preserve">“% of PRs, NARs, PARs” indicates the percentage of Participation Reports, Provider Appointment Reports and Non-Attendance Reports submitted in relation to each particular cohort of job seekers at </w:t>
      </w:r>
      <w:r w:rsidR="003F304D">
        <w:t>30</w:t>
      </w:r>
      <w:r w:rsidR="003F304D" w:rsidRPr="004C2412">
        <w:t xml:space="preserve"> </w:t>
      </w:r>
      <w:r w:rsidR="003F304D">
        <w:t>June</w:t>
      </w:r>
      <w:r w:rsidR="00C20B48" w:rsidRPr="004C2412">
        <w:t xml:space="preserve"> 2018</w:t>
      </w:r>
      <w:r w:rsidR="002349C7" w:rsidRPr="004C2412">
        <w:t xml:space="preserve"> </w:t>
      </w:r>
      <w:r w:rsidRPr="004C2412">
        <w:t>during the preceding twelve month period (e.g.</w:t>
      </w:r>
      <w:r w:rsidR="00135D0E" w:rsidRPr="004C2412">
        <w:t xml:space="preserve"> </w:t>
      </w:r>
      <w:r w:rsidR="00C20B48" w:rsidRPr="004C2412">
        <w:t>73.</w:t>
      </w:r>
      <w:r w:rsidR="003F304D">
        <w:t>3</w:t>
      </w:r>
      <w:r w:rsidRPr="004C2412">
        <w:t xml:space="preserve"> per cent of all compli</w:t>
      </w:r>
      <w:r w:rsidR="004322AF" w:rsidRPr="004C2412">
        <w:t>ance reports submitted between</w:t>
      </w:r>
      <w:r w:rsidR="00B41543">
        <w:t xml:space="preserve"> 1 </w:t>
      </w:r>
      <w:r w:rsidR="003F304D">
        <w:t>July</w:t>
      </w:r>
      <w:r w:rsidR="003F304D" w:rsidRPr="004C2412">
        <w:t xml:space="preserve"> </w:t>
      </w:r>
      <w:r w:rsidR="002349C7" w:rsidRPr="004C2412">
        <w:t>2017</w:t>
      </w:r>
      <w:r w:rsidRPr="004C2412">
        <w:t xml:space="preserve"> and </w:t>
      </w:r>
      <w:r w:rsidR="002349C7" w:rsidRPr="004C2412">
        <w:t>3</w:t>
      </w:r>
      <w:r w:rsidR="003F304D">
        <w:t>0</w:t>
      </w:r>
      <w:r w:rsidR="002349C7" w:rsidRPr="004C2412">
        <w:t xml:space="preserve"> </w:t>
      </w:r>
      <w:r w:rsidR="003F304D">
        <w:t>June</w:t>
      </w:r>
      <w:r w:rsidR="00C20B48" w:rsidRPr="004C2412">
        <w:t xml:space="preserve"> 2018</w:t>
      </w:r>
      <w:r w:rsidR="002349C7" w:rsidRPr="004C2412">
        <w:t xml:space="preserve"> </w:t>
      </w:r>
      <w:r w:rsidRPr="004C2412">
        <w:t xml:space="preserve">were submitted in relation to those job seekers who, as at </w:t>
      </w:r>
      <w:r w:rsidR="003F304D">
        <w:t>30</w:t>
      </w:r>
      <w:r w:rsidR="003F304D" w:rsidRPr="004C2412">
        <w:t xml:space="preserve"> </w:t>
      </w:r>
      <w:r w:rsidR="003F304D">
        <w:t xml:space="preserve">June </w:t>
      </w:r>
      <w:r w:rsidR="00C20B48" w:rsidRPr="004C2412">
        <w:t xml:space="preserve"> 2018</w:t>
      </w:r>
      <w:r w:rsidRPr="004C2412">
        <w:t>, had received five or more Participation Reports, Provider Appointment Reports and/or Non-Attendance Reports during the previous 12 months).</w:t>
      </w:r>
      <w:proofErr w:type="gramEnd"/>
      <w:r w:rsidRPr="004C2412">
        <w:t xml:space="preserve"> </w:t>
      </w:r>
    </w:p>
    <w:p w14:paraId="3609137F" w14:textId="78E65FD3" w:rsidR="00ED1D1C" w:rsidRPr="004C2412" w:rsidRDefault="007E15CD" w:rsidP="00A60409">
      <w:pPr>
        <w:spacing w:before="0" w:after="120" w:line="240" w:lineRule="auto"/>
        <w:ind w:left="0"/>
      </w:pPr>
      <w:r w:rsidRPr="00053C13">
        <w:t>Note: Discrepancies may occur between the sum of component percentages and the total percentage, due to rounding.</w:t>
      </w:r>
    </w:p>
    <w:p w14:paraId="6C388A8A" w14:textId="3777B647" w:rsidR="00A60409" w:rsidRPr="004C2412" w:rsidRDefault="00E909FA" w:rsidP="00A60409">
      <w:pPr>
        <w:spacing w:before="0" w:after="120" w:line="240" w:lineRule="auto"/>
        <w:ind w:left="0"/>
      </w:pPr>
      <w:r w:rsidRPr="004C2412">
        <w:br w:type="page"/>
      </w:r>
    </w:p>
    <w:p w14:paraId="36091381" w14:textId="5FCD8763" w:rsidR="00366AB0" w:rsidRPr="004C2412" w:rsidRDefault="00257627" w:rsidP="00A609AA">
      <w:pPr>
        <w:pStyle w:val="Heading2"/>
        <w:numPr>
          <w:ilvl w:val="0"/>
          <w:numId w:val="0"/>
        </w:numPr>
      </w:pPr>
      <w:bookmarkStart w:id="32" w:name="_Toc526864439"/>
      <w:r w:rsidRPr="004C2412">
        <w:t xml:space="preserve">9 </w:t>
      </w:r>
      <w:r w:rsidR="00E104E7" w:rsidRPr="004C2412">
        <w:rPr>
          <w:szCs w:val="22"/>
        </w:rPr>
        <w:t xml:space="preserve">– </w:t>
      </w:r>
      <w:r w:rsidR="00117C27" w:rsidRPr="004C2412">
        <w:t>Applied</w:t>
      </w:r>
      <w:r w:rsidR="00456F16" w:rsidRPr="004C2412">
        <w:t xml:space="preserve"> Participation Failures </w:t>
      </w:r>
      <w:r w:rsidR="00C95ED9" w:rsidRPr="004C2412">
        <w:t xml:space="preserve">- </w:t>
      </w:r>
      <w:r w:rsidR="00117C27" w:rsidRPr="004C2412">
        <w:t xml:space="preserve">1 </w:t>
      </w:r>
      <w:r w:rsidR="00DD019F">
        <w:t>April</w:t>
      </w:r>
      <w:r w:rsidR="00DD019F" w:rsidRPr="004C2412">
        <w:t xml:space="preserve"> </w:t>
      </w:r>
      <w:r w:rsidR="00C95ED9" w:rsidRPr="004C2412">
        <w:t>to</w:t>
      </w:r>
      <w:r w:rsidR="00117C27" w:rsidRPr="004C2412">
        <w:t xml:space="preserve"> </w:t>
      </w:r>
      <w:r w:rsidR="00DD019F">
        <w:t>30 June</w:t>
      </w:r>
      <w:r w:rsidR="00C20B48" w:rsidRPr="004C2412">
        <w:t xml:space="preserve"> 2018</w:t>
      </w:r>
      <w:r w:rsidR="00117C27" w:rsidRPr="004C2412">
        <w:t xml:space="preserve">, and in past 12 months as at </w:t>
      </w:r>
      <w:r w:rsidR="00DD019F">
        <w:t xml:space="preserve">30 June </w:t>
      </w:r>
      <w:r w:rsidR="00117C27" w:rsidRPr="004C2412">
        <w:t>201</w:t>
      </w:r>
      <w:r w:rsidR="00C20B48" w:rsidRPr="004C2412">
        <w:t>8</w:t>
      </w:r>
      <w:bookmarkEnd w:id="32"/>
    </w:p>
    <w:tbl>
      <w:tblPr>
        <w:tblStyle w:val="CenterAlignTable"/>
        <w:tblW w:w="5001" w:type="pct"/>
        <w:tblInd w:w="-5" w:type="dxa"/>
        <w:tblLook w:val="04A0" w:firstRow="1" w:lastRow="0" w:firstColumn="1" w:lastColumn="0" w:noHBand="0" w:noVBand="1"/>
        <w:tblCaption w:val="Number of Participation Failures"/>
        <w:tblDescription w:val=" Number of Participation Failures"/>
      </w:tblPr>
      <w:tblGrid>
        <w:gridCol w:w="4020"/>
        <w:gridCol w:w="5443"/>
        <w:gridCol w:w="5272"/>
      </w:tblGrid>
      <w:tr w:rsidR="0027748E" w:rsidRPr="004C2412" w14:paraId="36091386" w14:textId="77777777" w:rsidTr="008E736B">
        <w:trPr>
          <w:cnfStyle w:val="100000000000" w:firstRow="1" w:lastRow="0" w:firstColumn="0" w:lastColumn="0" w:oddVBand="0" w:evenVBand="0" w:oddHBand="0" w:evenHBand="0" w:firstRowFirstColumn="0" w:firstRowLastColumn="0" w:lastRowFirstColumn="0" w:lastRowLastColumn="0"/>
          <w:trHeight w:val="588"/>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auto"/>
            <w:vAlign w:val="center"/>
          </w:tcPr>
          <w:p w14:paraId="36091383" w14:textId="46CA2A1D" w:rsidR="0027748E" w:rsidRPr="004C2412" w:rsidRDefault="0027748E" w:rsidP="003F304D">
            <w:pPr>
              <w:spacing w:before="0"/>
              <w:ind w:left="0"/>
              <w:rPr>
                <w:noProof/>
              </w:rPr>
            </w:pPr>
            <w:r w:rsidRPr="004C2412">
              <w:rPr>
                <w:noProof/>
              </w:rPr>
              <w:t>Number of Participation Failures</w:t>
            </w:r>
            <w:r w:rsidR="00253F6F" w:rsidRPr="004C2412">
              <w:rPr>
                <w:noProof/>
              </w:rPr>
              <w:t xml:space="preserve"> Applied in Quarter*</w:t>
            </w:r>
          </w:p>
        </w:tc>
        <w:tc>
          <w:tcPr>
            <w:tcW w:w="1847" w:type="pct"/>
            <w:vAlign w:val="center"/>
          </w:tcPr>
          <w:p w14:paraId="36091384" w14:textId="62FD66E7" w:rsidR="0027748E" w:rsidRPr="004C2412" w:rsidRDefault="0027748E" w:rsidP="003F304D">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Number of job seekers with a Participation Failure applied in past 12 months</w:t>
            </w:r>
            <w:r w:rsidR="00253F6F" w:rsidRPr="004C2412">
              <w:rPr>
                <w:noProof/>
              </w:rPr>
              <w:t xml:space="preserve"> - </w:t>
            </w:r>
            <w:r w:rsidRPr="004C2412">
              <w:rPr>
                <w:noProof/>
              </w:rPr>
              <w:t xml:space="preserve">as at </w:t>
            </w:r>
            <w:r w:rsidR="00253F6F" w:rsidRPr="004C2412">
              <w:rPr>
                <w:noProof/>
              </w:rPr>
              <w:t>end of quarter^</w:t>
            </w:r>
          </w:p>
        </w:tc>
        <w:tc>
          <w:tcPr>
            <w:tcW w:w="1789" w:type="pct"/>
            <w:vAlign w:val="center"/>
          </w:tcPr>
          <w:p w14:paraId="36091385" w14:textId="0F83211C" w:rsidR="0027748E" w:rsidRPr="004C2412" w:rsidRDefault="0027748E" w:rsidP="003F304D">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 xml:space="preserve">% of job seekers with a Participation Failure </w:t>
            </w:r>
            <w:r w:rsidR="00253F6F" w:rsidRPr="004C2412">
              <w:rPr>
                <w:noProof/>
              </w:rPr>
              <w:t xml:space="preserve">Applied </w:t>
            </w:r>
            <w:r w:rsidRPr="004C2412">
              <w:rPr>
                <w:noProof/>
              </w:rPr>
              <w:t>in past 12 months</w:t>
            </w:r>
            <w:r w:rsidR="00253F6F" w:rsidRPr="004C2412">
              <w:rPr>
                <w:noProof/>
              </w:rPr>
              <w:t xml:space="preserve"> # </w:t>
            </w:r>
          </w:p>
        </w:tc>
      </w:tr>
      <w:tr w:rsidR="003F304D" w:rsidRPr="004C2412" w14:paraId="3609138A" w14:textId="77777777" w:rsidTr="00E87EAA">
        <w:trPr>
          <w:trHeight w:val="413"/>
        </w:trPr>
        <w:tc>
          <w:tcPr>
            <w:cnfStyle w:val="001000000000" w:firstRow="0" w:lastRow="0" w:firstColumn="1" w:lastColumn="0" w:oddVBand="0" w:evenVBand="0" w:oddHBand="0" w:evenHBand="0" w:firstRowFirstColumn="0" w:firstRowLastColumn="0" w:lastRowFirstColumn="0" w:lastRowLastColumn="0"/>
            <w:tcW w:w="1364" w:type="pct"/>
            <w:vAlign w:val="center"/>
          </w:tcPr>
          <w:p w14:paraId="36091387" w14:textId="735656CB" w:rsidR="003F304D" w:rsidRPr="004C2412" w:rsidRDefault="003F304D" w:rsidP="003F304D">
            <w:pPr>
              <w:autoSpaceDE w:val="0"/>
              <w:autoSpaceDN w:val="0"/>
              <w:adjustRightInd w:val="0"/>
              <w:spacing w:before="0"/>
              <w:ind w:left="0"/>
              <w:rPr>
                <w:rFonts w:cs="Gill Sans MT"/>
                <w:b w:val="0"/>
                <w:color w:val="000000"/>
              </w:rPr>
            </w:pPr>
            <w:r w:rsidRPr="00FE7CCB">
              <w:rPr>
                <w:rFonts w:cs="Gill Sans MT"/>
                <w:b w:val="0"/>
                <w:color w:val="000000"/>
              </w:rPr>
              <w:t>110,226</w:t>
            </w:r>
          </w:p>
        </w:tc>
        <w:tc>
          <w:tcPr>
            <w:tcW w:w="1847" w:type="pct"/>
            <w:vAlign w:val="center"/>
          </w:tcPr>
          <w:p w14:paraId="36091388" w14:textId="0D8F02BB" w:rsidR="003F304D" w:rsidRPr="004C2412" w:rsidRDefault="003F304D" w:rsidP="003F3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96,661</w:t>
            </w:r>
          </w:p>
        </w:tc>
        <w:tc>
          <w:tcPr>
            <w:tcW w:w="1789" w:type="pct"/>
            <w:vAlign w:val="center"/>
          </w:tcPr>
          <w:p w14:paraId="36091389" w14:textId="248A96E5" w:rsidR="003F304D" w:rsidRPr="004C2412" w:rsidRDefault="003F304D" w:rsidP="003F304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11.1%</w:t>
            </w:r>
          </w:p>
        </w:tc>
      </w:tr>
    </w:tbl>
    <w:p w14:paraId="3609138B" w14:textId="29E1586D" w:rsidR="00131442" w:rsidRPr="004C2412" w:rsidRDefault="00A9033B" w:rsidP="00A609AA">
      <w:pPr>
        <w:spacing w:after="120" w:line="240" w:lineRule="auto"/>
        <w:ind w:left="0"/>
      </w:pPr>
      <w:r w:rsidRPr="004C2412">
        <w:t xml:space="preserve">“Number of </w:t>
      </w:r>
      <w:r w:rsidR="00131442" w:rsidRPr="004C2412">
        <w:t>Participation Failures</w:t>
      </w:r>
      <w:r w:rsidRPr="004C2412">
        <w:t>”</w:t>
      </w:r>
      <w:r w:rsidR="00131442" w:rsidRPr="004C2412">
        <w:t xml:space="preserve"> shown include applied Connection, Reconnection, No Show No Pay failures, Non-Attendance failures, and Serious Failures for persistent non</w:t>
      </w:r>
      <w:r w:rsidR="00131442" w:rsidRPr="004C2412">
        <w:noBreakHyphen/>
        <w:t>compliance or failing to accept</w:t>
      </w:r>
      <w:r w:rsidR="00680E4C" w:rsidRPr="004C2412">
        <w:t xml:space="preserve"> or commence in a suitable job.</w:t>
      </w:r>
    </w:p>
    <w:p w14:paraId="3609138C" w14:textId="31E29AC1" w:rsidR="00131442" w:rsidRPr="004C2412" w:rsidRDefault="00131442" w:rsidP="00A609AA">
      <w:pPr>
        <w:spacing w:after="120" w:line="240" w:lineRule="auto"/>
        <w:ind w:left="0"/>
      </w:pPr>
      <w:r w:rsidRPr="004C2412">
        <w:t xml:space="preserve">Participation Failures </w:t>
      </w:r>
      <w:proofErr w:type="gramStart"/>
      <w:r w:rsidRPr="004C2412">
        <w:t>are applied</w:t>
      </w:r>
      <w:proofErr w:type="gramEnd"/>
      <w:r w:rsidRPr="004C2412">
        <w:t xml:space="preserve"> where the Department of Human Services has assessed a Participation Report or a Provider Appointment Report and has determined under social security law that the job seeker did not have a reasonable excuse. The Department of Human Services then records the Participation Failure on the job seeker’s record and this may or may not result in the application of a financial penalty,</w:t>
      </w:r>
      <w:r w:rsidR="00680E4C" w:rsidRPr="004C2412">
        <w:t xml:space="preserve"> depending on the failure type.</w:t>
      </w:r>
    </w:p>
    <w:p w14:paraId="3609138D" w14:textId="77777777" w:rsidR="00131442" w:rsidRPr="004C2412" w:rsidRDefault="00131442" w:rsidP="00A609AA">
      <w:pPr>
        <w:spacing w:after="120" w:line="240" w:lineRule="auto"/>
        <w:ind w:left="0"/>
      </w:pPr>
      <w:r w:rsidRPr="004C2412">
        <w:t>Non</w:t>
      </w:r>
      <w:r w:rsidRPr="004C2412">
        <w:noBreakHyphen/>
        <w:t>Attendance Reports, like Participation Reports, are a mechanism for providers to report non-compliance. However, the Department of Human Services does not consider reasonable excuse before actioning Non</w:t>
      </w:r>
      <w:r w:rsidRPr="004C2412">
        <w:noBreakHyphen/>
        <w:t xml:space="preserve">Attendance Reports and they do not result in the application of a Participation Failure or penalty (only </w:t>
      </w:r>
      <w:proofErr w:type="gramStart"/>
      <w:r w:rsidRPr="004C2412">
        <w:t>income support payment suspension</w:t>
      </w:r>
      <w:proofErr w:type="gramEnd"/>
      <w:r w:rsidRPr="004C2412">
        <w:t xml:space="preserve">). Unemployment Non Payment Periods (UNPPs) </w:t>
      </w:r>
      <w:proofErr w:type="gramStart"/>
      <w:r w:rsidRPr="004C2412">
        <w:t>are also excluded</w:t>
      </w:r>
      <w:proofErr w:type="gramEnd"/>
      <w:r w:rsidRPr="004C2412">
        <w:t xml:space="preserve"> from the table as the majority of UNPPs are initiated by the Department of Human Services prior to a job seeker commencing in employment services.</w:t>
      </w:r>
    </w:p>
    <w:p w14:paraId="3609138E" w14:textId="65C1A21A" w:rsidR="00023D5D" w:rsidRPr="004C2412" w:rsidRDefault="00253F6F" w:rsidP="00A609AA">
      <w:pPr>
        <w:spacing w:after="120" w:line="240" w:lineRule="auto"/>
        <w:ind w:left="0"/>
      </w:pPr>
      <w:r w:rsidRPr="004C2412">
        <w:t xml:space="preserve">* </w:t>
      </w:r>
      <w:r w:rsidR="00023D5D" w:rsidRPr="004C2412">
        <w:t>Figures for “Number of Participation Failures</w:t>
      </w:r>
      <w:r w:rsidRPr="004C2412">
        <w:t xml:space="preserve"> Applied in Quarter</w:t>
      </w:r>
      <w:r w:rsidR="00023D5D" w:rsidRPr="004C2412">
        <w:t>” may differ from the figures for “Participation Failures imposed” in Table 7, as Table 7 does not include Serious Failures for persistent non-compliance.</w:t>
      </w:r>
    </w:p>
    <w:p w14:paraId="3609138F" w14:textId="2FDD2673" w:rsidR="002D5EDF" w:rsidRPr="004C2412" w:rsidRDefault="00253F6F" w:rsidP="00A609AA">
      <w:pPr>
        <w:spacing w:after="120" w:line="240" w:lineRule="auto"/>
        <w:ind w:left="0"/>
      </w:pPr>
      <w:r w:rsidRPr="004C2412">
        <w:t xml:space="preserve">^ </w:t>
      </w:r>
      <w:r w:rsidR="00152AF5" w:rsidRPr="004C2412">
        <w:t>“Number</w:t>
      </w:r>
      <w:r w:rsidR="00131442" w:rsidRPr="004C2412">
        <w:t xml:space="preserve"> of job seekers with a Participation Failure applied</w:t>
      </w:r>
      <w:r w:rsidR="002D5EDF" w:rsidRPr="004C2412">
        <w:t xml:space="preserve"> in past 12 months</w:t>
      </w:r>
      <w:r w:rsidR="00131442" w:rsidRPr="004C2412">
        <w:t xml:space="preserve">” indicates the total number of job seekers as </w:t>
      </w:r>
      <w:r w:rsidRPr="004C2412">
        <w:t xml:space="preserve">at the end of the quarter </w:t>
      </w:r>
      <w:r w:rsidR="00131442" w:rsidRPr="004C2412">
        <w:t>who had at least one Participation Failure applied ov</w:t>
      </w:r>
      <w:r w:rsidR="00680E4C" w:rsidRPr="004C2412">
        <w:t>er the preceding twelve months.</w:t>
      </w:r>
    </w:p>
    <w:p w14:paraId="36091390" w14:textId="6682BDD7" w:rsidR="00131442" w:rsidRPr="004C2412" w:rsidRDefault="00253F6F" w:rsidP="00A609AA">
      <w:pPr>
        <w:spacing w:after="120" w:line="240" w:lineRule="auto"/>
        <w:ind w:left="0"/>
      </w:pPr>
      <w:r w:rsidRPr="004C2412">
        <w:t xml:space="preserve"># </w:t>
      </w:r>
      <w:r w:rsidR="00131442" w:rsidRPr="004C2412">
        <w:t>The “% of job seekers with a Participation Failure applied” figure gives the “No. of job seekers with a Participation Failure applied</w:t>
      </w:r>
      <w:r w:rsidR="00A9033B" w:rsidRPr="004C2412">
        <w:t xml:space="preserve"> in past 12 months</w:t>
      </w:r>
      <w:r w:rsidR="00131442" w:rsidRPr="004C2412">
        <w:t>” figure as a proportion of all activity tested job seekers at th</w:t>
      </w:r>
      <w:r w:rsidRPr="004C2412">
        <w:t>e end of the quarter (</w:t>
      </w:r>
      <w:r w:rsidR="00117C27" w:rsidRPr="004C2412">
        <w:t>i.e. “</w:t>
      </w:r>
      <w:r w:rsidRPr="004C2412">
        <w:t>Total job seekers</w:t>
      </w:r>
      <w:r w:rsidR="00117C27" w:rsidRPr="004C2412">
        <w:t>”</w:t>
      </w:r>
      <w:r w:rsidRPr="004C2412">
        <w:t xml:space="preserve"> from Table 1)</w:t>
      </w:r>
      <w:r w:rsidR="00131442" w:rsidRPr="004C2412">
        <w:t>.</w:t>
      </w:r>
    </w:p>
    <w:p w14:paraId="22BC0B24" w14:textId="0818419E" w:rsidR="00117C27" w:rsidRPr="004C2412" w:rsidRDefault="00663AE9" w:rsidP="00A609AA">
      <w:pPr>
        <w:pStyle w:val="Heading2"/>
        <w:numPr>
          <w:ilvl w:val="0"/>
          <w:numId w:val="0"/>
        </w:numPr>
      </w:pPr>
      <w:bookmarkStart w:id="33" w:name="_Toc526864440"/>
      <w:r w:rsidRPr="004C2412">
        <w:t xml:space="preserve">10 </w:t>
      </w:r>
      <w:r w:rsidRPr="004C2412">
        <w:rPr>
          <w:szCs w:val="22"/>
        </w:rPr>
        <w:t xml:space="preserve">– </w:t>
      </w:r>
      <w:r w:rsidR="00117C27" w:rsidRPr="004C2412">
        <w:t>Types of Participation Failures</w:t>
      </w:r>
      <w:bookmarkEnd w:id="33"/>
    </w:p>
    <w:p w14:paraId="23042D23" w14:textId="374BF85F" w:rsidR="00117C27" w:rsidRPr="004C2412" w:rsidRDefault="00117C27" w:rsidP="00A609AA">
      <w:pPr>
        <w:pStyle w:val="Heading3"/>
        <w:numPr>
          <w:ilvl w:val="0"/>
          <w:numId w:val="0"/>
        </w:numPr>
      </w:pPr>
      <w:bookmarkStart w:id="34" w:name="_Toc526864441"/>
      <w:r w:rsidRPr="004C2412">
        <w:t xml:space="preserve">10 a </w:t>
      </w:r>
      <w:r w:rsidR="00C95ED9" w:rsidRPr="004C2412">
        <w:t>–</w:t>
      </w:r>
      <w:r w:rsidRPr="004C2412">
        <w:t xml:space="preserve"> Types of Participation Failures - 1 </w:t>
      </w:r>
      <w:r w:rsidR="0086262B">
        <w:t>April</w:t>
      </w:r>
      <w:r w:rsidR="0086262B" w:rsidRPr="004C2412">
        <w:t xml:space="preserve"> </w:t>
      </w:r>
      <w:r w:rsidRPr="004C2412">
        <w:t>to 3</w:t>
      </w:r>
      <w:r w:rsidR="0086262B">
        <w:t>0 June</w:t>
      </w:r>
      <w:r w:rsidR="004556B7" w:rsidRPr="004C2412">
        <w:t xml:space="preserve"> </w:t>
      </w:r>
      <w:r w:rsidRPr="004C2412">
        <w:t>201</w:t>
      </w:r>
      <w:r w:rsidR="004556B7" w:rsidRPr="004C2412">
        <w:t>8</w:t>
      </w:r>
      <w:bookmarkEnd w:id="34"/>
      <w:r w:rsidRPr="004C2412">
        <w:t xml:space="preserve"> </w:t>
      </w:r>
    </w:p>
    <w:tbl>
      <w:tblPr>
        <w:tblStyle w:val="CenterAlignTable"/>
        <w:tblW w:w="4952" w:type="pct"/>
        <w:tblInd w:w="0" w:type="dxa"/>
        <w:tblLook w:val="07E0" w:firstRow="1" w:lastRow="1" w:firstColumn="1" w:lastColumn="1" w:noHBand="1" w:noVBand="1"/>
        <w:tblCaption w:val="Types of Participation Failures: Overview"/>
        <w:tblDescription w:val="Types of Participation Failures: Overview"/>
      </w:tblPr>
      <w:tblGrid>
        <w:gridCol w:w="1248"/>
        <w:gridCol w:w="1039"/>
        <w:gridCol w:w="1281"/>
        <w:gridCol w:w="1051"/>
        <w:gridCol w:w="1634"/>
        <w:gridCol w:w="1637"/>
        <w:gridCol w:w="1617"/>
        <w:gridCol w:w="1141"/>
        <w:gridCol w:w="1465"/>
        <w:gridCol w:w="651"/>
        <w:gridCol w:w="1827"/>
      </w:tblGrid>
      <w:tr w:rsidR="00117C27" w:rsidRPr="004C2412" w14:paraId="79CE4F46" w14:textId="77777777" w:rsidTr="008E736B">
        <w:trPr>
          <w:cnfStyle w:val="100000000000" w:firstRow="1" w:lastRow="0" w:firstColumn="0" w:lastColumn="0" w:oddVBand="0" w:evenVBand="0" w:oddHBand="0" w:evenHBand="0" w:firstRowFirstColumn="0" w:firstRowLastColumn="0" w:lastRowFirstColumn="0" w:lastRowLastColumn="0"/>
          <w:trHeight w:val="657"/>
          <w:tblHeader/>
        </w:trPr>
        <w:tc>
          <w:tcPr>
            <w:cnfStyle w:val="001000000000" w:firstRow="0" w:lastRow="0" w:firstColumn="1" w:lastColumn="0" w:oddVBand="0" w:evenVBand="0" w:oddHBand="0" w:evenHBand="0" w:firstRowFirstColumn="0" w:firstRowLastColumn="0" w:lastRowFirstColumn="0" w:lastRowLastColumn="0"/>
            <w:tcW w:w="784" w:type="pct"/>
            <w:gridSpan w:val="2"/>
            <w:shd w:val="clear" w:color="auto" w:fill="auto"/>
            <w:vAlign w:val="center"/>
          </w:tcPr>
          <w:p w14:paraId="72444F02" w14:textId="77777777" w:rsidR="00117C27" w:rsidRPr="004C2412" w:rsidRDefault="00117C27" w:rsidP="00910012">
            <w:pPr>
              <w:spacing w:before="0"/>
              <w:ind w:left="0"/>
            </w:pPr>
            <w:r w:rsidRPr="004C2412">
              <w:t>Connection Failures</w:t>
            </w:r>
          </w:p>
        </w:tc>
        <w:tc>
          <w:tcPr>
            <w:tcW w:w="799" w:type="pct"/>
            <w:gridSpan w:val="2"/>
            <w:vAlign w:val="center"/>
          </w:tcPr>
          <w:p w14:paraId="419801E1"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Reconnection Failures</w:t>
            </w:r>
          </w:p>
        </w:tc>
        <w:tc>
          <w:tcPr>
            <w:tcW w:w="1121" w:type="pct"/>
            <w:gridSpan w:val="2"/>
            <w:vAlign w:val="center"/>
          </w:tcPr>
          <w:p w14:paraId="7F8CDBD7"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Non-Attendance Failures</w:t>
            </w:r>
          </w:p>
        </w:tc>
        <w:tc>
          <w:tcPr>
            <w:tcW w:w="945" w:type="pct"/>
            <w:gridSpan w:val="2"/>
            <w:vAlign w:val="center"/>
          </w:tcPr>
          <w:p w14:paraId="59DAD5C5"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 Show No Pay Failures</w:t>
            </w:r>
          </w:p>
        </w:tc>
        <w:tc>
          <w:tcPr>
            <w:tcW w:w="725" w:type="pct"/>
            <w:gridSpan w:val="2"/>
            <w:vAlign w:val="center"/>
          </w:tcPr>
          <w:p w14:paraId="3B47BA69"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Serious Failures</w:t>
            </w:r>
          </w:p>
        </w:tc>
        <w:tc>
          <w:tcPr>
            <w:tcW w:w="626" w:type="pct"/>
            <w:vAlign w:val="center"/>
          </w:tcPr>
          <w:p w14:paraId="49C731CD"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Failures</w:t>
            </w:r>
          </w:p>
        </w:tc>
      </w:tr>
      <w:tr w:rsidR="00117C27" w:rsidRPr="004C2412" w14:paraId="7615E855" w14:textId="77777777" w:rsidTr="009648EF">
        <w:trPr>
          <w:cnfStyle w:val="100000000000" w:firstRow="1" w:lastRow="0" w:firstColumn="0" w:lastColumn="0" w:oddVBand="0" w:evenVBand="0" w:oddHBand="0" w:evenHBand="0" w:firstRowFirstColumn="0" w:firstRowLastColumn="0" w:lastRowFirstColumn="0" w:lastRowLastColumn="0"/>
          <w:trHeight w:val="394"/>
          <w:tblHeader/>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AC42D68" w14:textId="77777777" w:rsidR="00117C27" w:rsidRPr="004C2412" w:rsidRDefault="00117C27" w:rsidP="00910012">
            <w:pPr>
              <w:spacing w:before="0"/>
              <w:ind w:left="0"/>
            </w:pPr>
            <w:r w:rsidRPr="004C2412">
              <w:t>No.</w:t>
            </w:r>
          </w:p>
        </w:tc>
        <w:tc>
          <w:tcPr>
            <w:tcW w:w="356" w:type="pct"/>
            <w:vAlign w:val="center"/>
          </w:tcPr>
          <w:p w14:paraId="530EEE15"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439" w:type="pct"/>
            <w:vAlign w:val="center"/>
          </w:tcPr>
          <w:p w14:paraId="7ED08CD8"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360" w:type="pct"/>
            <w:vAlign w:val="center"/>
          </w:tcPr>
          <w:p w14:paraId="21B825EB"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560" w:type="pct"/>
            <w:vAlign w:val="center"/>
          </w:tcPr>
          <w:p w14:paraId="30936E21"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561" w:type="pct"/>
            <w:vAlign w:val="center"/>
          </w:tcPr>
          <w:p w14:paraId="22F4C5F3"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554" w:type="pct"/>
            <w:vAlign w:val="center"/>
          </w:tcPr>
          <w:p w14:paraId="235ACC94"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391" w:type="pct"/>
            <w:vAlign w:val="center"/>
          </w:tcPr>
          <w:p w14:paraId="6D670050"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502" w:type="pct"/>
            <w:vAlign w:val="center"/>
          </w:tcPr>
          <w:p w14:paraId="2383DFE5"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223" w:type="pct"/>
            <w:vAlign w:val="center"/>
          </w:tcPr>
          <w:p w14:paraId="15311E26"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626" w:type="pct"/>
            <w:vAlign w:val="center"/>
          </w:tcPr>
          <w:p w14:paraId="185E55FF"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86262B" w:rsidRPr="004C2412" w14:paraId="5C400FB6" w14:textId="77777777" w:rsidTr="009648EF">
        <w:trPr>
          <w:cnfStyle w:val="010000000000" w:firstRow="0" w:lastRow="1"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17EF6C5" w14:textId="1F5A91C3" w:rsidR="0086262B" w:rsidRPr="0086262B" w:rsidRDefault="0086262B" w:rsidP="0086262B">
            <w:pPr>
              <w:autoSpaceDE w:val="0"/>
              <w:autoSpaceDN w:val="0"/>
              <w:adjustRightInd w:val="0"/>
              <w:spacing w:before="0"/>
              <w:ind w:left="0"/>
              <w:rPr>
                <w:rFonts w:cs="Gill Sans MT"/>
                <w:b w:val="0"/>
                <w:color w:val="000000"/>
              </w:rPr>
            </w:pPr>
            <w:r w:rsidRPr="0086262B">
              <w:rPr>
                <w:rFonts w:cs="Gill Sans MT"/>
                <w:b w:val="0"/>
                <w:color w:val="000000"/>
              </w:rPr>
              <w:t>17,772</w:t>
            </w:r>
          </w:p>
        </w:tc>
        <w:tc>
          <w:tcPr>
            <w:tcW w:w="356" w:type="pct"/>
            <w:vAlign w:val="center"/>
          </w:tcPr>
          <w:p w14:paraId="3ECDC101" w14:textId="4F3AA50C" w:rsidR="0086262B" w:rsidRPr="0086262B" w:rsidRDefault="0086262B" w:rsidP="008626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6262B">
              <w:rPr>
                <w:rFonts w:cs="Gill Sans MT"/>
                <w:b w:val="0"/>
                <w:color w:val="000000"/>
              </w:rPr>
              <w:t>16%</w:t>
            </w:r>
          </w:p>
        </w:tc>
        <w:tc>
          <w:tcPr>
            <w:tcW w:w="439" w:type="pct"/>
            <w:vAlign w:val="center"/>
          </w:tcPr>
          <w:p w14:paraId="76720A3E" w14:textId="3998FF3A" w:rsidR="0086262B" w:rsidRPr="0086262B" w:rsidRDefault="0086262B" w:rsidP="008626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6262B">
              <w:rPr>
                <w:rFonts w:cs="Gill Sans MT"/>
                <w:b w:val="0"/>
                <w:color w:val="000000"/>
              </w:rPr>
              <w:t>2,997</w:t>
            </w:r>
          </w:p>
        </w:tc>
        <w:tc>
          <w:tcPr>
            <w:tcW w:w="360" w:type="pct"/>
            <w:vAlign w:val="center"/>
          </w:tcPr>
          <w:p w14:paraId="0FFFE649" w14:textId="2493C3DE" w:rsidR="0086262B" w:rsidRPr="0086262B" w:rsidRDefault="0086262B" w:rsidP="008626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6262B">
              <w:rPr>
                <w:rFonts w:cs="Gill Sans MT"/>
                <w:b w:val="0"/>
                <w:color w:val="000000"/>
              </w:rPr>
              <w:t>3%</w:t>
            </w:r>
          </w:p>
        </w:tc>
        <w:tc>
          <w:tcPr>
            <w:tcW w:w="560" w:type="pct"/>
            <w:vAlign w:val="center"/>
          </w:tcPr>
          <w:p w14:paraId="67323870" w14:textId="039D21B6" w:rsidR="0086262B" w:rsidRPr="0086262B" w:rsidRDefault="0086262B" w:rsidP="008626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6262B">
              <w:rPr>
                <w:rFonts w:cs="Gill Sans MT"/>
                <w:b w:val="0"/>
                <w:color w:val="000000"/>
              </w:rPr>
              <w:t>11,172</w:t>
            </w:r>
          </w:p>
        </w:tc>
        <w:tc>
          <w:tcPr>
            <w:tcW w:w="561" w:type="pct"/>
            <w:vAlign w:val="center"/>
          </w:tcPr>
          <w:p w14:paraId="0CAC0A31" w14:textId="52A1D6B8" w:rsidR="0086262B" w:rsidRPr="0086262B" w:rsidRDefault="0086262B" w:rsidP="008626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6262B">
              <w:rPr>
                <w:rFonts w:cs="Gill Sans MT"/>
                <w:b w:val="0"/>
                <w:color w:val="000000"/>
              </w:rPr>
              <w:t>10%</w:t>
            </w:r>
          </w:p>
        </w:tc>
        <w:tc>
          <w:tcPr>
            <w:tcW w:w="554" w:type="pct"/>
            <w:vAlign w:val="center"/>
          </w:tcPr>
          <w:p w14:paraId="3F0FA3B0" w14:textId="7C59727F" w:rsidR="0086262B" w:rsidRPr="0086262B" w:rsidRDefault="0086262B" w:rsidP="008626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6262B">
              <w:rPr>
                <w:rFonts w:cs="Gill Sans MT"/>
                <w:b w:val="0"/>
                <w:color w:val="000000"/>
              </w:rPr>
              <w:t>67,697</w:t>
            </w:r>
          </w:p>
        </w:tc>
        <w:tc>
          <w:tcPr>
            <w:tcW w:w="391" w:type="pct"/>
            <w:vAlign w:val="center"/>
          </w:tcPr>
          <w:p w14:paraId="56075F04" w14:textId="0B098194" w:rsidR="0086262B" w:rsidRPr="0086262B" w:rsidRDefault="0086262B" w:rsidP="008626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6262B">
              <w:rPr>
                <w:rFonts w:cs="Gill Sans MT"/>
                <w:b w:val="0"/>
                <w:color w:val="000000"/>
              </w:rPr>
              <w:t>61%</w:t>
            </w:r>
          </w:p>
        </w:tc>
        <w:tc>
          <w:tcPr>
            <w:tcW w:w="502" w:type="pct"/>
            <w:vAlign w:val="center"/>
          </w:tcPr>
          <w:p w14:paraId="73D5129D" w14:textId="436B63F8" w:rsidR="0086262B" w:rsidRPr="0086262B" w:rsidRDefault="0086262B" w:rsidP="008626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6262B">
              <w:rPr>
                <w:rFonts w:cs="Gill Sans MT"/>
                <w:b w:val="0"/>
                <w:color w:val="000000"/>
              </w:rPr>
              <w:t>10,588</w:t>
            </w:r>
          </w:p>
        </w:tc>
        <w:tc>
          <w:tcPr>
            <w:tcW w:w="223" w:type="pct"/>
            <w:vAlign w:val="center"/>
          </w:tcPr>
          <w:p w14:paraId="5037FC08" w14:textId="34871DE5" w:rsidR="0086262B" w:rsidRPr="0086262B" w:rsidRDefault="0086262B" w:rsidP="008626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6262B">
              <w:rPr>
                <w:rFonts w:cs="Gill Sans MT"/>
                <w:b w:val="0"/>
                <w:color w:val="000000"/>
              </w:rPr>
              <w:t>10%</w:t>
            </w:r>
          </w:p>
        </w:tc>
        <w:tc>
          <w:tcPr>
            <w:tcW w:w="626" w:type="pct"/>
            <w:vAlign w:val="center"/>
          </w:tcPr>
          <w:p w14:paraId="0ECCA76F" w14:textId="4D069297" w:rsidR="0086262B" w:rsidRPr="0086262B" w:rsidRDefault="0086262B" w:rsidP="008626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6262B">
              <w:rPr>
                <w:rFonts w:cs="Gill Sans MT"/>
                <w:b w:val="0"/>
                <w:color w:val="000000"/>
              </w:rPr>
              <w:t>110,226</w:t>
            </w:r>
          </w:p>
        </w:tc>
      </w:tr>
    </w:tbl>
    <w:p w14:paraId="20A79069" w14:textId="68B1F386" w:rsidR="00117C27" w:rsidRDefault="00117C27" w:rsidP="00F65699">
      <w:pPr>
        <w:spacing w:after="240" w:line="240" w:lineRule="auto"/>
        <w:ind w:left="0"/>
      </w:pPr>
      <w:r w:rsidRPr="004C2412">
        <w:t xml:space="preserve">“Total Failures” above includes applied Connection failures, Reconnection failures, Non-Attendance failures, No Show No Pay failures, and Serious Failures for refusing to accept or commence a suitable job, and for persistent non-compliance following a Comprehensive Compliance Assessment. Unemployment Non Payment Periods (UNPPs) </w:t>
      </w:r>
      <w:proofErr w:type="gramStart"/>
      <w:r w:rsidRPr="004C2412">
        <w:t>are excluded</w:t>
      </w:r>
      <w:proofErr w:type="gramEnd"/>
      <w:r w:rsidRPr="004C2412">
        <w:t xml:space="preserve"> as the majority of UNPPs are initiated by the Department of Human Services prior to the job seeker commencing in employment services. For further explanation of the various failure types refer to the Glossary.</w:t>
      </w:r>
    </w:p>
    <w:p w14:paraId="7F6F97EC" w14:textId="4E463152" w:rsidR="008E736B" w:rsidRPr="004C2412" w:rsidRDefault="008E736B" w:rsidP="008E736B">
      <w:pPr>
        <w:pStyle w:val="Heading3"/>
        <w:numPr>
          <w:ilvl w:val="0"/>
          <w:numId w:val="0"/>
        </w:numPr>
      </w:pPr>
      <w:bookmarkStart w:id="35" w:name="_Toc526864442"/>
      <w:r>
        <w:t>10 b</w:t>
      </w:r>
      <w:r w:rsidRPr="004C2412">
        <w:t xml:space="preserve"> – Types of Participation Failures - 1 </w:t>
      </w:r>
      <w:r>
        <w:t>July 2017</w:t>
      </w:r>
      <w:r w:rsidRPr="004C2412">
        <w:t xml:space="preserve"> to 3</w:t>
      </w:r>
      <w:r>
        <w:t>0 June</w:t>
      </w:r>
      <w:r w:rsidRPr="004C2412">
        <w:t xml:space="preserve"> 2018</w:t>
      </w:r>
      <w:bookmarkEnd w:id="35"/>
      <w:r w:rsidRPr="004C2412">
        <w:t xml:space="preserve"> </w:t>
      </w:r>
    </w:p>
    <w:tbl>
      <w:tblPr>
        <w:tblStyle w:val="CenterAlignTable"/>
        <w:tblW w:w="4952" w:type="pct"/>
        <w:tblInd w:w="0" w:type="dxa"/>
        <w:tblLook w:val="07E0" w:firstRow="1" w:lastRow="1" w:firstColumn="1" w:lastColumn="1" w:noHBand="1" w:noVBand="1"/>
        <w:tblCaption w:val="Types of Participation Failures: Overview"/>
        <w:tblDescription w:val="Types of Participation Failures: Overview"/>
      </w:tblPr>
      <w:tblGrid>
        <w:gridCol w:w="1248"/>
        <w:gridCol w:w="1039"/>
        <w:gridCol w:w="1281"/>
        <w:gridCol w:w="1051"/>
        <w:gridCol w:w="1634"/>
        <w:gridCol w:w="1637"/>
        <w:gridCol w:w="1617"/>
        <w:gridCol w:w="1141"/>
        <w:gridCol w:w="1465"/>
        <w:gridCol w:w="651"/>
        <w:gridCol w:w="1827"/>
      </w:tblGrid>
      <w:tr w:rsidR="008E736B" w:rsidRPr="004C2412" w14:paraId="44F649C6" w14:textId="77777777" w:rsidTr="00E16596">
        <w:trPr>
          <w:cnfStyle w:val="100000000000" w:firstRow="1" w:lastRow="0" w:firstColumn="0" w:lastColumn="0" w:oddVBand="0" w:evenVBand="0" w:oddHBand="0" w:evenHBand="0" w:firstRowFirstColumn="0" w:firstRowLastColumn="0" w:lastRowFirstColumn="0" w:lastRowLastColumn="0"/>
          <w:trHeight w:val="657"/>
          <w:tblHeader/>
        </w:trPr>
        <w:tc>
          <w:tcPr>
            <w:cnfStyle w:val="001000000000" w:firstRow="0" w:lastRow="0" w:firstColumn="1" w:lastColumn="0" w:oddVBand="0" w:evenVBand="0" w:oddHBand="0" w:evenHBand="0" w:firstRowFirstColumn="0" w:firstRowLastColumn="0" w:lastRowFirstColumn="0" w:lastRowLastColumn="0"/>
            <w:tcW w:w="784" w:type="pct"/>
            <w:gridSpan w:val="2"/>
            <w:shd w:val="clear" w:color="auto" w:fill="auto"/>
            <w:vAlign w:val="center"/>
          </w:tcPr>
          <w:p w14:paraId="772445E5" w14:textId="77777777" w:rsidR="008E736B" w:rsidRPr="004C2412" w:rsidRDefault="008E736B" w:rsidP="00C9726D">
            <w:pPr>
              <w:spacing w:before="0"/>
              <w:ind w:left="0"/>
            </w:pPr>
            <w:r w:rsidRPr="004C2412">
              <w:t>Connection Failures</w:t>
            </w:r>
          </w:p>
        </w:tc>
        <w:tc>
          <w:tcPr>
            <w:tcW w:w="799" w:type="pct"/>
            <w:gridSpan w:val="2"/>
            <w:vAlign w:val="center"/>
          </w:tcPr>
          <w:p w14:paraId="459A6A7C"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Reconnection Failures</w:t>
            </w:r>
          </w:p>
        </w:tc>
        <w:tc>
          <w:tcPr>
            <w:tcW w:w="1121" w:type="pct"/>
            <w:gridSpan w:val="2"/>
            <w:vAlign w:val="center"/>
          </w:tcPr>
          <w:p w14:paraId="4FF40078"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Non-Attendance Failures</w:t>
            </w:r>
          </w:p>
        </w:tc>
        <w:tc>
          <w:tcPr>
            <w:tcW w:w="945" w:type="pct"/>
            <w:gridSpan w:val="2"/>
            <w:vAlign w:val="center"/>
          </w:tcPr>
          <w:p w14:paraId="5EC2EB3C"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 Show No Pay Failures</w:t>
            </w:r>
          </w:p>
        </w:tc>
        <w:tc>
          <w:tcPr>
            <w:tcW w:w="725" w:type="pct"/>
            <w:gridSpan w:val="2"/>
            <w:vAlign w:val="center"/>
          </w:tcPr>
          <w:p w14:paraId="76C74F5C"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Serious Failures</w:t>
            </w:r>
          </w:p>
        </w:tc>
        <w:tc>
          <w:tcPr>
            <w:tcW w:w="626" w:type="pct"/>
            <w:vAlign w:val="center"/>
          </w:tcPr>
          <w:p w14:paraId="573C7235"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Total Failures</w:t>
            </w:r>
          </w:p>
        </w:tc>
      </w:tr>
      <w:tr w:rsidR="008E736B" w:rsidRPr="004C2412" w14:paraId="55A717BD" w14:textId="77777777" w:rsidTr="00C9726D">
        <w:trPr>
          <w:cnfStyle w:val="100000000000" w:firstRow="1" w:lastRow="0" w:firstColumn="0" w:lastColumn="0" w:oddVBand="0" w:evenVBand="0" w:oddHBand="0" w:evenHBand="0" w:firstRowFirstColumn="0" w:firstRowLastColumn="0" w:lastRowFirstColumn="0" w:lastRowLastColumn="0"/>
          <w:trHeight w:val="394"/>
          <w:tblHeader/>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77907B3" w14:textId="77777777" w:rsidR="008E736B" w:rsidRPr="004C2412" w:rsidRDefault="008E736B" w:rsidP="00C9726D">
            <w:pPr>
              <w:spacing w:before="0"/>
              <w:ind w:left="0"/>
            </w:pPr>
            <w:r w:rsidRPr="004C2412">
              <w:t>No.</w:t>
            </w:r>
          </w:p>
        </w:tc>
        <w:tc>
          <w:tcPr>
            <w:tcW w:w="356" w:type="pct"/>
            <w:vAlign w:val="center"/>
          </w:tcPr>
          <w:p w14:paraId="39291E8B"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439" w:type="pct"/>
            <w:vAlign w:val="center"/>
          </w:tcPr>
          <w:p w14:paraId="79857D07"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360" w:type="pct"/>
            <w:vAlign w:val="center"/>
          </w:tcPr>
          <w:p w14:paraId="111A8123"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560" w:type="pct"/>
            <w:vAlign w:val="center"/>
          </w:tcPr>
          <w:p w14:paraId="40D8DE7A"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561" w:type="pct"/>
            <w:vAlign w:val="center"/>
          </w:tcPr>
          <w:p w14:paraId="5ADBC217"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554" w:type="pct"/>
            <w:vAlign w:val="center"/>
          </w:tcPr>
          <w:p w14:paraId="3BB1C90B"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391" w:type="pct"/>
            <w:vAlign w:val="center"/>
          </w:tcPr>
          <w:p w14:paraId="2E7A78EC"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502" w:type="pct"/>
            <w:vAlign w:val="center"/>
          </w:tcPr>
          <w:p w14:paraId="2B7DCBFA"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223" w:type="pct"/>
            <w:vAlign w:val="center"/>
          </w:tcPr>
          <w:p w14:paraId="14071249"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626" w:type="pct"/>
            <w:vAlign w:val="center"/>
          </w:tcPr>
          <w:p w14:paraId="6E55338A"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8E736B" w:rsidRPr="004C2412" w14:paraId="2EA7035A" w14:textId="77777777" w:rsidTr="00C9726D">
        <w:trPr>
          <w:cnfStyle w:val="010000000000" w:firstRow="0" w:lastRow="1"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6468900" w14:textId="39E9097F" w:rsidR="008E736B" w:rsidRPr="008E736B" w:rsidRDefault="008E736B" w:rsidP="008E736B">
            <w:pPr>
              <w:autoSpaceDE w:val="0"/>
              <w:autoSpaceDN w:val="0"/>
              <w:adjustRightInd w:val="0"/>
              <w:spacing w:before="0"/>
              <w:ind w:left="0"/>
              <w:rPr>
                <w:rFonts w:cs="Gill Sans MT"/>
                <w:b w:val="0"/>
                <w:color w:val="000000"/>
              </w:rPr>
            </w:pPr>
            <w:r w:rsidRPr="008E736B">
              <w:rPr>
                <w:rFonts w:cs="Gill Sans MT"/>
                <w:b w:val="0"/>
                <w:color w:val="000000"/>
              </w:rPr>
              <w:t>72,692</w:t>
            </w:r>
          </w:p>
        </w:tc>
        <w:tc>
          <w:tcPr>
            <w:tcW w:w="356" w:type="pct"/>
            <w:vAlign w:val="center"/>
          </w:tcPr>
          <w:p w14:paraId="5B028896" w14:textId="3C1E2733" w:rsidR="008E736B" w:rsidRPr="008E736B" w:rsidRDefault="008E736B" w:rsidP="008E736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E736B">
              <w:rPr>
                <w:rFonts w:cs="Gill Sans MT"/>
                <w:b w:val="0"/>
                <w:color w:val="000000"/>
              </w:rPr>
              <w:t>16%</w:t>
            </w:r>
          </w:p>
        </w:tc>
        <w:tc>
          <w:tcPr>
            <w:tcW w:w="439" w:type="pct"/>
            <w:vAlign w:val="center"/>
          </w:tcPr>
          <w:p w14:paraId="0B3EB631" w14:textId="6BD2B61A" w:rsidR="008E736B" w:rsidRPr="008E736B" w:rsidRDefault="008E736B" w:rsidP="008E736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E736B">
              <w:rPr>
                <w:rFonts w:cs="Gill Sans MT"/>
                <w:b w:val="0"/>
                <w:color w:val="000000"/>
              </w:rPr>
              <w:t>13,019</w:t>
            </w:r>
          </w:p>
        </w:tc>
        <w:tc>
          <w:tcPr>
            <w:tcW w:w="360" w:type="pct"/>
            <w:vAlign w:val="center"/>
          </w:tcPr>
          <w:p w14:paraId="7FE02527" w14:textId="0DA0F6D7" w:rsidR="008E736B" w:rsidRPr="008E736B" w:rsidRDefault="008E736B" w:rsidP="008E736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E736B">
              <w:rPr>
                <w:rFonts w:cs="Gill Sans MT"/>
                <w:b w:val="0"/>
                <w:color w:val="000000"/>
              </w:rPr>
              <w:t>3%</w:t>
            </w:r>
          </w:p>
        </w:tc>
        <w:tc>
          <w:tcPr>
            <w:tcW w:w="560" w:type="pct"/>
            <w:vAlign w:val="center"/>
          </w:tcPr>
          <w:p w14:paraId="54FE4194" w14:textId="732A3F17" w:rsidR="008E736B" w:rsidRPr="008E736B" w:rsidRDefault="008E736B" w:rsidP="008E736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E736B">
              <w:rPr>
                <w:rFonts w:cs="Gill Sans MT"/>
                <w:b w:val="0"/>
                <w:color w:val="000000"/>
              </w:rPr>
              <w:t>46,701</w:t>
            </w:r>
          </w:p>
        </w:tc>
        <w:tc>
          <w:tcPr>
            <w:tcW w:w="561" w:type="pct"/>
            <w:vAlign w:val="center"/>
          </w:tcPr>
          <w:p w14:paraId="3926A0B6" w14:textId="36C33CE8" w:rsidR="008E736B" w:rsidRPr="008E736B" w:rsidRDefault="008E736B" w:rsidP="008E736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E736B">
              <w:rPr>
                <w:rFonts w:cs="Gill Sans MT"/>
                <w:b w:val="0"/>
                <w:color w:val="000000"/>
              </w:rPr>
              <w:t>10%</w:t>
            </w:r>
          </w:p>
        </w:tc>
        <w:tc>
          <w:tcPr>
            <w:tcW w:w="554" w:type="pct"/>
            <w:vAlign w:val="center"/>
          </w:tcPr>
          <w:p w14:paraId="19F026B5" w14:textId="7B046B51" w:rsidR="008E736B" w:rsidRPr="008E736B" w:rsidRDefault="008E736B" w:rsidP="008E736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E736B">
              <w:rPr>
                <w:rFonts w:cs="Gill Sans MT"/>
                <w:b w:val="0"/>
                <w:color w:val="000000"/>
              </w:rPr>
              <w:t>282,340</w:t>
            </w:r>
          </w:p>
        </w:tc>
        <w:tc>
          <w:tcPr>
            <w:tcW w:w="391" w:type="pct"/>
            <w:vAlign w:val="center"/>
          </w:tcPr>
          <w:p w14:paraId="2D09B743" w14:textId="7395F6DD" w:rsidR="008E736B" w:rsidRPr="008E736B" w:rsidRDefault="008E736B" w:rsidP="008E736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E736B">
              <w:rPr>
                <w:rFonts w:cs="Gill Sans MT"/>
                <w:b w:val="0"/>
                <w:color w:val="000000"/>
              </w:rPr>
              <w:t>62%</w:t>
            </w:r>
          </w:p>
        </w:tc>
        <w:tc>
          <w:tcPr>
            <w:tcW w:w="502" w:type="pct"/>
            <w:vAlign w:val="center"/>
          </w:tcPr>
          <w:p w14:paraId="68C84015" w14:textId="5B2C609D" w:rsidR="008E736B" w:rsidRPr="008E736B" w:rsidRDefault="008E736B" w:rsidP="008E736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E736B">
              <w:rPr>
                <w:rFonts w:cs="Gill Sans MT"/>
                <w:b w:val="0"/>
                <w:color w:val="000000"/>
              </w:rPr>
              <w:t>41,570</w:t>
            </w:r>
          </w:p>
        </w:tc>
        <w:tc>
          <w:tcPr>
            <w:tcW w:w="223" w:type="pct"/>
            <w:vAlign w:val="center"/>
          </w:tcPr>
          <w:p w14:paraId="654F4F0D" w14:textId="50834944" w:rsidR="008E736B" w:rsidRPr="008E736B" w:rsidRDefault="008E736B" w:rsidP="008E736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E736B">
              <w:rPr>
                <w:rFonts w:cs="Gill Sans MT"/>
                <w:b w:val="0"/>
                <w:color w:val="000000"/>
              </w:rPr>
              <w:t>9%</w:t>
            </w:r>
          </w:p>
        </w:tc>
        <w:tc>
          <w:tcPr>
            <w:tcW w:w="626" w:type="pct"/>
            <w:vAlign w:val="center"/>
          </w:tcPr>
          <w:p w14:paraId="2E98955E" w14:textId="579E9490" w:rsidR="008E736B" w:rsidRPr="008E736B" w:rsidRDefault="008E736B" w:rsidP="008E736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E736B">
              <w:rPr>
                <w:rFonts w:cs="Gill Sans MT"/>
                <w:b w:val="0"/>
                <w:color w:val="000000"/>
              </w:rPr>
              <w:t>456,322</w:t>
            </w:r>
          </w:p>
        </w:tc>
      </w:tr>
    </w:tbl>
    <w:p w14:paraId="0DD84B2D" w14:textId="5838631E" w:rsidR="008E736B" w:rsidRPr="004C2412" w:rsidRDefault="008E736B" w:rsidP="00F65699">
      <w:pPr>
        <w:spacing w:after="240" w:line="240" w:lineRule="auto"/>
        <w:ind w:left="0"/>
      </w:pPr>
      <w:r w:rsidRPr="004C2412">
        <w:t xml:space="preserve">“Total Failures” above includes applied Connection failures, Reconnection failures, Non-Attendance failures, No Show No Pay failures, and Serious Failures for refusing to accept or commence a suitable job, and for persistent non-compliance following a Comprehensive Compliance Assessment. Unemployment Non Payment Periods (UNPPs) </w:t>
      </w:r>
      <w:proofErr w:type="gramStart"/>
      <w:r w:rsidRPr="004C2412">
        <w:t>are excluded</w:t>
      </w:r>
      <w:proofErr w:type="gramEnd"/>
      <w:r w:rsidRPr="004C2412">
        <w:t xml:space="preserve"> as the majority of UNPPs are initiated by the Department of Human Services prior to the job seeker commencing in employment services. For further explanation of the various failure types refer to the Glossary.</w:t>
      </w:r>
    </w:p>
    <w:p w14:paraId="360913B8" w14:textId="26EC3A14" w:rsidR="00EA1F85" w:rsidRPr="00E37A7F" w:rsidRDefault="00970C39" w:rsidP="00E16596">
      <w:pPr>
        <w:pStyle w:val="Heading3"/>
        <w:numPr>
          <w:ilvl w:val="0"/>
          <w:numId w:val="0"/>
        </w:numPr>
      </w:pPr>
      <w:bookmarkStart w:id="36" w:name="_Toc526864443"/>
      <w:r w:rsidRPr="00E37A7F">
        <w:t>10</w:t>
      </w:r>
      <w:r w:rsidR="00257627" w:rsidRPr="00E37A7F">
        <w:t xml:space="preserve"> </w:t>
      </w:r>
      <w:r w:rsidR="008E736B">
        <w:t>c</w:t>
      </w:r>
      <w:r w:rsidR="00257627" w:rsidRPr="00E37A7F">
        <w:t xml:space="preserve"> </w:t>
      </w:r>
      <w:r w:rsidR="00C95ED9" w:rsidRPr="00E37A7F">
        <w:t>–</w:t>
      </w:r>
      <w:r w:rsidR="00257627" w:rsidRPr="00E37A7F">
        <w:t xml:space="preserve"> </w:t>
      </w:r>
      <w:r w:rsidR="00A00239" w:rsidRPr="00E37A7F">
        <w:t>Types of Participation Failures: Serious Failures</w:t>
      </w:r>
      <w:bookmarkStart w:id="37" w:name="_Toc437613346"/>
      <w:bookmarkEnd w:id="37"/>
      <w:r w:rsidR="00257627" w:rsidRPr="00E37A7F">
        <w:t xml:space="preserve"> </w:t>
      </w:r>
      <w:r w:rsidR="00117C27" w:rsidRPr="00E37A7F">
        <w:t xml:space="preserve">- </w:t>
      </w:r>
      <w:r w:rsidR="00257627" w:rsidRPr="00E37A7F">
        <w:t xml:space="preserve">1 </w:t>
      </w:r>
      <w:r w:rsidR="00A60409" w:rsidRPr="00E37A7F">
        <w:t xml:space="preserve">April </w:t>
      </w:r>
      <w:r w:rsidR="00257627" w:rsidRPr="00E37A7F">
        <w:t>to 3</w:t>
      </w:r>
      <w:r w:rsidR="00A60409" w:rsidRPr="00E37A7F">
        <w:t>0</w:t>
      </w:r>
      <w:r w:rsidR="00257627" w:rsidRPr="00E37A7F">
        <w:t xml:space="preserve"> </w:t>
      </w:r>
      <w:r w:rsidR="00A60409" w:rsidRPr="00E37A7F">
        <w:t>June</w:t>
      </w:r>
      <w:r w:rsidR="004556B7" w:rsidRPr="00E37A7F">
        <w:t xml:space="preserve"> </w:t>
      </w:r>
      <w:r w:rsidR="00257627" w:rsidRPr="00E37A7F">
        <w:t>201</w:t>
      </w:r>
      <w:r w:rsidR="004556B7" w:rsidRPr="00E37A7F">
        <w:t>8</w:t>
      </w:r>
      <w:bookmarkEnd w:id="36"/>
    </w:p>
    <w:tbl>
      <w:tblPr>
        <w:tblStyle w:val="CenterAlignTable"/>
        <w:tblW w:w="0" w:type="auto"/>
        <w:tblInd w:w="-34" w:type="dxa"/>
        <w:tblLook w:val="04A0" w:firstRow="1" w:lastRow="0" w:firstColumn="1" w:lastColumn="0" w:noHBand="0" w:noVBand="1"/>
        <w:tblCaption w:val="Types of Participation Failures: Serious Failures"/>
        <w:tblDescription w:val="Types of Participation Failures: Serious Failures"/>
      </w:tblPr>
      <w:tblGrid>
        <w:gridCol w:w="2261"/>
        <w:gridCol w:w="1999"/>
        <w:gridCol w:w="1889"/>
        <w:gridCol w:w="2111"/>
        <w:gridCol w:w="2227"/>
        <w:gridCol w:w="1960"/>
        <w:gridCol w:w="2149"/>
      </w:tblGrid>
      <w:tr w:rsidR="00257627" w:rsidRPr="004C2412" w14:paraId="360913BE" w14:textId="77777777" w:rsidTr="009B1A84">
        <w:trPr>
          <w:cnfStyle w:val="100000000000" w:firstRow="1" w:lastRow="0" w:firstColumn="0" w:lastColumn="0" w:oddVBand="0" w:evenVBand="0" w:oddHBand="0" w:evenHBand="0" w:firstRowFirstColumn="0" w:firstRowLastColumn="0" w:lastRowFirstColumn="0" w:lastRowLastColumn="0"/>
          <w:trHeight w:val="599"/>
          <w:tblHeader/>
        </w:trPr>
        <w:tc>
          <w:tcPr>
            <w:cnfStyle w:val="001000000000" w:firstRow="0" w:lastRow="0" w:firstColumn="1" w:lastColumn="0" w:oddVBand="0" w:evenVBand="0" w:oddHBand="0" w:evenHBand="0" w:firstRowFirstColumn="0" w:firstRowLastColumn="0" w:lastRowFirstColumn="0" w:lastRowLastColumn="0"/>
            <w:tcW w:w="4260" w:type="dxa"/>
            <w:gridSpan w:val="2"/>
            <w:shd w:val="clear" w:color="auto" w:fill="auto"/>
            <w:vAlign w:val="center"/>
          </w:tcPr>
          <w:p w14:paraId="360913BA" w14:textId="6DE0B073" w:rsidR="00257627" w:rsidRPr="004C2412" w:rsidRDefault="00257627" w:rsidP="00910012">
            <w:pPr>
              <w:spacing w:before="0"/>
              <w:ind w:left="0"/>
            </w:pPr>
            <w:r w:rsidRPr="004C2412">
              <w:t>Persistent non-compliance</w:t>
            </w:r>
            <w:r w:rsidRPr="004C2412">
              <w:rPr>
                <w:b w:val="0"/>
                <w:sz w:val="28"/>
                <w:szCs w:val="28"/>
                <w:vertAlign w:val="superscript"/>
              </w:rPr>
              <w:t>^</w:t>
            </w:r>
          </w:p>
        </w:tc>
        <w:tc>
          <w:tcPr>
            <w:tcW w:w="4000" w:type="dxa"/>
            <w:gridSpan w:val="2"/>
            <w:vAlign w:val="center"/>
          </w:tcPr>
          <w:p w14:paraId="360913BB"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Refused Suitable Job</w:t>
            </w:r>
          </w:p>
        </w:tc>
        <w:tc>
          <w:tcPr>
            <w:tcW w:w="4187" w:type="dxa"/>
            <w:gridSpan w:val="2"/>
            <w:vAlign w:val="center"/>
          </w:tcPr>
          <w:p w14:paraId="360913BC"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Did Not Commence Suitable Job</w:t>
            </w:r>
          </w:p>
        </w:tc>
        <w:tc>
          <w:tcPr>
            <w:tcW w:w="2149" w:type="dxa"/>
            <w:vAlign w:val="center"/>
          </w:tcPr>
          <w:p w14:paraId="360913BD"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Serious Failures</w:t>
            </w:r>
          </w:p>
        </w:tc>
      </w:tr>
      <w:tr w:rsidR="00257627" w:rsidRPr="004C2412" w14:paraId="360913C7" w14:textId="77777777" w:rsidTr="004556B7">
        <w:trPr>
          <w:cnfStyle w:val="100000000000" w:firstRow="1" w:lastRow="0" w:firstColumn="0" w:lastColumn="0" w:oddVBand="0" w:evenVBand="0" w:oddHBand="0" w:evenHBand="0" w:firstRowFirstColumn="0" w:firstRowLastColumn="0" w:lastRowFirstColumn="0" w:lastRowLastColumn="0"/>
          <w:trHeight w:val="359"/>
          <w:tblHeader/>
        </w:trPr>
        <w:tc>
          <w:tcPr>
            <w:cnfStyle w:val="001000000000" w:firstRow="0" w:lastRow="0" w:firstColumn="1" w:lastColumn="0" w:oddVBand="0" w:evenVBand="0" w:oddHBand="0" w:evenHBand="0" w:firstRowFirstColumn="0" w:firstRowLastColumn="0" w:lastRowFirstColumn="0" w:lastRowLastColumn="0"/>
            <w:tcW w:w="2261" w:type="dxa"/>
          </w:tcPr>
          <w:p w14:paraId="360913C0" w14:textId="77777777" w:rsidR="00257627" w:rsidRPr="004C2412" w:rsidRDefault="00257627" w:rsidP="00910012">
            <w:pPr>
              <w:spacing w:before="0"/>
              <w:ind w:left="0"/>
            </w:pPr>
            <w:r w:rsidRPr="004C2412">
              <w:t>No.</w:t>
            </w:r>
          </w:p>
        </w:tc>
        <w:tc>
          <w:tcPr>
            <w:tcW w:w="1999" w:type="dxa"/>
          </w:tcPr>
          <w:p w14:paraId="360913C1"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889" w:type="dxa"/>
          </w:tcPr>
          <w:p w14:paraId="360913C2"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2111" w:type="dxa"/>
          </w:tcPr>
          <w:p w14:paraId="360913C3"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2227" w:type="dxa"/>
          </w:tcPr>
          <w:p w14:paraId="360913C4"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960" w:type="dxa"/>
          </w:tcPr>
          <w:p w14:paraId="360913C5"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2149" w:type="dxa"/>
          </w:tcPr>
          <w:p w14:paraId="360913C6" w14:textId="77777777" w:rsidR="00257627" w:rsidRPr="004C2412" w:rsidRDefault="002576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A60409" w:rsidRPr="004C2412" w14:paraId="360913D0" w14:textId="77777777" w:rsidTr="004556B7">
        <w:trPr>
          <w:trHeight w:val="401"/>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360913C9" w14:textId="685648AB" w:rsidR="00A60409" w:rsidRPr="00443621" w:rsidRDefault="00A60409" w:rsidP="00A60409">
            <w:pPr>
              <w:autoSpaceDE w:val="0"/>
              <w:autoSpaceDN w:val="0"/>
              <w:adjustRightInd w:val="0"/>
              <w:spacing w:before="0"/>
              <w:ind w:left="0"/>
              <w:rPr>
                <w:rFonts w:cs="Gill Sans MT"/>
                <w:b w:val="0"/>
                <w:color w:val="000000"/>
              </w:rPr>
            </w:pPr>
            <w:r w:rsidRPr="00443621">
              <w:rPr>
                <w:rFonts w:cs="Gill Sans MT"/>
                <w:b w:val="0"/>
                <w:color w:val="000000"/>
              </w:rPr>
              <w:t>10,256</w:t>
            </w:r>
          </w:p>
        </w:tc>
        <w:tc>
          <w:tcPr>
            <w:tcW w:w="1999" w:type="dxa"/>
            <w:vAlign w:val="center"/>
          </w:tcPr>
          <w:p w14:paraId="360913CA" w14:textId="4B0B1AEC" w:rsidR="00A60409" w:rsidRPr="004C2412" w:rsidRDefault="00A60409" w:rsidP="00A6040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97%</w:t>
            </w:r>
          </w:p>
        </w:tc>
        <w:tc>
          <w:tcPr>
            <w:tcW w:w="1889" w:type="dxa"/>
            <w:vAlign w:val="center"/>
          </w:tcPr>
          <w:p w14:paraId="360913CB" w14:textId="23B31DD9" w:rsidR="00A60409" w:rsidRPr="004C2412" w:rsidRDefault="00A60409" w:rsidP="00A6040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205</w:t>
            </w:r>
          </w:p>
        </w:tc>
        <w:tc>
          <w:tcPr>
            <w:tcW w:w="2111" w:type="dxa"/>
            <w:vAlign w:val="center"/>
          </w:tcPr>
          <w:p w14:paraId="360913CC" w14:textId="51EE22BC" w:rsidR="00A60409" w:rsidRPr="004C2412" w:rsidRDefault="00A60409" w:rsidP="00A6040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2%</w:t>
            </w:r>
          </w:p>
        </w:tc>
        <w:tc>
          <w:tcPr>
            <w:tcW w:w="2227" w:type="dxa"/>
            <w:vAlign w:val="center"/>
          </w:tcPr>
          <w:p w14:paraId="360913CD" w14:textId="3DEDC833" w:rsidR="00A60409" w:rsidRPr="004C2412" w:rsidRDefault="00A60409" w:rsidP="00A6040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127</w:t>
            </w:r>
          </w:p>
        </w:tc>
        <w:tc>
          <w:tcPr>
            <w:tcW w:w="1960" w:type="dxa"/>
            <w:vAlign w:val="center"/>
          </w:tcPr>
          <w:p w14:paraId="360913CE" w14:textId="0BDECE82" w:rsidR="00A60409" w:rsidRPr="004C2412" w:rsidRDefault="00A60409" w:rsidP="00A6040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w:t>
            </w:r>
          </w:p>
        </w:tc>
        <w:tc>
          <w:tcPr>
            <w:tcW w:w="2149" w:type="dxa"/>
            <w:vAlign w:val="center"/>
          </w:tcPr>
          <w:p w14:paraId="360913CF" w14:textId="14A10F13" w:rsidR="00A60409" w:rsidRPr="004C2412" w:rsidRDefault="00A60409" w:rsidP="00A60409">
            <w:pPr>
              <w:spacing w:before="0"/>
              <w:ind w:left="0"/>
              <w:cnfStyle w:val="000000000000" w:firstRow="0" w:lastRow="0" w:firstColumn="0" w:lastColumn="0" w:oddVBand="0" w:evenVBand="0" w:oddHBand="0" w:evenHBand="0" w:firstRowFirstColumn="0" w:firstRowLastColumn="0" w:lastRowFirstColumn="0" w:lastRowLastColumn="0"/>
              <w:rPr>
                <w:rFonts w:cs="Arial"/>
                <w:color w:val="000000"/>
              </w:rPr>
            </w:pPr>
            <w:r w:rsidRPr="00FE7CCB">
              <w:rPr>
                <w:rFonts w:cs="Gill Sans MT"/>
                <w:color w:val="000000"/>
              </w:rPr>
              <w:t>10,588</w:t>
            </w:r>
          </w:p>
        </w:tc>
      </w:tr>
    </w:tbl>
    <w:p w14:paraId="360913D1" w14:textId="23DAB733" w:rsidR="00131442" w:rsidRDefault="00131442" w:rsidP="00F65699">
      <w:pPr>
        <w:spacing w:after="240" w:line="240" w:lineRule="auto"/>
        <w:ind w:left="0"/>
      </w:pPr>
      <w:r w:rsidRPr="004C2412">
        <w:rPr>
          <w:sz w:val="32"/>
          <w:szCs w:val="32"/>
          <w:vertAlign w:val="superscript"/>
        </w:rPr>
        <w:t>^</w:t>
      </w:r>
      <w:r w:rsidRPr="004C2412">
        <w:t xml:space="preserve">The Department of Human Services undertake a Comprehensive Compliance Assessment before determining if a job seeker has persistently failed to comply with their </w:t>
      </w:r>
      <w:r w:rsidR="00865387" w:rsidRPr="004C2412">
        <w:t xml:space="preserve">activity test </w:t>
      </w:r>
      <w:r w:rsidRPr="004C2412">
        <w:t>requirements</w:t>
      </w:r>
      <w:r w:rsidR="00C000AA" w:rsidRPr="004C2412">
        <w:t>. A</w:t>
      </w:r>
      <w:r w:rsidRPr="004C2412">
        <w:t xml:space="preserve"> number of matters, set out in the </w:t>
      </w:r>
      <w:r w:rsidRPr="004C2412">
        <w:rPr>
          <w:i/>
        </w:rPr>
        <w:t>Social Security (Administration) (Persistent Non-compliance) (Employment) Determination 2015 (No. 1),</w:t>
      </w:r>
      <w:r w:rsidRPr="004C2412">
        <w:t xml:space="preserve"> assist decision makers in deciding whether a job seeker has been persistently non-compliant.</w:t>
      </w:r>
    </w:p>
    <w:p w14:paraId="0E751AF7" w14:textId="064F5B30" w:rsidR="008E736B" w:rsidRPr="00E37A7F" w:rsidRDefault="008E736B" w:rsidP="00E16596">
      <w:pPr>
        <w:pStyle w:val="Heading3"/>
        <w:numPr>
          <w:ilvl w:val="0"/>
          <w:numId w:val="0"/>
        </w:numPr>
      </w:pPr>
      <w:bookmarkStart w:id="38" w:name="_Toc526864444"/>
      <w:r w:rsidRPr="00E37A7F">
        <w:t xml:space="preserve">10 </w:t>
      </w:r>
      <w:r w:rsidR="00E16596">
        <w:t>d</w:t>
      </w:r>
      <w:r w:rsidRPr="00E37A7F">
        <w:t xml:space="preserve"> – Types of Participation Failures: Serious Failures - 1 </w:t>
      </w:r>
      <w:r w:rsidR="009B1A84">
        <w:t>July 2017</w:t>
      </w:r>
      <w:r w:rsidRPr="00E37A7F">
        <w:t xml:space="preserve"> to 30 June 2018</w:t>
      </w:r>
      <w:bookmarkEnd w:id="38"/>
    </w:p>
    <w:tbl>
      <w:tblPr>
        <w:tblStyle w:val="CenterAlignTable"/>
        <w:tblW w:w="0" w:type="auto"/>
        <w:tblInd w:w="-34" w:type="dxa"/>
        <w:tblLook w:val="04A0" w:firstRow="1" w:lastRow="0" w:firstColumn="1" w:lastColumn="0" w:noHBand="0" w:noVBand="1"/>
        <w:tblCaption w:val="Types of Participation Failures: Serious Failures"/>
        <w:tblDescription w:val="Types of Participation Failures: Serious Failures"/>
      </w:tblPr>
      <w:tblGrid>
        <w:gridCol w:w="2261"/>
        <w:gridCol w:w="1999"/>
        <w:gridCol w:w="1889"/>
        <w:gridCol w:w="2111"/>
        <w:gridCol w:w="2227"/>
        <w:gridCol w:w="1960"/>
        <w:gridCol w:w="2149"/>
      </w:tblGrid>
      <w:tr w:rsidR="008E736B" w:rsidRPr="004C2412" w14:paraId="7F58159A" w14:textId="77777777" w:rsidTr="00E16596">
        <w:trPr>
          <w:cnfStyle w:val="100000000000" w:firstRow="1" w:lastRow="0" w:firstColumn="0" w:lastColumn="0" w:oddVBand="0" w:evenVBand="0" w:oddHBand="0" w:evenHBand="0" w:firstRowFirstColumn="0" w:firstRowLastColumn="0" w:lastRowFirstColumn="0" w:lastRowLastColumn="0"/>
          <w:trHeight w:val="599"/>
          <w:tblHeader/>
        </w:trPr>
        <w:tc>
          <w:tcPr>
            <w:cnfStyle w:val="001000000000" w:firstRow="0" w:lastRow="0" w:firstColumn="1" w:lastColumn="0" w:oddVBand="0" w:evenVBand="0" w:oddHBand="0" w:evenHBand="0" w:firstRowFirstColumn="0" w:firstRowLastColumn="0" w:lastRowFirstColumn="0" w:lastRowLastColumn="0"/>
            <w:tcW w:w="4260" w:type="dxa"/>
            <w:gridSpan w:val="2"/>
            <w:shd w:val="clear" w:color="auto" w:fill="auto"/>
            <w:vAlign w:val="center"/>
          </w:tcPr>
          <w:p w14:paraId="3D9830D9" w14:textId="77777777" w:rsidR="008E736B" w:rsidRPr="004C2412" w:rsidRDefault="008E736B" w:rsidP="00C9726D">
            <w:pPr>
              <w:spacing w:before="0"/>
              <w:ind w:left="0"/>
            </w:pPr>
            <w:r w:rsidRPr="004C2412">
              <w:t>Persistent non-compliance</w:t>
            </w:r>
            <w:r w:rsidRPr="004C2412">
              <w:rPr>
                <w:b w:val="0"/>
                <w:sz w:val="28"/>
                <w:szCs w:val="28"/>
                <w:vertAlign w:val="superscript"/>
              </w:rPr>
              <w:t>^</w:t>
            </w:r>
          </w:p>
        </w:tc>
        <w:tc>
          <w:tcPr>
            <w:tcW w:w="4000" w:type="dxa"/>
            <w:gridSpan w:val="2"/>
            <w:vAlign w:val="center"/>
          </w:tcPr>
          <w:p w14:paraId="1296DABD"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Refused Suitable Job</w:t>
            </w:r>
          </w:p>
        </w:tc>
        <w:tc>
          <w:tcPr>
            <w:tcW w:w="4187" w:type="dxa"/>
            <w:gridSpan w:val="2"/>
            <w:vAlign w:val="center"/>
          </w:tcPr>
          <w:p w14:paraId="40523956"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Did Not Commence Suitable Job</w:t>
            </w:r>
          </w:p>
        </w:tc>
        <w:tc>
          <w:tcPr>
            <w:tcW w:w="2149" w:type="dxa"/>
            <w:vAlign w:val="center"/>
          </w:tcPr>
          <w:p w14:paraId="2D6E6652"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Total Serious Failures</w:t>
            </w:r>
          </w:p>
        </w:tc>
      </w:tr>
      <w:tr w:rsidR="008E736B" w:rsidRPr="004C2412" w14:paraId="676200DA" w14:textId="77777777" w:rsidTr="00C9726D">
        <w:trPr>
          <w:cnfStyle w:val="100000000000" w:firstRow="1" w:lastRow="0" w:firstColumn="0" w:lastColumn="0" w:oddVBand="0" w:evenVBand="0" w:oddHBand="0" w:evenHBand="0" w:firstRowFirstColumn="0" w:firstRowLastColumn="0" w:lastRowFirstColumn="0" w:lastRowLastColumn="0"/>
          <w:trHeight w:val="359"/>
          <w:tblHeader/>
        </w:trPr>
        <w:tc>
          <w:tcPr>
            <w:cnfStyle w:val="001000000000" w:firstRow="0" w:lastRow="0" w:firstColumn="1" w:lastColumn="0" w:oddVBand="0" w:evenVBand="0" w:oddHBand="0" w:evenHBand="0" w:firstRowFirstColumn="0" w:firstRowLastColumn="0" w:lastRowFirstColumn="0" w:lastRowLastColumn="0"/>
            <w:tcW w:w="2261" w:type="dxa"/>
          </w:tcPr>
          <w:p w14:paraId="7141AF86" w14:textId="77777777" w:rsidR="008E736B" w:rsidRPr="004C2412" w:rsidRDefault="008E736B" w:rsidP="00C9726D">
            <w:pPr>
              <w:spacing w:before="0"/>
              <w:ind w:left="0"/>
            </w:pPr>
            <w:r w:rsidRPr="004C2412">
              <w:t>No.</w:t>
            </w:r>
          </w:p>
        </w:tc>
        <w:tc>
          <w:tcPr>
            <w:tcW w:w="1999" w:type="dxa"/>
          </w:tcPr>
          <w:p w14:paraId="7FF7AE2C"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889" w:type="dxa"/>
          </w:tcPr>
          <w:p w14:paraId="5BE1CFFC"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2111" w:type="dxa"/>
          </w:tcPr>
          <w:p w14:paraId="00F4D616"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2227" w:type="dxa"/>
          </w:tcPr>
          <w:p w14:paraId="4BC5ADCF"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960" w:type="dxa"/>
          </w:tcPr>
          <w:p w14:paraId="79A9B14B"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2149" w:type="dxa"/>
          </w:tcPr>
          <w:p w14:paraId="7E038068" w14:textId="77777777" w:rsidR="008E736B" w:rsidRPr="004C2412" w:rsidRDefault="008E736B"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9B1A84" w:rsidRPr="004C2412" w14:paraId="529DC1D8" w14:textId="77777777" w:rsidTr="00C9726D">
        <w:trPr>
          <w:trHeight w:val="401"/>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35C79AC4" w14:textId="39099C7B" w:rsidR="009B1A84" w:rsidRPr="009B1A84" w:rsidRDefault="009B1A84" w:rsidP="009B1A84">
            <w:pPr>
              <w:autoSpaceDE w:val="0"/>
              <w:autoSpaceDN w:val="0"/>
              <w:adjustRightInd w:val="0"/>
              <w:spacing w:before="0"/>
              <w:ind w:left="0"/>
              <w:rPr>
                <w:rFonts w:cs="Gill Sans MT"/>
                <w:b w:val="0"/>
                <w:color w:val="000000"/>
              </w:rPr>
            </w:pPr>
            <w:r w:rsidRPr="009B1A84">
              <w:rPr>
                <w:rFonts w:cs="Gill Sans MT"/>
                <w:b w:val="0"/>
                <w:color w:val="000000"/>
              </w:rPr>
              <w:t>40,049</w:t>
            </w:r>
          </w:p>
        </w:tc>
        <w:tc>
          <w:tcPr>
            <w:tcW w:w="1999" w:type="dxa"/>
            <w:vAlign w:val="center"/>
          </w:tcPr>
          <w:p w14:paraId="45891670" w14:textId="40C4E756" w:rsidR="009B1A84" w:rsidRPr="004C2412" w:rsidRDefault="009B1A84" w:rsidP="009B1A8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96%</w:t>
            </w:r>
          </w:p>
        </w:tc>
        <w:tc>
          <w:tcPr>
            <w:tcW w:w="1889" w:type="dxa"/>
            <w:vAlign w:val="center"/>
          </w:tcPr>
          <w:p w14:paraId="372E9A3C" w14:textId="5CEBA11D" w:rsidR="009B1A84" w:rsidRPr="004C2412" w:rsidRDefault="009B1A84" w:rsidP="009B1A8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945</w:t>
            </w:r>
          </w:p>
        </w:tc>
        <w:tc>
          <w:tcPr>
            <w:tcW w:w="2111" w:type="dxa"/>
            <w:vAlign w:val="center"/>
          </w:tcPr>
          <w:p w14:paraId="11DFB795" w14:textId="5690AB54" w:rsidR="009B1A84" w:rsidRPr="004C2412" w:rsidRDefault="009B1A84" w:rsidP="009B1A8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2%</w:t>
            </w:r>
          </w:p>
        </w:tc>
        <w:tc>
          <w:tcPr>
            <w:tcW w:w="2227" w:type="dxa"/>
            <w:vAlign w:val="center"/>
          </w:tcPr>
          <w:p w14:paraId="4E92830E" w14:textId="07098E89" w:rsidR="009B1A84" w:rsidRPr="004C2412" w:rsidRDefault="009B1A84" w:rsidP="009B1A8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576</w:t>
            </w:r>
          </w:p>
        </w:tc>
        <w:tc>
          <w:tcPr>
            <w:tcW w:w="1960" w:type="dxa"/>
            <w:vAlign w:val="center"/>
          </w:tcPr>
          <w:p w14:paraId="65BA8534" w14:textId="14ADC928" w:rsidR="009B1A84" w:rsidRPr="004C2412" w:rsidRDefault="009B1A84" w:rsidP="009B1A8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2%</w:t>
            </w:r>
          </w:p>
        </w:tc>
        <w:tc>
          <w:tcPr>
            <w:tcW w:w="2149" w:type="dxa"/>
            <w:vAlign w:val="center"/>
          </w:tcPr>
          <w:p w14:paraId="3F9502EB" w14:textId="6A0ABD86" w:rsidR="009B1A84" w:rsidRPr="004C2412" w:rsidRDefault="009B1A84" w:rsidP="009B1A84">
            <w:pPr>
              <w:spacing w:before="0"/>
              <w:ind w:left="0"/>
              <w:cnfStyle w:val="000000000000" w:firstRow="0" w:lastRow="0" w:firstColumn="0" w:lastColumn="0" w:oddVBand="0" w:evenVBand="0" w:oddHBand="0" w:evenHBand="0" w:firstRowFirstColumn="0" w:firstRowLastColumn="0" w:lastRowFirstColumn="0" w:lastRowLastColumn="0"/>
              <w:rPr>
                <w:rFonts w:cs="Arial"/>
                <w:color w:val="000000"/>
              </w:rPr>
            </w:pPr>
            <w:r w:rsidRPr="00FE7CCB">
              <w:rPr>
                <w:rFonts w:cs="Gill Sans MT"/>
                <w:color w:val="000000"/>
              </w:rPr>
              <w:t>41,570</w:t>
            </w:r>
          </w:p>
        </w:tc>
      </w:tr>
    </w:tbl>
    <w:p w14:paraId="690D1221" w14:textId="77777777" w:rsidR="00977BA7" w:rsidRDefault="008E736B" w:rsidP="008E736B">
      <w:pPr>
        <w:spacing w:after="240" w:line="240" w:lineRule="auto"/>
        <w:ind w:left="0"/>
        <w:sectPr w:rsidR="00977BA7" w:rsidSect="00763831">
          <w:pgSz w:w="16838" w:h="11906" w:orient="landscape"/>
          <w:pgMar w:top="142" w:right="962" w:bottom="720" w:left="1134" w:header="567" w:footer="0" w:gutter="0"/>
          <w:cols w:space="708"/>
          <w:docGrid w:linePitch="360"/>
        </w:sectPr>
      </w:pPr>
      <w:r w:rsidRPr="004C2412">
        <w:rPr>
          <w:sz w:val="32"/>
          <w:szCs w:val="32"/>
          <w:vertAlign w:val="superscript"/>
        </w:rPr>
        <w:t>^</w:t>
      </w:r>
      <w:r w:rsidRPr="004C2412">
        <w:t xml:space="preserve">The Department of Human Services undertake a Comprehensive Compliance Assessment before determining if a job seeker has persistently failed to comply with their activity test requirements. A number of matters, set out in the </w:t>
      </w:r>
      <w:r w:rsidRPr="004C2412">
        <w:rPr>
          <w:i/>
        </w:rPr>
        <w:t>Social Security (Administration) (Persistent Non-compliance) (Employment) Determination 2015 (No. 1),</w:t>
      </w:r>
      <w:r w:rsidRPr="004C2412">
        <w:t xml:space="preserve"> assist decision makers in deciding whether a job seeker has been persistently non-compliant.</w:t>
      </w:r>
    </w:p>
    <w:p w14:paraId="2FEBDC58" w14:textId="4B094CF1" w:rsidR="00117C27" w:rsidRDefault="00117C27" w:rsidP="00A609AA">
      <w:pPr>
        <w:pStyle w:val="Heading2"/>
        <w:numPr>
          <w:ilvl w:val="0"/>
          <w:numId w:val="0"/>
        </w:numPr>
      </w:pPr>
      <w:bookmarkStart w:id="39" w:name="_Toc526864445"/>
      <w:r w:rsidRPr="004C2412">
        <w:t xml:space="preserve">11 </w:t>
      </w:r>
      <w:r w:rsidR="00663AE9" w:rsidRPr="004C2412">
        <w:rPr>
          <w:szCs w:val="22"/>
        </w:rPr>
        <w:t>–</w:t>
      </w:r>
      <w:r w:rsidRPr="004C2412">
        <w:t xml:space="preserve"> Outcomes of Comprehensive Compliance Assessments</w:t>
      </w:r>
      <w:r w:rsidR="000A4474" w:rsidRPr="004C2412">
        <w:t xml:space="preserve"> (CCAs)</w:t>
      </w:r>
      <w:r w:rsidRPr="004C2412">
        <w:t xml:space="preserve"> - 1 </w:t>
      </w:r>
      <w:r w:rsidR="00457E7D">
        <w:t>April</w:t>
      </w:r>
      <w:r w:rsidRPr="004C2412">
        <w:t xml:space="preserve"> to 3</w:t>
      </w:r>
      <w:r w:rsidR="00457E7D">
        <w:t>0</w:t>
      </w:r>
      <w:r w:rsidRPr="004C2412">
        <w:t xml:space="preserve"> </w:t>
      </w:r>
      <w:r w:rsidR="00457E7D">
        <w:t>June</w:t>
      </w:r>
      <w:r w:rsidR="004556B7" w:rsidRPr="004C2412">
        <w:t xml:space="preserve"> </w:t>
      </w:r>
      <w:r w:rsidRPr="004C2412">
        <w:t>201</w:t>
      </w:r>
      <w:r w:rsidR="004556B7" w:rsidRPr="004C2412">
        <w:t>8</w:t>
      </w:r>
      <w:r w:rsidR="00977BA7">
        <w:t xml:space="preserve"> and 1 July 2017 to 30 June 2018</w:t>
      </w:r>
      <w:bookmarkEnd w:id="39"/>
    </w:p>
    <w:p w14:paraId="3ED998A3" w14:textId="0A855C9E" w:rsidR="00977BA7" w:rsidRPr="00977BA7" w:rsidRDefault="00977BA7" w:rsidP="00977BA7">
      <w:pPr>
        <w:pStyle w:val="Heading3"/>
        <w:numPr>
          <w:ilvl w:val="0"/>
          <w:numId w:val="0"/>
        </w:numPr>
      </w:pPr>
      <w:bookmarkStart w:id="40" w:name="_Toc526864446"/>
      <w:r>
        <w:t>11 a – Outcomes of Comprehensive Compliance Assessments (CCAs) – 1 April to 30 June 2018</w:t>
      </w:r>
      <w:bookmarkEnd w:id="40"/>
    </w:p>
    <w:tbl>
      <w:tblPr>
        <w:tblStyle w:val="CenterAlignTable"/>
        <w:tblW w:w="4890" w:type="pct"/>
        <w:tblInd w:w="0" w:type="dxa"/>
        <w:tblLayout w:type="fixed"/>
        <w:tblLook w:val="04A0" w:firstRow="1" w:lastRow="0" w:firstColumn="1" w:lastColumn="0" w:noHBand="0" w:noVBand="1"/>
        <w:tblCaption w:val="Outcomes of Comprehensive Compliance Assessments"/>
        <w:tblDescription w:val="Outcomes of Comprehensive Compliance Assessments"/>
      </w:tblPr>
      <w:tblGrid>
        <w:gridCol w:w="1094"/>
        <w:gridCol w:w="1101"/>
        <w:gridCol w:w="1720"/>
        <w:gridCol w:w="1608"/>
        <w:gridCol w:w="1985"/>
        <w:gridCol w:w="568"/>
        <w:gridCol w:w="1418"/>
        <w:gridCol w:w="1274"/>
        <w:gridCol w:w="1559"/>
        <w:gridCol w:w="709"/>
        <w:gridCol w:w="1372"/>
      </w:tblGrid>
      <w:tr w:rsidR="000A4474" w:rsidRPr="004C2412" w14:paraId="611DD156" w14:textId="77777777" w:rsidTr="00D259B6">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762" w:type="pct"/>
            <w:gridSpan w:val="2"/>
            <w:shd w:val="clear" w:color="auto" w:fill="auto"/>
            <w:vAlign w:val="center"/>
          </w:tcPr>
          <w:p w14:paraId="31FD8994" w14:textId="22BE0C9A" w:rsidR="00117C27" w:rsidRPr="004C2412" w:rsidRDefault="000A4474" w:rsidP="00910012">
            <w:pPr>
              <w:spacing w:before="0"/>
              <w:ind w:left="0"/>
            </w:pPr>
            <w:r w:rsidRPr="004C2412">
              <w:t>Serious Failure for persistent non-compliance</w:t>
            </w:r>
          </w:p>
        </w:tc>
        <w:tc>
          <w:tcPr>
            <w:tcW w:w="597" w:type="pct"/>
            <w:vAlign w:val="center"/>
          </w:tcPr>
          <w:p w14:paraId="6693D239"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 xml:space="preserve">JSCI updated – referral for </w:t>
            </w:r>
            <w:proofErr w:type="spellStart"/>
            <w:r w:rsidRPr="004C2412">
              <w:rPr>
                <w:sz w:val="20"/>
                <w:szCs w:val="20"/>
              </w:rPr>
              <w:t>ESAt</w:t>
            </w:r>
            <w:proofErr w:type="spellEnd"/>
          </w:p>
        </w:tc>
        <w:tc>
          <w:tcPr>
            <w:tcW w:w="558" w:type="pct"/>
            <w:vAlign w:val="center"/>
          </w:tcPr>
          <w:p w14:paraId="4FF4BE48"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JSCI updated – eligible for higher stream</w:t>
            </w:r>
          </w:p>
        </w:tc>
        <w:tc>
          <w:tcPr>
            <w:tcW w:w="886" w:type="pct"/>
            <w:gridSpan w:val="2"/>
            <w:vAlign w:val="center"/>
          </w:tcPr>
          <w:p w14:paraId="12CC6F6B" w14:textId="2D613589" w:rsidR="00117C27" w:rsidRPr="004C2412" w:rsidRDefault="000A4474"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(Sub-</w:t>
            </w:r>
            <w:r w:rsidR="00117C27" w:rsidRPr="004C2412">
              <w:t>Total</w:t>
            </w:r>
            <w:r w:rsidRPr="004C2412">
              <w:t>)</w:t>
            </w:r>
          </w:p>
          <w:p w14:paraId="7B34A75F" w14:textId="5277E7B7" w:rsidR="000A4474" w:rsidRPr="004C2412" w:rsidRDefault="000A4474"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Further assessment/assistance</w:t>
            </w:r>
          </w:p>
        </w:tc>
        <w:tc>
          <w:tcPr>
            <w:tcW w:w="492" w:type="pct"/>
            <w:vAlign w:val="center"/>
          </w:tcPr>
          <w:p w14:paraId="2E05D1D6"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Other Outcomes</w:t>
            </w:r>
          </w:p>
        </w:tc>
        <w:tc>
          <w:tcPr>
            <w:tcW w:w="442" w:type="pct"/>
            <w:vAlign w:val="center"/>
          </w:tcPr>
          <w:p w14:paraId="304FCEFE"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No Outcomes</w:t>
            </w:r>
          </w:p>
        </w:tc>
        <w:tc>
          <w:tcPr>
            <w:tcW w:w="787" w:type="pct"/>
            <w:gridSpan w:val="2"/>
            <w:vAlign w:val="center"/>
          </w:tcPr>
          <w:p w14:paraId="338F65CA" w14:textId="5ABA60A0" w:rsidR="00117C27" w:rsidRPr="004C2412" w:rsidRDefault="000A4474"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(Sub-</w:t>
            </w:r>
            <w:r w:rsidR="00117C27" w:rsidRPr="004C2412">
              <w:t>Total</w:t>
            </w:r>
            <w:r w:rsidRPr="004C2412">
              <w:t>)</w:t>
            </w:r>
          </w:p>
          <w:p w14:paraId="00C4AE5C" w14:textId="252331C5" w:rsidR="000A4474" w:rsidRPr="004C2412" w:rsidRDefault="000A4474" w:rsidP="00457E7D">
            <w:pPr>
              <w:spacing w:before="0"/>
              <w:ind w:left="0"/>
              <w:cnfStyle w:val="100000000000" w:firstRow="1" w:lastRow="0" w:firstColumn="0" w:lastColumn="0" w:oddVBand="0" w:evenVBand="0" w:oddHBand="0" w:evenHBand="0" w:firstRowFirstColumn="0" w:firstRowLastColumn="0" w:lastRowFirstColumn="0" w:lastRowLastColumn="0"/>
            </w:pPr>
            <w:r w:rsidRPr="004C2412">
              <w:t>No change in Employment Services Programme or Stream</w:t>
            </w:r>
          </w:p>
        </w:tc>
        <w:tc>
          <w:tcPr>
            <w:tcW w:w="476" w:type="pct"/>
            <w:vAlign w:val="center"/>
          </w:tcPr>
          <w:p w14:paraId="1461A8DC" w14:textId="3C269F74" w:rsidR="00117C27" w:rsidRPr="004C2412" w:rsidRDefault="000A4474"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CCA Outcomes</w:t>
            </w:r>
          </w:p>
        </w:tc>
      </w:tr>
      <w:tr w:rsidR="000A4474" w:rsidRPr="004C2412" w14:paraId="54CCB55F" w14:textId="77777777" w:rsidTr="00910012">
        <w:trPr>
          <w:cnfStyle w:val="100000000000" w:firstRow="1" w:lastRow="0" w:firstColumn="0" w:lastColumn="0" w:oddVBand="0" w:evenVBand="0" w:oddHBand="0" w:evenHBand="0" w:firstRowFirstColumn="0" w:firstRowLastColumn="0" w:lastRowFirstColumn="0" w:lastRowLastColumn="0"/>
          <w:trHeight w:val="397"/>
          <w:tblHeader/>
        </w:trPr>
        <w:tc>
          <w:tcPr>
            <w:cnfStyle w:val="001000000000" w:firstRow="0" w:lastRow="0" w:firstColumn="1" w:lastColumn="0" w:oddVBand="0" w:evenVBand="0" w:oddHBand="0" w:evenHBand="0" w:firstRowFirstColumn="0" w:firstRowLastColumn="0" w:lastRowFirstColumn="0" w:lastRowLastColumn="0"/>
            <w:tcW w:w="380" w:type="pct"/>
            <w:vAlign w:val="center"/>
          </w:tcPr>
          <w:p w14:paraId="365C6F9D" w14:textId="77777777" w:rsidR="00117C27" w:rsidRPr="004C2412" w:rsidRDefault="00117C27" w:rsidP="00910012">
            <w:pPr>
              <w:spacing w:before="0"/>
              <w:ind w:left="0"/>
            </w:pPr>
            <w:r w:rsidRPr="004C2412">
              <w:t>No.</w:t>
            </w:r>
          </w:p>
        </w:tc>
        <w:tc>
          <w:tcPr>
            <w:tcW w:w="382" w:type="pct"/>
            <w:vAlign w:val="center"/>
          </w:tcPr>
          <w:p w14:paraId="1332AB13"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597" w:type="pct"/>
            <w:vAlign w:val="center"/>
          </w:tcPr>
          <w:p w14:paraId="19D9B4BF"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558" w:type="pct"/>
            <w:vAlign w:val="center"/>
          </w:tcPr>
          <w:p w14:paraId="4FF7C9BE"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689" w:type="pct"/>
            <w:vAlign w:val="center"/>
          </w:tcPr>
          <w:p w14:paraId="70036D5D"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97" w:type="pct"/>
            <w:vAlign w:val="center"/>
          </w:tcPr>
          <w:p w14:paraId="4E8785D7"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492" w:type="pct"/>
            <w:vAlign w:val="center"/>
          </w:tcPr>
          <w:p w14:paraId="40266917"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442" w:type="pct"/>
            <w:vAlign w:val="center"/>
          </w:tcPr>
          <w:p w14:paraId="1C9A64FC"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541" w:type="pct"/>
            <w:vAlign w:val="center"/>
          </w:tcPr>
          <w:p w14:paraId="6A20D1EA"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246" w:type="pct"/>
            <w:vAlign w:val="center"/>
          </w:tcPr>
          <w:p w14:paraId="0821EAF5"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476" w:type="pct"/>
            <w:vAlign w:val="center"/>
          </w:tcPr>
          <w:p w14:paraId="183F7087"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457E7D" w:rsidRPr="004C2412" w14:paraId="78387FD0" w14:textId="77777777" w:rsidTr="00910012">
        <w:trPr>
          <w:trHeight w:val="385"/>
        </w:trPr>
        <w:tc>
          <w:tcPr>
            <w:cnfStyle w:val="001000000000" w:firstRow="0" w:lastRow="0" w:firstColumn="1" w:lastColumn="0" w:oddVBand="0" w:evenVBand="0" w:oddHBand="0" w:evenHBand="0" w:firstRowFirstColumn="0" w:firstRowLastColumn="0" w:lastRowFirstColumn="0" w:lastRowLastColumn="0"/>
            <w:tcW w:w="380" w:type="pct"/>
            <w:vAlign w:val="center"/>
          </w:tcPr>
          <w:p w14:paraId="4C56DE8B" w14:textId="5B9DEBC0" w:rsidR="00457E7D" w:rsidRPr="00457E7D" w:rsidRDefault="00457E7D" w:rsidP="00457E7D">
            <w:pPr>
              <w:autoSpaceDE w:val="0"/>
              <w:autoSpaceDN w:val="0"/>
              <w:adjustRightInd w:val="0"/>
              <w:spacing w:before="0"/>
              <w:ind w:left="0"/>
              <w:rPr>
                <w:rFonts w:cs="Gill Sans MT"/>
                <w:b w:val="0"/>
                <w:color w:val="000000"/>
              </w:rPr>
            </w:pPr>
            <w:r w:rsidRPr="00457E7D">
              <w:rPr>
                <w:rFonts w:cs="Gill Sans MT"/>
                <w:b w:val="0"/>
                <w:color w:val="000000"/>
              </w:rPr>
              <w:t>10,256</w:t>
            </w:r>
          </w:p>
        </w:tc>
        <w:tc>
          <w:tcPr>
            <w:tcW w:w="382" w:type="pct"/>
            <w:vAlign w:val="center"/>
          </w:tcPr>
          <w:p w14:paraId="3BA45CF4" w14:textId="3B216DD6" w:rsidR="00457E7D" w:rsidRPr="004C2412" w:rsidRDefault="00457E7D" w:rsidP="00457E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45%</w:t>
            </w:r>
          </w:p>
        </w:tc>
        <w:tc>
          <w:tcPr>
            <w:tcW w:w="597" w:type="pct"/>
            <w:vAlign w:val="center"/>
          </w:tcPr>
          <w:p w14:paraId="2B8ECA0B" w14:textId="0F3CFC83" w:rsidR="00457E7D" w:rsidRPr="004C2412" w:rsidRDefault="00457E7D" w:rsidP="00457E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597</w:t>
            </w:r>
          </w:p>
        </w:tc>
        <w:tc>
          <w:tcPr>
            <w:tcW w:w="558" w:type="pct"/>
            <w:vAlign w:val="center"/>
          </w:tcPr>
          <w:p w14:paraId="1FE9D3D3" w14:textId="2C4340EA" w:rsidR="00457E7D" w:rsidRPr="004C2412" w:rsidRDefault="00457E7D" w:rsidP="00457E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46</w:t>
            </w:r>
          </w:p>
        </w:tc>
        <w:tc>
          <w:tcPr>
            <w:tcW w:w="689" w:type="pct"/>
            <w:vAlign w:val="center"/>
          </w:tcPr>
          <w:p w14:paraId="68701899" w14:textId="5B7F2DCA" w:rsidR="00457E7D" w:rsidRPr="004C2412" w:rsidRDefault="00457E7D" w:rsidP="00457E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643</w:t>
            </w:r>
          </w:p>
        </w:tc>
        <w:tc>
          <w:tcPr>
            <w:tcW w:w="197" w:type="pct"/>
            <w:vAlign w:val="center"/>
          </w:tcPr>
          <w:p w14:paraId="2F6C8258" w14:textId="21A443FC" w:rsidR="00457E7D" w:rsidRPr="004C2412" w:rsidRDefault="00457E7D" w:rsidP="00457E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3%</w:t>
            </w:r>
          </w:p>
        </w:tc>
        <w:tc>
          <w:tcPr>
            <w:tcW w:w="492" w:type="pct"/>
            <w:vAlign w:val="center"/>
          </w:tcPr>
          <w:p w14:paraId="70D13EDC" w14:textId="0621D7D9" w:rsidR="00457E7D" w:rsidRPr="004C2412" w:rsidRDefault="00457E7D" w:rsidP="00457E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10,546</w:t>
            </w:r>
          </w:p>
        </w:tc>
        <w:tc>
          <w:tcPr>
            <w:tcW w:w="442" w:type="pct"/>
            <w:vAlign w:val="center"/>
          </w:tcPr>
          <w:p w14:paraId="26657669" w14:textId="3D5AC051" w:rsidR="00457E7D" w:rsidRPr="004C2412" w:rsidRDefault="00457E7D" w:rsidP="00457E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1,543</w:t>
            </w:r>
          </w:p>
        </w:tc>
        <w:tc>
          <w:tcPr>
            <w:tcW w:w="541" w:type="pct"/>
            <w:vAlign w:val="center"/>
          </w:tcPr>
          <w:p w14:paraId="1D7C509F" w14:textId="25FF17BE" w:rsidR="00457E7D" w:rsidRPr="004C2412" w:rsidRDefault="00457E7D" w:rsidP="00457E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12,089</w:t>
            </w:r>
          </w:p>
        </w:tc>
        <w:tc>
          <w:tcPr>
            <w:tcW w:w="246" w:type="pct"/>
            <w:vAlign w:val="center"/>
          </w:tcPr>
          <w:p w14:paraId="452D9943" w14:textId="71FF4875" w:rsidR="00457E7D" w:rsidRPr="004C2412" w:rsidRDefault="00457E7D" w:rsidP="00457E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53%</w:t>
            </w:r>
          </w:p>
        </w:tc>
        <w:tc>
          <w:tcPr>
            <w:tcW w:w="476" w:type="pct"/>
            <w:vAlign w:val="center"/>
          </w:tcPr>
          <w:p w14:paraId="015D6D58" w14:textId="3A68C805" w:rsidR="00457E7D" w:rsidRPr="004C2412" w:rsidRDefault="00457E7D" w:rsidP="00457E7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22,988</w:t>
            </w:r>
          </w:p>
        </w:tc>
      </w:tr>
    </w:tbl>
    <w:p w14:paraId="27A578CC" w14:textId="303CFE57" w:rsidR="00117C27" w:rsidRDefault="00117C27" w:rsidP="00F65699">
      <w:pPr>
        <w:spacing w:after="0" w:line="240" w:lineRule="auto"/>
        <w:ind w:left="0"/>
      </w:pPr>
      <w:r w:rsidRPr="004C2412">
        <w:t xml:space="preserve">Note: A Comprehensive Compliance Assessment (CCA) can result in multiple outcomes but in the above </w:t>
      </w:r>
      <w:proofErr w:type="gramStart"/>
      <w:r w:rsidRPr="004C2412">
        <w:t>table</w:t>
      </w:r>
      <w:proofErr w:type="gramEnd"/>
      <w:r w:rsidRPr="004C2412">
        <w:t xml:space="preserve"> each CCA is counted only once under whichever outcome is highest within the Hierarchy below. For example, where a CCA recommends both ‘Referral for an Employment Services Assessment (</w:t>
      </w:r>
      <w:proofErr w:type="spellStart"/>
      <w:r w:rsidRPr="004C2412">
        <w:t>ESAt</w:t>
      </w:r>
      <w:proofErr w:type="spellEnd"/>
      <w:r w:rsidRPr="004C2412">
        <w:t xml:space="preserve">)’ and another intervention, the CCA </w:t>
      </w:r>
      <w:proofErr w:type="gramStart"/>
      <w:r w:rsidRPr="004C2412">
        <w:t>would be counted</w:t>
      </w:r>
      <w:proofErr w:type="gramEnd"/>
      <w:r w:rsidRPr="004C2412">
        <w:t xml:space="preserve"> under ‘JSCI- Referral for </w:t>
      </w:r>
      <w:proofErr w:type="spellStart"/>
      <w:r w:rsidRPr="004C2412">
        <w:t>ESAt</w:t>
      </w:r>
      <w:proofErr w:type="spellEnd"/>
      <w:r w:rsidRPr="004C2412">
        <w:t xml:space="preserve">’. The Outcome Hierarchy is </w:t>
      </w:r>
      <w:proofErr w:type="gramStart"/>
      <w:r w:rsidRPr="004C2412">
        <w:t>1</w:t>
      </w:r>
      <w:proofErr w:type="gramEnd"/>
      <w:r w:rsidRPr="004C2412">
        <w:t>.</w:t>
      </w:r>
      <w:r w:rsidR="00022423" w:rsidRPr="004C2412">
        <w:t xml:space="preserve"> </w:t>
      </w:r>
      <w:r w:rsidRPr="004C2412">
        <w:t xml:space="preserve">Serious Failure’; </w:t>
      </w:r>
      <w:proofErr w:type="gramStart"/>
      <w:r w:rsidRPr="004C2412">
        <w:t>2</w:t>
      </w:r>
      <w:proofErr w:type="gramEnd"/>
      <w:r w:rsidRPr="004C2412">
        <w:t xml:space="preserve">. ‘JSCI – Referral for </w:t>
      </w:r>
      <w:proofErr w:type="spellStart"/>
      <w:r w:rsidRPr="004C2412">
        <w:t>ESAt</w:t>
      </w:r>
      <w:proofErr w:type="spellEnd"/>
      <w:r w:rsidRPr="004C2412">
        <w:t xml:space="preserve">’; </w:t>
      </w:r>
      <w:proofErr w:type="gramStart"/>
      <w:r w:rsidRPr="004C2412">
        <w:t>3</w:t>
      </w:r>
      <w:proofErr w:type="gramEnd"/>
      <w:r w:rsidRPr="004C2412">
        <w:t xml:space="preserve">. ‘JSCI – Eligible for higher stream’; </w:t>
      </w:r>
      <w:proofErr w:type="gramStart"/>
      <w:r w:rsidRPr="004C2412">
        <w:t>4</w:t>
      </w:r>
      <w:proofErr w:type="gramEnd"/>
      <w:r w:rsidRPr="004C2412">
        <w:t>. ‘Other Outcomes’; and 5. ‘No Outcomes’.</w:t>
      </w:r>
    </w:p>
    <w:p w14:paraId="53073C14" w14:textId="30DA412E" w:rsidR="00977BA7" w:rsidRPr="00977BA7" w:rsidRDefault="00977BA7" w:rsidP="00977BA7">
      <w:pPr>
        <w:pStyle w:val="Heading3"/>
        <w:numPr>
          <w:ilvl w:val="0"/>
          <w:numId w:val="0"/>
        </w:numPr>
      </w:pPr>
      <w:bookmarkStart w:id="41" w:name="_Toc526864447"/>
      <w:r>
        <w:t>11 b – Outcomes of Comprehensive Compliance Assessments (CCAs) – 1 July 2017 to 30 June 2018</w:t>
      </w:r>
      <w:bookmarkEnd w:id="41"/>
    </w:p>
    <w:tbl>
      <w:tblPr>
        <w:tblStyle w:val="CenterAlignTable"/>
        <w:tblW w:w="4890" w:type="pct"/>
        <w:tblInd w:w="0" w:type="dxa"/>
        <w:tblLayout w:type="fixed"/>
        <w:tblLook w:val="04A0" w:firstRow="1" w:lastRow="0" w:firstColumn="1" w:lastColumn="0" w:noHBand="0" w:noVBand="1"/>
        <w:tblCaption w:val="Outcomes of Comprehensive Compliance Assessments"/>
        <w:tblDescription w:val="Outcomes of Comprehensive Compliance Assessments"/>
      </w:tblPr>
      <w:tblGrid>
        <w:gridCol w:w="1094"/>
        <w:gridCol w:w="1101"/>
        <w:gridCol w:w="1720"/>
        <w:gridCol w:w="1608"/>
        <w:gridCol w:w="1985"/>
        <w:gridCol w:w="568"/>
        <w:gridCol w:w="1418"/>
        <w:gridCol w:w="1274"/>
        <w:gridCol w:w="1559"/>
        <w:gridCol w:w="709"/>
        <w:gridCol w:w="1372"/>
      </w:tblGrid>
      <w:tr w:rsidR="00977BA7" w:rsidRPr="004C2412" w14:paraId="2580ABE2" w14:textId="77777777" w:rsidTr="00E16596">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762" w:type="pct"/>
            <w:gridSpan w:val="2"/>
            <w:shd w:val="clear" w:color="auto" w:fill="auto"/>
            <w:vAlign w:val="center"/>
          </w:tcPr>
          <w:p w14:paraId="5798B789" w14:textId="77777777" w:rsidR="00977BA7" w:rsidRPr="004C2412" w:rsidRDefault="00977BA7" w:rsidP="00C9726D">
            <w:pPr>
              <w:spacing w:before="0"/>
              <w:ind w:left="0"/>
            </w:pPr>
            <w:r w:rsidRPr="004C2412">
              <w:t>Serious Failure for persistent non-compliance</w:t>
            </w:r>
          </w:p>
        </w:tc>
        <w:tc>
          <w:tcPr>
            <w:tcW w:w="597" w:type="pct"/>
            <w:vAlign w:val="center"/>
          </w:tcPr>
          <w:p w14:paraId="18C5EEAB"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 xml:space="preserve">JSCI updated – referral for </w:t>
            </w:r>
            <w:proofErr w:type="spellStart"/>
            <w:r w:rsidRPr="004C2412">
              <w:rPr>
                <w:sz w:val="20"/>
                <w:szCs w:val="20"/>
              </w:rPr>
              <w:t>ESAt</w:t>
            </w:r>
            <w:proofErr w:type="spellEnd"/>
          </w:p>
        </w:tc>
        <w:tc>
          <w:tcPr>
            <w:tcW w:w="558" w:type="pct"/>
            <w:vAlign w:val="center"/>
          </w:tcPr>
          <w:p w14:paraId="7C61DF2C"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JSCI updated – eligible for higher stream</w:t>
            </w:r>
          </w:p>
        </w:tc>
        <w:tc>
          <w:tcPr>
            <w:tcW w:w="886" w:type="pct"/>
            <w:gridSpan w:val="2"/>
            <w:vAlign w:val="center"/>
          </w:tcPr>
          <w:p w14:paraId="51BB9F02"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(Sub-Total)</w:t>
            </w:r>
          </w:p>
          <w:p w14:paraId="25CFEBAA"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Further assessment/assistance</w:t>
            </w:r>
          </w:p>
        </w:tc>
        <w:tc>
          <w:tcPr>
            <w:tcW w:w="492" w:type="pct"/>
            <w:vAlign w:val="center"/>
          </w:tcPr>
          <w:p w14:paraId="3490ADBA"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Other Outcomes</w:t>
            </w:r>
          </w:p>
        </w:tc>
        <w:tc>
          <w:tcPr>
            <w:tcW w:w="442" w:type="pct"/>
            <w:vAlign w:val="center"/>
          </w:tcPr>
          <w:p w14:paraId="2D6591A9"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rPr>
                <w:sz w:val="20"/>
                <w:szCs w:val="20"/>
              </w:rPr>
            </w:pPr>
            <w:r w:rsidRPr="004C2412">
              <w:rPr>
                <w:sz w:val="20"/>
                <w:szCs w:val="20"/>
              </w:rPr>
              <w:t>No Outcomes</w:t>
            </w:r>
          </w:p>
        </w:tc>
        <w:tc>
          <w:tcPr>
            <w:tcW w:w="787" w:type="pct"/>
            <w:gridSpan w:val="2"/>
            <w:vAlign w:val="center"/>
          </w:tcPr>
          <w:p w14:paraId="2C91D91C"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(Sub-Total)</w:t>
            </w:r>
          </w:p>
          <w:p w14:paraId="7242E368"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 change in Employment Services Programme or Stream</w:t>
            </w:r>
          </w:p>
        </w:tc>
        <w:tc>
          <w:tcPr>
            <w:tcW w:w="476" w:type="pct"/>
            <w:vAlign w:val="center"/>
          </w:tcPr>
          <w:p w14:paraId="0B1AFDA0"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Total CCA Outcomes</w:t>
            </w:r>
          </w:p>
        </w:tc>
      </w:tr>
      <w:tr w:rsidR="00977BA7" w:rsidRPr="004C2412" w14:paraId="23238057" w14:textId="77777777" w:rsidTr="00C9726D">
        <w:trPr>
          <w:cnfStyle w:val="100000000000" w:firstRow="1" w:lastRow="0" w:firstColumn="0" w:lastColumn="0" w:oddVBand="0" w:evenVBand="0" w:oddHBand="0" w:evenHBand="0" w:firstRowFirstColumn="0" w:firstRowLastColumn="0" w:lastRowFirstColumn="0" w:lastRowLastColumn="0"/>
          <w:trHeight w:val="397"/>
          <w:tblHeader/>
        </w:trPr>
        <w:tc>
          <w:tcPr>
            <w:cnfStyle w:val="001000000000" w:firstRow="0" w:lastRow="0" w:firstColumn="1" w:lastColumn="0" w:oddVBand="0" w:evenVBand="0" w:oddHBand="0" w:evenHBand="0" w:firstRowFirstColumn="0" w:firstRowLastColumn="0" w:lastRowFirstColumn="0" w:lastRowLastColumn="0"/>
            <w:tcW w:w="380" w:type="pct"/>
            <w:vAlign w:val="center"/>
          </w:tcPr>
          <w:p w14:paraId="544EBEE3" w14:textId="77777777" w:rsidR="00977BA7" w:rsidRPr="004C2412" w:rsidRDefault="00977BA7" w:rsidP="00C9726D">
            <w:pPr>
              <w:spacing w:before="0"/>
              <w:ind w:left="0"/>
            </w:pPr>
            <w:r w:rsidRPr="004C2412">
              <w:t>No.</w:t>
            </w:r>
          </w:p>
        </w:tc>
        <w:tc>
          <w:tcPr>
            <w:tcW w:w="382" w:type="pct"/>
            <w:vAlign w:val="center"/>
          </w:tcPr>
          <w:p w14:paraId="6BFDF6BC"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597" w:type="pct"/>
            <w:vAlign w:val="center"/>
          </w:tcPr>
          <w:p w14:paraId="08EF7633"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558" w:type="pct"/>
            <w:vAlign w:val="center"/>
          </w:tcPr>
          <w:p w14:paraId="65962538"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689" w:type="pct"/>
            <w:vAlign w:val="center"/>
          </w:tcPr>
          <w:p w14:paraId="4C1EB301"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97" w:type="pct"/>
            <w:vAlign w:val="center"/>
          </w:tcPr>
          <w:p w14:paraId="50C60926"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492" w:type="pct"/>
            <w:vAlign w:val="center"/>
          </w:tcPr>
          <w:p w14:paraId="5859E433"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442" w:type="pct"/>
            <w:vAlign w:val="center"/>
          </w:tcPr>
          <w:p w14:paraId="0B9459DD"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541" w:type="pct"/>
            <w:vAlign w:val="center"/>
          </w:tcPr>
          <w:p w14:paraId="554824E3"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246" w:type="pct"/>
            <w:vAlign w:val="center"/>
          </w:tcPr>
          <w:p w14:paraId="4BBBFBBF"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476" w:type="pct"/>
            <w:vAlign w:val="center"/>
          </w:tcPr>
          <w:p w14:paraId="05B59BB7" w14:textId="77777777" w:rsidR="00977BA7" w:rsidRPr="004C2412" w:rsidRDefault="00977BA7"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977BA7" w:rsidRPr="004C2412" w14:paraId="56CC8816" w14:textId="77777777" w:rsidTr="00C9726D">
        <w:trPr>
          <w:trHeight w:val="385"/>
        </w:trPr>
        <w:tc>
          <w:tcPr>
            <w:cnfStyle w:val="001000000000" w:firstRow="0" w:lastRow="0" w:firstColumn="1" w:lastColumn="0" w:oddVBand="0" w:evenVBand="0" w:oddHBand="0" w:evenHBand="0" w:firstRowFirstColumn="0" w:firstRowLastColumn="0" w:lastRowFirstColumn="0" w:lastRowLastColumn="0"/>
            <w:tcW w:w="380" w:type="pct"/>
            <w:vAlign w:val="center"/>
          </w:tcPr>
          <w:p w14:paraId="23FF60AD" w14:textId="397F05F1" w:rsidR="00977BA7" w:rsidRPr="00977BA7" w:rsidRDefault="00977BA7" w:rsidP="00977BA7">
            <w:pPr>
              <w:autoSpaceDE w:val="0"/>
              <w:autoSpaceDN w:val="0"/>
              <w:adjustRightInd w:val="0"/>
              <w:spacing w:before="0"/>
              <w:ind w:left="0"/>
              <w:rPr>
                <w:rFonts w:cs="Gill Sans MT"/>
                <w:b w:val="0"/>
                <w:color w:val="000000"/>
              </w:rPr>
            </w:pPr>
            <w:r w:rsidRPr="00977BA7">
              <w:rPr>
                <w:rFonts w:cs="Gill Sans MT"/>
                <w:b w:val="0"/>
                <w:color w:val="000000"/>
              </w:rPr>
              <w:t>40,049</w:t>
            </w:r>
          </w:p>
        </w:tc>
        <w:tc>
          <w:tcPr>
            <w:tcW w:w="382" w:type="pct"/>
            <w:vAlign w:val="center"/>
          </w:tcPr>
          <w:p w14:paraId="172C82E0" w14:textId="5913B342" w:rsidR="00977BA7" w:rsidRPr="004C2412" w:rsidRDefault="00977BA7" w:rsidP="00977BA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44%</w:t>
            </w:r>
          </w:p>
        </w:tc>
        <w:tc>
          <w:tcPr>
            <w:tcW w:w="597" w:type="pct"/>
            <w:vAlign w:val="center"/>
          </w:tcPr>
          <w:p w14:paraId="21A57D6E" w14:textId="63D0DA78" w:rsidR="00977BA7" w:rsidRPr="004C2412" w:rsidRDefault="00977BA7" w:rsidP="00977BA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2,510</w:t>
            </w:r>
          </w:p>
        </w:tc>
        <w:tc>
          <w:tcPr>
            <w:tcW w:w="558" w:type="pct"/>
            <w:vAlign w:val="center"/>
          </w:tcPr>
          <w:p w14:paraId="64C9A553" w14:textId="5E5A1239" w:rsidR="00977BA7" w:rsidRPr="004C2412" w:rsidRDefault="00977BA7" w:rsidP="00977BA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149</w:t>
            </w:r>
          </w:p>
        </w:tc>
        <w:tc>
          <w:tcPr>
            <w:tcW w:w="689" w:type="pct"/>
            <w:vAlign w:val="center"/>
          </w:tcPr>
          <w:p w14:paraId="26D83C1E" w14:textId="4079EC60" w:rsidR="00977BA7" w:rsidRPr="004C2412" w:rsidRDefault="00977BA7" w:rsidP="00977BA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2,659</w:t>
            </w:r>
          </w:p>
        </w:tc>
        <w:tc>
          <w:tcPr>
            <w:tcW w:w="197" w:type="pct"/>
            <w:vAlign w:val="center"/>
          </w:tcPr>
          <w:p w14:paraId="50871201" w14:textId="206DE649" w:rsidR="00977BA7" w:rsidRPr="004C2412" w:rsidRDefault="00977BA7" w:rsidP="00977BA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3%</w:t>
            </w:r>
          </w:p>
        </w:tc>
        <w:tc>
          <w:tcPr>
            <w:tcW w:w="492" w:type="pct"/>
            <w:vAlign w:val="center"/>
          </w:tcPr>
          <w:p w14:paraId="68CA98A9" w14:textId="332835F8" w:rsidR="00977BA7" w:rsidRPr="004C2412" w:rsidRDefault="00977BA7" w:rsidP="00977BA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41,934</w:t>
            </w:r>
          </w:p>
        </w:tc>
        <w:tc>
          <w:tcPr>
            <w:tcW w:w="442" w:type="pct"/>
            <w:vAlign w:val="center"/>
          </w:tcPr>
          <w:p w14:paraId="3F4F859A" w14:textId="28AB2E75" w:rsidR="00977BA7" w:rsidRPr="004C2412" w:rsidRDefault="00977BA7" w:rsidP="00977BA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6,200</w:t>
            </w:r>
          </w:p>
        </w:tc>
        <w:tc>
          <w:tcPr>
            <w:tcW w:w="541" w:type="pct"/>
            <w:vAlign w:val="center"/>
          </w:tcPr>
          <w:p w14:paraId="68C54899" w14:textId="4A21FD4B" w:rsidR="00977BA7" w:rsidRPr="004C2412" w:rsidRDefault="00977BA7" w:rsidP="00977BA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48,134</w:t>
            </w:r>
          </w:p>
        </w:tc>
        <w:tc>
          <w:tcPr>
            <w:tcW w:w="246" w:type="pct"/>
            <w:vAlign w:val="center"/>
          </w:tcPr>
          <w:p w14:paraId="737F05BF" w14:textId="14FF0855" w:rsidR="00977BA7" w:rsidRPr="004C2412" w:rsidRDefault="00977BA7" w:rsidP="00977BA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53%</w:t>
            </w:r>
          </w:p>
        </w:tc>
        <w:tc>
          <w:tcPr>
            <w:tcW w:w="476" w:type="pct"/>
            <w:vAlign w:val="center"/>
          </w:tcPr>
          <w:p w14:paraId="6B0C6D5D" w14:textId="16EF4F71" w:rsidR="00977BA7" w:rsidRPr="004C2412" w:rsidRDefault="00977BA7" w:rsidP="00977BA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7CCB">
              <w:rPr>
                <w:rFonts w:cs="Gill Sans MT"/>
                <w:color w:val="000000"/>
              </w:rPr>
              <w:t>90,842</w:t>
            </w:r>
          </w:p>
        </w:tc>
      </w:tr>
    </w:tbl>
    <w:p w14:paraId="7F8DA535" w14:textId="77777777" w:rsidR="00977BA7" w:rsidRDefault="00977BA7" w:rsidP="00977BA7">
      <w:pPr>
        <w:spacing w:after="0" w:line="240" w:lineRule="auto"/>
        <w:ind w:left="0"/>
      </w:pPr>
      <w:r w:rsidRPr="004C2412">
        <w:t xml:space="preserve">Note: A Comprehensive Compliance Assessment (CCA) can result in multiple outcomes but in the above </w:t>
      </w:r>
      <w:proofErr w:type="gramStart"/>
      <w:r w:rsidRPr="004C2412">
        <w:t>table</w:t>
      </w:r>
      <w:proofErr w:type="gramEnd"/>
      <w:r w:rsidRPr="004C2412">
        <w:t xml:space="preserve"> each CCA is counted only once under whichever outcome is highest within the Hierarchy below. For example, where a CCA recommends both ‘Referral for an Employment Services Assessment (</w:t>
      </w:r>
      <w:proofErr w:type="spellStart"/>
      <w:r w:rsidRPr="004C2412">
        <w:t>ESAt</w:t>
      </w:r>
      <w:proofErr w:type="spellEnd"/>
      <w:r w:rsidRPr="004C2412">
        <w:t xml:space="preserve">)’ and another intervention, the CCA </w:t>
      </w:r>
      <w:proofErr w:type="gramStart"/>
      <w:r w:rsidRPr="004C2412">
        <w:t>would be counted</w:t>
      </w:r>
      <w:proofErr w:type="gramEnd"/>
      <w:r w:rsidRPr="004C2412">
        <w:t xml:space="preserve"> under ‘JSCI- Referral for </w:t>
      </w:r>
      <w:proofErr w:type="spellStart"/>
      <w:r w:rsidRPr="004C2412">
        <w:t>ESAt</w:t>
      </w:r>
      <w:proofErr w:type="spellEnd"/>
      <w:r w:rsidRPr="004C2412">
        <w:t xml:space="preserve">’. The Outcome Hierarchy is </w:t>
      </w:r>
      <w:proofErr w:type="gramStart"/>
      <w:r w:rsidRPr="004C2412">
        <w:t>1</w:t>
      </w:r>
      <w:proofErr w:type="gramEnd"/>
      <w:r w:rsidRPr="004C2412">
        <w:t xml:space="preserve">. Serious Failure’; </w:t>
      </w:r>
      <w:proofErr w:type="gramStart"/>
      <w:r w:rsidRPr="004C2412">
        <w:t>2</w:t>
      </w:r>
      <w:proofErr w:type="gramEnd"/>
      <w:r w:rsidRPr="004C2412">
        <w:t xml:space="preserve">. ‘JSCI – Referral for </w:t>
      </w:r>
      <w:proofErr w:type="spellStart"/>
      <w:r w:rsidRPr="004C2412">
        <w:t>ESAt</w:t>
      </w:r>
      <w:proofErr w:type="spellEnd"/>
      <w:r w:rsidRPr="004C2412">
        <w:t xml:space="preserve">’; </w:t>
      </w:r>
      <w:proofErr w:type="gramStart"/>
      <w:r w:rsidRPr="004C2412">
        <w:t>3</w:t>
      </w:r>
      <w:proofErr w:type="gramEnd"/>
      <w:r w:rsidRPr="004C2412">
        <w:t xml:space="preserve">. ‘JSCI – Eligible for higher stream’; </w:t>
      </w:r>
      <w:proofErr w:type="gramStart"/>
      <w:r w:rsidRPr="004C2412">
        <w:t>4</w:t>
      </w:r>
      <w:proofErr w:type="gramEnd"/>
      <w:r w:rsidRPr="004C2412">
        <w:t>. ‘Other Outcomes’; and 5. ‘No Outcomes’.</w:t>
      </w:r>
    </w:p>
    <w:p w14:paraId="3273B7F9" w14:textId="77777777" w:rsidR="00D259B6" w:rsidRDefault="00D259B6" w:rsidP="00F65699">
      <w:pPr>
        <w:spacing w:after="0" w:line="240" w:lineRule="auto"/>
        <w:ind w:left="0"/>
        <w:sectPr w:rsidR="00D259B6" w:rsidSect="00763831">
          <w:pgSz w:w="16838" w:h="11906" w:orient="landscape"/>
          <w:pgMar w:top="142" w:right="962" w:bottom="720" w:left="1134" w:header="567" w:footer="0" w:gutter="0"/>
          <w:cols w:space="708"/>
          <w:docGrid w:linePitch="360"/>
        </w:sectPr>
      </w:pPr>
    </w:p>
    <w:p w14:paraId="1217F4F7" w14:textId="02CBAFCF" w:rsidR="00117C27" w:rsidRDefault="00117C27" w:rsidP="00A609AA">
      <w:pPr>
        <w:pStyle w:val="Heading2"/>
        <w:numPr>
          <w:ilvl w:val="0"/>
          <w:numId w:val="0"/>
        </w:numPr>
      </w:pPr>
      <w:bookmarkStart w:id="42" w:name="_Toc526864448"/>
      <w:r w:rsidRPr="004C2412">
        <w:t xml:space="preserve">12 </w:t>
      </w:r>
      <w:r w:rsidR="00663AE9" w:rsidRPr="004C2412">
        <w:rPr>
          <w:szCs w:val="22"/>
        </w:rPr>
        <w:t>–</w:t>
      </w:r>
      <w:r w:rsidRPr="004C2412">
        <w:t xml:space="preserve"> Sanctions for Serious Failures - 1 </w:t>
      </w:r>
      <w:r w:rsidR="00457E7D">
        <w:t>April</w:t>
      </w:r>
      <w:r w:rsidR="00457E7D" w:rsidRPr="004C2412">
        <w:t xml:space="preserve"> </w:t>
      </w:r>
      <w:r w:rsidRPr="004C2412">
        <w:t>to 3</w:t>
      </w:r>
      <w:r w:rsidR="00457E7D">
        <w:t>0</w:t>
      </w:r>
      <w:r w:rsidRPr="004C2412">
        <w:t xml:space="preserve"> </w:t>
      </w:r>
      <w:r w:rsidR="00457E7D">
        <w:t>June</w:t>
      </w:r>
      <w:r w:rsidR="004556B7" w:rsidRPr="004C2412">
        <w:t xml:space="preserve"> </w:t>
      </w:r>
      <w:r w:rsidRPr="004C2412">
        <w:t>201</w:t>
      </w:r>
      <w:r w:rsidR="004556B7" w:rsidRPr="004C2412">
        <w:t>8</w:t>
      </w:r>
      <w:r w:rsidR="00D259B6">
        <w:t xml:space="preserve"> and 1 July 2017 to 30 June 2018</w:t>
      </w:r>
      <w:bookmarkEnd w:id="42"/>
    </w:p>
    <w:p w14:paraId="5B24563E" w14:textId="5D92466A" w:rsidR="00D259B6" w:rsidRPr="00D259B6" w:rsidRDefault="00D259B6" w:rsidP="00D259B6">
      <w:pPr>
        <w:pStyle w:val="Heading3"/>
        <w:numPr>
          <w:ilvl w:val="0"/>
          <w:numId w:val="0"/>
        </w:numPr>
      </w:pPr>
      <w:bookmarkStart w:id="43" w:name="_Toc526864449"/>
      <w:r>
        <w:t>12 a – Sanctions for Serious Failures – 1 April to 30 June 2018</w:t>
      </w:r>
      <w:bookmarkEnd w:id="43"/>
    </w:p>
    <w:tbl>
      <w:tblPr>
        <w:tblStyle w:val="CenterAlignTable"/>
        <w:tblW w:w="0" w:type="auto"/>
        <w:tblInd w:w="5" w:type="dxa"/>
        <w:tblLook w:val="04A0" w:firstRow="1" w:lastRow="0" w:firstColumn="1" w:lastColumn="0" w:noHBand="0" w:noVBand="1"/>
        <w:tblCaption w:val="Sanctions for Serious Failures"/>
        <w:tblDescription w:val="Sanctions for Serious Failures"/>
      </w:tblPr>
      <w:tblGrid>
        <w:gridCol w:w="2705"/>
        <w:gridCol w:w="2125"/>
        <w:gridCol w:w="1876"/>
        <w:gridCol w:w="2001"/>
        <w:gridCol w:w="1906"/>
        <w:gridCol w:w="1880"/>
        <w:gridCol w:w="1853"/>
      </w:tblGrid>
      <w:tr w:rsidR="00117C27" w:rsidRPr="004C2412" w14:paraId="12C3CBAF" w14:textId="77777777" w:rsidTr="00D259B6">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4830" w:type="dxa"/>
            <w:gridSpan w:val="2"/>
            <w:shd w:val="clear" w:color="auto" w:fill="auto"/>
            <w:vAlign w:val="center"/>
          </w:tcPr>
          <w:p w14:paraId="3C1D6CD1" w14:textId="77777777" w:rsidR="00117C27" w:rsidRPr="004C2412" w:rsidRDefault="00117C27" w:rsidP="00910012">
            <w:pPr>
              <w:spacing w:before="0"/>
              <w:ind w:left="0"/>
              <w:rPr>
                <w:b w:val="0"/>
              </w:rPr>
            </w:pPr>
            <w:r w:rsidRPr="004C2412">
              <w:t>Non-payment Period</w:t>
            </w:r>
          </w:p>
        </w:tc>
        <w:tc>
          <w:tcPr>
            <w:tcW w:w="3877" w:type="dxa"/>
            <w:gridSpan w:val="2"/>
            <w:vAlign w:val="center"/>
          </w:tcPr>
          <w:p w14:paraId="4FE45389"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Penalty waived - Compliance Activity</w:t>
            </w:r>
          </w:p>
        </w:tc>
        <w:tc>
          <w:tcPr>
            <w:tcW w:w="3786" w:type="dxa"/>
            <w:gridSpan w:val="2"/>
            <w:vAlign w:val="center"/>
          </w:tcPr>
          <w:p w14:paraId="05657ECC"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Penalty waived - Financial Hardship</w:t>
            </w:r>
          </w:p>
        </w:tc>
        <w:tc>
          <w:tcPr>
            <w:tcW w:w="1853" w:type="dxa"/>
            <w:vAlign w:val="center"/>
          </w:tcPr>
          <w:p w14:paraId="21BE0B4A" w14:textId="64B507A2"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r w:rsidR="000A4474" w:rsidRPr="004C2412">
              <w:t xml:space="preserve"> Serious Failures</w:t>
            </w:r>
          </w:p>
        </w:tc>
      </w:tr>
      <w:tr w:rsidR="00117C27" w:rsidRPr="004C2412" w14:paraId="687B91A1" w14:textId="77777777" w:rsidTr="0047700C">
        <w:trPr>
          <w:cnfStyle w:val="100000000000" w:firstRow="1" w:lastRow="0" w:firstColumn="0" w:lastColumn="0" w:oddVBand="0" w:evenVBand="0" w:oddHBand="0" w:evenHBand="0" w:firstRowFirstColumn="0" w:firstRowLastColumn="0" w:lastRowFirstColumn="0" w:lastRowLastColumn="0"/>
          <w:trHeight w:val="397"/>
          <w:tblHeader/>
        </w:trPr>
        <w:tc>
          <w:tcPr>
            <w:cnfStyle w:val="001000000000" w:firstRow="0" w:lastRow="0" w:firstColumn="1" w:lastColumn="0" w:oddVBand="0" w:evenVBand="0" w:oddHBand="0" w:evenHBand="0" w:firstRowFirstColumn="0" w:firstRowLastColumn="0" w:lastRowFirstColumn="0" w:lastRowLastColumn="0"/>
            <w:tcW w:w="2705" w:type="dxa"/>
            <w:vAlign w:val="center"/>
          </w:tcPr>
          <w:p w14:paraId="7C69BC15" w14:textId="77777777" w:rsidR="00117C27" w:rsidRPr="004C2412" w:rsidRDefault="00117C27" w:rsidP="00910012">
            <w:pPr>
              <w:spacing w:before="0"/>
              <w:ind w:left="0"/>
            </w:pPr>
            <w:r w:rsidRPr="004C2412">
              <w:t>No.</w:t>
            </w:r>
          </w:p>
        </w:tc>
        <w:tc>
          <w:tcPr>
            <w:tcW w:w="2125" w:type="dxa"/>
            <w:vAlign w:val="center"/>
          </w:tcPr>
          <w:p w14:paraId="7F6164B7"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876" w:type="dxa"/>
            <w:vAlign w:val="center"/>
          </w:tcPr>
          <w:p w14:paraId="5661C0AF"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2001" w:type="dxa"/>
            <w:vAlign w:val="center"/>
          </w:tcPr>
          <w:p w14:paraId="7F29CB51"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906" w:type="dxa"/>
            <w:vAlign w:val="center"/>
          </w:tcPr>
          <w:p w14:paraId="0169E927"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880" w:type="dxa"/>
            <w:vAlign w:val="center"/>
          </w:tcPr>
          <w:p w14:paraId="5722210F"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853" w:type="dxa"/>
            <w:vAlign w:val="center"/>
          </w:tcPr>
          <w:p w14:paraId="535B1683" w14:textId="77777777" w:rsidR="00117C27" w:rsidRPr="004C2412" w:rsidRDefault="00117C2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6E1EE1" w:rsidRPr="004C2412" w14:paraId="189AE34E" w14:textId="77777777" w:rsidTr="0047700C">
        <w:trPr>
          <w:trHeight w:val="340"/>
        </w:trPr>
        <w:tc>
          <w:tcPr>
            <w:cnfStyle w:val="001000000000" w:firstRow="0" w:lastRow="0" w:firstColumn="1" w:lastColumn="0" w:oddVBand="0" w:evenVBand="0" w:oddHBand="0" w:evenHBand="0" w:firstRowFirstColumn="0" w:firstRowLastColumn="0" w:lastRowFirstColumn="0" w:lastRowLastColumn="0"/>
            <w:tcW w:w="2705" w:type="dxa"/>
            <w:vAlign w:val="center"/>
          </w:tcPr>
          <w:p w14:paraId="678EB8DC" w14:textId="4B710147" w:rsidR="006E1EE1" w:rsidRPr="00443621" w:rsidRDefault="006E1EE1" w:rsidP="006E1EE1">
            <w:pPr>
              <w:autoSpaceDE w:val="0"/>
              <w:autoSpaceDN w:val="0"/>
              <w:adjustRightInd w:val="0"/>
              <w:spacing w:before="0"/>
              <w:ind w:left="0"/>
              <w:rPr>
                <w:rFonts w:cs="Gill Sans MT"/>
                <w:b w:val="0"/>
                <w:color w:val="000000"/>
              </w:rPr>
            </w:pPr>
            <w:r w:rsidRPr="00443621">
              <w:rPr>
                <w:rFonts w:cs="Gill Sans MT"/>
                <w:b w:val="0"/>
                <w:color w:val="000000"/>
              </w:rPr>
              <w:t>1,318</w:t>
            </w:r>
          </w:p>
        </w:tc>
        <w:tc>
          <w:tcPr>
            <w:tcW w:w="2125" w:type="dxa"/>
            <w:vAlign w:val="center"/>
          </w:tcPr>
          <w:p w14:paraId="6956B4EC" w14:textId="73F6A323"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12%</w:t>
            </w:r>
          </w:p>
        </w:tc>
        <w:tc>
          <w:tcPr>
            <w:tcW w:w="1876" w:type="dxa"/>
            <w:vAlign w:val="center"/>
          </w:tcPr>
          <w:p w14:paraId="3E67BC3E" w14:textId="7BD250CC"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9,164</w:t>
            </w:r>
          </w:p>
        </w:tc>
        <w:tc>
          <w:tcPr>
            <w:tcW w:w="2001" w:type="dxa"/>
            <w:vAlign w:val="center"/>
          </w:tcPr>
          <w:p w14:paraId="2CAD6FB1" w14:textId="2B64C1E0"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87%</w:t>
            </w:r>
          </w:p>
        </w:tc>
        <w:tc>
          <w:tcPr>
            <w:tcW w:w="1906" w:type="dxa"/>
            <w:vAlign w:val="center"/>
          </w:tcPr>
          <w:p w14:paraId="14A292A0" w14:textId="75856C20"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106</w:t>
            </w:r>
          </w:p>
        </w:tc>
        <w:tc>
          <w:tcPr>
            <w:tcW w:w="1880" w:type="dxa"/>
            <w:vAlign w:val="center"/>
          </w:tcPr>
          <w:p w14:paraId="3BDFB5E1" w14:textId="79D7B001"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1%</w:t>
            </w:r>
          </w:p>
        </w:tc>
        <w:tc>
          <w:tcPr>
            <w:tcW w:w="1853" w:type="dxa"/>
            <w:vAlign w:val="center"/>
          </w:tcPr>
          <w:p w14:paraId="10514398" w14:textId="0B845DB3"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10,588</w:t>
            </w:r>
          </w:p>
        </w:tc>
      </w:tr>
    </w:tbl>
    <w:p w14:paraId="090EECF3" w14:textId="2A77BC43" w:rsidR="00BF33EB" w:rsidRDefault="00117C27" w:rsidP="00F65699">
      <w:pPr>
        <w:spacing w:after="240" w:line="240" w:lineRule="auto"/>
        <w:ind w:left="0"/>
      </w:pPr>
      <w:r w:rsidRPr="004C2412">
        <w:t>“Serious Failures” shown are for refusing to accept or commence a suitable job, and for persistent non-compliance following a Comprehensive Compliance Assessment.</w:t>
      </w:r>
    </w:p>
    <w:p w14:paraId="5D541368" w14:textId="633F27A6" w:rsidR="00D259B6" w:rsidRPr="00D259B6" w:rsidRDefault="00D259B6" w:rsidP="00D259B6">
      <w:pPr>
        <w:pStyle w:val="Heading3"/>
        <w:numPr>
          <w:ilvl w:val="0"/>
          <w:numId w:val="0"/>
        </w:numPr>
      </w:pPr>
      <w:bookmarkStart w:id="44" w:name="_Toc526864450"/>
      <w:r>
        <w:t>12 b – Sanctions for Serious Failures – 1 July 2017 to 30 June 2018</w:t>
      </w:r>
      <w:bookmarkEnd w:id="44"/>
    </w:p>
    <w:tbl>
      <w:tblPr>
        <w:tblStyle w:val="CenterAlignTable"/>
        <w:tblW w:w="0" w:type="auto"/>
        <w:tblInd w:w="5" w:type="dxa"/>
        <w:tblLook w:val="04A0" w:firstRow="1" w:lastRow="0" w:firstColumn="1" w:lastColumn="0" w:noHBand="0" w:noVBand="1"/>
        <w:tblCaption w:val="Sanctions for Serious Failures"/>
        <w:tblDescription w:val="Sanctions for Serious Failures"/>
      </w:tblPr>
      <w:tblGrid>
        <w:gridCol w:w="2705"/>
        <w:gridCol w:w="2125"/>
        <w:gridCol w:w="1876"/>
        <w:gridCol w:w="2001"/>
        <w:gridCol w:w="1906"/>
        <w:gridCol w:w="1880"/>
        <w:gridCol w:w="1853"/>
      </w:tblGrid>
      <w:tr w:rsidR="00D259B6" w:rsidRPr="004C2412" w14:paraId="7F3C973F" w14:textId="77777777" w:rsidTr="00C9726D">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4830" w:type="dxa"/>
            <w:gridSpan w:val="2"/>
            <w:shd w:val="clear" w:color="auto" w:fill="auto"/>
            <w:vAlign w:val="center"/>
          </w:tcPr>
          <w:p w14:paraId="7D796CB8" w14:textId="77777777" w:rsidR="00D259B6" w:rsidRPr="004C2412" w:rsidRDefault="00D259B6" w:rsidP="00C9726D">
            <w:pPr>
              <w:spacing w:before="0"/>
              <w:ind w:left="0"/>
              <w:rPr>
                <w:b w:val="0"/>
              </w:rPr>
            </w:pPr>
            <w:r w:rsidRPr="004C2412">
              <w:t>Non-payment Period</w:t>
            </w:r>
          </w:p>
        </w:tc>
        <w:tc>
          <w:tcPr>
            <w:tcW w:w="3877" w:type="dxa"/>
            <w:gridSpan w:val="2"/>
            <w:vAlign w:val="center"/>
          </w:tcPr>
          <w:p w14:paraId="364CDD49" w14:textId="77777777" w:rsidR="00D259B6" w:rsidRPr="004C2412" w:rsidRDefault="00D259B6"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Financial Penalty waived - Compliance Activity</w:t>
            </w:r>
          </w:p>
        </w:tc>
        <w:tc>
          <w:tcPr>
            <w:tcW w:w="3786" w:type="dxa"/>
            <w:gridSpan w:val="2"/>
            <w:vAlign w:val="center"/>
          </w:tcPr>
          <w:p w14:paraId="3DD1F889" w14:textId="77777777" w:rsidR="00D259B6" w:rsidRPr="004C2412" w:rsidRDefault="00D259B6"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Financial Penalty waived - Financial Hardship</w:t>
            </w:r>
          </w:p>
        </w:tc>
        <w:tc>
          <w:tcPr>
            <w:tcW w:w="1853" w:type="dxa"/>
            <w:vAlign w:val="center"/>
          </w:tcPr>
          <w:p w14:paraId="3B387065" w14:textId="77777777" w:rsidR="00D259B6" w:rsidRPr="004C2412" w:rsidRDefault="00D259B6"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Total Serious Failures</w:t>
            </w:r>
          </w:p>
        </w:tc>
      </w:tr>
      <w:tr w:rsidR="00D259B6" w:rsidRPr="004C2412" w14:paraId="08E063E6" w14:textId="77777777" w:rsidTr="00C9726D">
        <w:trPr>
          <w:cnfStyle w:val="100000000000" w:firstRow="1" w:lastRow="0" w:firstColumn="0" w:lastColumn="0" w:oddVBand="0" w:evenVBand="0" w:oddHBand="0" w:evenHBand="0" w:firstRowFirstColumn="0" w:firstRowLastColumn="0" w:lastRowFirstColumn="0" w:lastRowLastColumn="0"/>
          <w:trHeight w:val="397"/>
          <w:tblHeader/>
        </w:trPr>
        <w:tc>
          <w:tcPr>
            <w:cnfStyle w:val="001000000000" w:firstRow="0" w:lastRow="0" w:firstColumn="1" w:lastColumn="0" w:oddVBand="0" w:evenVBand="0" w:oddHBand="0" w:evenHBand="0" w:firstRowFirstColumn="0" w:firstRowLastColumn="0" w:lastRowFirstColumn="0" w:lastRowLastColumn="0"/>
            <w:tcW w:w="2705" w:type="dxa"/>
            <w:vAlign w:val="center"/>
          </w:tcPr>
          <w:p w14:paraId="528353CE" w14:textId="77777777" w:rsidR="00D259B6" w:rsidRPr="004C2412" w:rsidRDefault="00D259B6" w:rsidP="00C9726D">
            <w:pPr>
              <w:spacing w:before="0"/>
              <w:ind w:left="0"/>
            </w:pPr>
            <w:r w:rsidRPr="004C2412">
              <w:t>No.</w:t>
            </w:r>
          </w:p>
        </w:tc>
        <w:tc>
          <w:tcPr>
            <w:tcW w:w="2125" w:type="dxa"/>
            <w:vAlign w:val="center"/>
          </w:tcPr>
          <w:p w14:paraId="1332F2DC" w14:textId="77777777" w:rsidR="00D259B6" w:rsidRPr="004C2412" w:rsidRDefault="00D259B6"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876" w:type="dxa"/>
            <w:vAlign w:val="center"/>
          </w:tcPr>
          <w:p w14:paraId="249BA06A" w14:textId="77777777" w:rsidR="00D259B6" w:rsidRPr="004C2412" w:rsidRDefault="00D259B6"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2001" w:type="dxa"/>
            <w:vAlign w:val="center"/>
          </w:tcPr>
          <w:p w14:paraId="0165C8B8" w14:textId="77777777" w:rsidR="00D259B6" w:rsidRPr="004C2412" w:rsidRDefault="00D259B6"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906" w:type="dxa"/>
            <w:vAlign w:val="center"/>
          </w:tcPr>
          <w:p w14:paraId="38D1F5E3" w14:textId="77777777" w:rsidR="00D259B6" w:rsidRPr="004C2412" w:rsidRDefault="00D259B6"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c>
          <w:tcPr>
            <w:tcW w:w="1880" w:type="dxa"/>
            <w:vAlign w:val="center"/>
          </w:tcPr>
          <w:p w14:paraId="69D2E466" w14:textId="77777777" w:rsidR="00D259B6" w:rsidRPr="004C2412" w:rsidRDefault="00D259B6"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w:t>
            </w:r>
          </w:p>
        </w:tc>
        <w:tc>
          <w:tcPr>
            <w:tcW w:w="1853" w:type="dxa"/>
            <w:vAlign w:val="center"/>
          </w:tcPr>
          <w:p w14:paraId="5A9107AD" w14:textId="77777777" w:rsidR="00D259B6" w:rsidRPr="004C2412" w:rsidRDefault="00D259B6" w:rsidP="00C9726D">
            <w:pPr>
              <w:spacing w:before="0"/>
              <w:ind w:left="0"/>
              <w:cnfStyle w:val="100000000000" w:firstRow="1" w:lastRow="0" w:firstColumn="0" w:lastColumn="0" w:oddVBand="0" w:evenVBand="0" w:oddHBand="0" w:evenHBand="0" w:firstRowFirstColumn="0" w:firstRowLastColumn="0" w:lastRowFirstColumn="0" w:lastRowLastColumn="0"/>
            </w:pPr>
            <w:r w:rsidRPr="004C2412">
              <w:t>No.</w:t>
            </w:r>
          </w:p>
        </w:tc>
      </w:tr>
      <w:tr w:rsidR="00D259B6" w:rsidRPr="004C2412" w14:paraId="169C5673" w14:textId="77777777" w:rsidTr="00C9726D">
        <w:trPr>
          <w:trHeight w:val="340"/>
        </w:trPr>
        <w:tc>
          <w:tcPr>
            <w:cnfStyle w:val="001000000000" w:firstRow="0" w:lastRow="0" w:firstColumn="1" w:lastColumn="0" w:oddVBand="0" w:evenVBand="0" w:oddHBand="0" w:evenHBand="0" w:firstRowFirstColumn="0" w:firstRowLastColumn="0" w:lastRowFirstColumn="0" w:lastRowLastColumn="0"/>
            <w:tcW w:w="2705" w:type="dxa"/>
            <w:vAlign w:val="center"/>
          </w:tcPr>
          <w:p w14:paraId="23651F2F" w14:textId="35DBC7C9" w:rsidR="00D259B6" w:rsidRPr="00D259B6" w:rsidRDefault="00D259B6" w:rsidP="00D259B6">
            <w:pPr>
              <w:autoSpaceDE w:val="0"/>
              <w:autoSpaceDN w:val="0"/>
              <w:adjustRightInd w:val="0"/>
              <w:spacing w:before="0"/>
              <w:ind w:left="0"/>
              <w:rPr>
                <w:rFonts w:cs="Gill Sans MT"/>
                <w:b w:val="0"/>
                <w:color w:val="000000"/>
              </w:rPr>
            </w:pPr>
            <w:r w:rsidRPr="00D259B6">
              <w:rPr>
                <w:rFonts w:cs="Gill Sans MT"/>
                <w:b w:val="0"/>
                <w:color w:val="000000"/>
              </w:rPr>
              <w:t>4,819</w:t>
            </w:r>
          </w:p>
        </w:tc>
        <w:tc>
          <w:tcPr>
            <w:tcW w:w="2125" w:type="dxa"/>
            <w:vAlign w:val="center"/>
          </w:tcPr>
          <w:p w14:paraId="796A237D" w14:textId="4B8C2D3B" w:rsidR="00D259B6" w:rsidRPr="004C2412" w:rsidRDefault="00D259B6" w:rsidP="00D259B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12%</w:t>
            </w:r>
          </w:p>
        </w:tc>
        <w:tc>
          <w:tcPr>
            <w:tcW w:w="1876" w:type="dxa"/>
            <w:vAlign w:val="center"/>
          </w:tcPr>
          <w:p w14:paraId="77E0754F" w14:textId="5BB007A6" w:rsidR="00D259B6" w:rsidRPr="004C2412" w:rsidRDefault="00D259B6" w:rsidP="00D259B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36,301</w:t>
            </w:r>
          </w:p>
        </w:tc>
        <w:tc>
          <w:tcPr>
            <w:tcW w:w="2001" w:type="dxa"/>
            <w:vAlign w:val="center"/>
          </w:tcPr>
          <w:p w14:paraId="79013E1F" w14:textId="0B2255A2" w:rsidR="00D259B6" w:rsidRPr="004C2412" w:rsidRDefault="00D259B6" w:rsidP="00D259B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87%</w:t>
            </w:r>
          </w:p>
        </w:tc>
        <w:tc>
          <w:tcPr>
            <w:tcW w:w="1906" w:type="dxa"/>
            <w:vAlign w:val="center"/>
          </w:tcPr>
          <w:p w14:paraId="3FB93727" w14:textId="3F3BD1A9" w:rsidR="00D259B6" w:rsidRPr="004C2412" w:rsidRDefault="00D259B6" w:rsidP="00D259B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450</w:t>
            </w:r>
          </w:p>
        </w:tc>
        <w:tc>
          <w:tcPr>
            <w:tcW w:w="1880" w:type="dxa"/>
            <w:vAlign w:val="center"/>
          </w:tcPr>
          <w:p w14:paraId="3F85B1CE" w14:textId="74E727DE" w:rsidR="00D259B6" w:rsidRPr="004C2412" w:rsidRDefault="00D259B6" w:rsidP="00D259B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1%</w:t>
            </w:r>
          </w:p>
        </w:tc>
        <w:tc>
          <w:tcPr>
            <w:tcW w:w="1853" w:type="dxa"/>
            <w:vAlign w:val="center"/>
          </w:tcPr>
          <w:p w14:paraId="0702EF20" w14:textId="62F169EE" w:rsidR="00D259B6" w:rsidRPr="004C2412" w:rsidRDefault="00D259B6" w:rsidP="00D259B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C3B33">
              <w:rPr>
                <w:rFonts w:cs="Gill Sans MT"/>
                <w:color w:val="000000"/>
              </w:rPr>
              <w:t>41,570</w:t>
            </w:r>
          </w:p>
        </w:tc>
      </w:tr>
    </w:tbl>
    <w:p w14:paraId="06AD399F" w14:textId="77777777" w:rsidR="00D259B6" w:rsidRPr="004C2412" w:rsidRDefault="00D259B6" w:rsidP="00D259B6">
      <w:pPr>
        <w:spacing w:after="240" w:line="240" w:lineRule="auto"/>
        <w:ind w:left="0"/>
      </w:pPr>
      <w:r w:rsidRPr="004C2412">
        <w:t>“Serious Failures” shown are for refusing to accept or commence a suitable job, and for persistent non-compliance following a Comprehensive Compliance Assessment.</w:t>
      </w:r>
    </w:p>
    <w:p w14:paraId="4E7E2D42" w14:textId="77777777" w:rsidR="00D259B6" w:rsidRPr="004C2412" w:rsidRDefault="00D259B6" w:rsidP="00F65699">
      <w:pPr>
        <w:spacing w:after="240" w:line="240" w:lineRule="auto"/>
        <w:ind w:left="0"/>
      </w:pPr>
    </w:p>
    <w:p w14:paraId="7D21089B" w14:textId="77777777" w:rsidR="00BF33EB" w:rsidRPr="004C2412" w:rsidRDefault="00BF33EB">
      <w:pPr>
        <w:spacing w:before="0"/>
        <w:ind w:left="0"/>
      </w:pPr>
      <w:r w:rsidRPr="004C2412">
        <w:br w:type="page"/>
      </w:r>
    </w:p>
    <w:p w14:paraId="36091429" w14:textId="6E2CB14B" w:rsidR="00C24E8B" w:rsidRPr="004C2412" w:rsidRDefault="000A4474" w:rsidP="00A609AA">
      <w:pPr>
        <w:pStyle w:val="Heading1"/>
        <w:spacing w:before="240"/>
      </w:pPr>
      <w:bookmarkStart w:id="45" w:name="_Toc526864451"/>
      <w:r w:rsidRPr="004C2412">
        <w:t>Par</w:t>
      </w:r>
      <w:r w:rsidR="00C24E8B" w:rsidRPr="004C2412">
        <w:t>t B</w:t>
      </w:r>
      <w:bookmarkEnd w:id="45"/>
    </w:p>
    <w:p w14:paraId="3609142B" w14:textId="4B17BDB5" w:rsidR="00446DCB" w:rsidRPr="004C2412" w:rsidRDefault="001112BC" w:rsidP="00A609AA">
      <w:pPr>
        <w:pStyle w:val="Heading2"/>
        <w:numPr>
          <w:ilvl w:val="0"/>
          <w:numId w:val="0"/>
        </w:numPr>
      </w:pPr>
      <w:bookmarkStart w:id="46" w:name="_Toc526864452"/>
      <w:r w:rsidRPr="004C2412">
        <w:t xml:space="preserve">13 </w:t>
      </w:r>
      <w:r w:rsidR="00663AE9" w:rsidRPr="004C2412">
        <w:rPr>
          <w:szCs w:val="22"/>
        </w:rPr>
        <w:t>–</w:t>
      </w:r>
      <w:r w:rsidRPr="004C2412">
        <w:t xml:space="preserve"> </w:t>
      </w:r>
      <w:r w:rsidR="002F0647" w:rsidRPr="004C2412">
        <w:t>Financial Penalties, Connection Failures,</w:t>
      </w:r>
      <w:r w:rsidR="00EE4D0A" w:rsidRPr="004C2412">
        <w:t xml:space="preserve"> Income Support</w:t>
      </w:r>
      <w:r w:rsidR="002F0647" w:rsidRPr="004C2412">
        <w:t xml:space="preserve"> </w:t>
      </w:r>
      <w:r w:rsidR="000770FC" w:rsidRPr="004C2412">
        <w:t xml:space="preserve">Payment Suspensions and </w:t>
      </w:r>
      <w:r w:rsidR="00F4190C" w:rsidRPr="004C2412">
        <w:t>CCAs</w:t>
      </w:r>
      <w:r w:rsidR="00945CD3" w:rsidRPr="004C2412">
        <w:t>:</w:t>
      </w:r>
      <w:r w:rsidR="00F4190C" w:rsidRPr="004C2412">
        <w:t xml:space="preserve"> </w:t>
      </w:r>
      <w:r w:rsidR="002F0647" w:rsidRPr="004C2412">
        <w:t>by Gender</w:t>
      </w:r>
      <w:r w:rsidR="000A4474" w:rsidRPr="004C2412">
        <w:t xml:space="preserve"> -</w:t>
      </w:r>
      <w:r w:rsidR="009F1614" w:rsidRPr="004C2412">
        <w:t xml:space="preserve"> 1 </w:t>
      </w:r>
      <w:r w:rsidR="006E1EE1">
        <w:t>April</w:t>
      </w:r>
      <w:r w:rsidR="006E1EE1" w:rsidRPr="004C2412">
        <w:t xml:space="preserve"> </w:t>
      </w:r>
      <w:r w:rsidR="009F1614" w:rsidRPr="004C2412">
        <w:t>to 3</w:t>
      </w:r>
      <w:r w:rsidR="006E1EE1">
        <w:t>0</w:t>
      </w:r>
      <w:r w:rsidR="009F1614" w:rsidRPr="004C2412">
        <w:t xml:space="preserve"> </w:t>
      </w:r>
      <w:r w:rsidR="006E1EE1">
        <w:t>June</w:t>
      </w:r>
      <w:r w:rsidR="0047700C" w:rsidRPr="004C2412">
        <w:t xml:space="preserve"> </w:t>
      </w:r>
      <w:r w:rsidR="009F1614" w:rsidRPr="004C2412">
        <w:t>201</w:t>
      </w:r>
      <w:r w:rsidR="0047700C" w:rsidRPr="004C2412">
        <w:t>8</w:t>
      </w:r>
      <w:bookmarkEnd w:id="46"/>
    </w:p>
    <w:p w14:paraId="06826E19" w14:textId="49D2BA1A" w:rsidR="009F1614" w:rsidRPr="004C2412" w:rsidRDefault="00C95ED9" w:rsidP="00A609AA">
      <w:pPr>
        <w:pStyle w:val="Heading3"/>
        <w:numPr>
          <w:ilvl w:val="0"/>
          <w:numId w:val="0"/>
        </w:numPr>
      </w:pPr>
      <w:bookmarkStart w:id="47" w:name="_Toc526864453"/>
      <w:r w:rsidRPr="004C2412">
        <w:t xml:space="preserve">13 a – </w:t>
      </w:r>
      <w:r w:rsidR="009F1614" w:rsidRPr="004C2412">
        <w:t>Non-Payment Period</w:t>
      </w:r>
      <w:r w:rsidR="00B23962" w:rsidRPr="004C2412">
        <w:t>s</w:t>
      </w:r>
      <w:r w:rsidR="00454B21" w:rsidRPr="004C2412">
        <w:t xml:space="preserve"> (NPPs) - 1 </w:t>
      </w:r>
      <w:r w:rsidR="006E1EE1">
        <w:t>April</w:t>
      </w:r>
      <w:r w:rsidR="006E1EE1" w:rsidRPr="004C2412">
        <w:t xml:space="preserve"> </w:t>
      </w:r>
      <w:r w:rsidR="00454B21" w:rsidRPr="004C2412">
        <w:t>to 3</w:t>
      </w:r>
      <w:r w:rsidR="006E1EE1">
        <w:t>0</w:t>
      </w:r>
      <w:r w:rsidR="00454B21" w:rsidRPr="004C2412">
        <w:t xml:space="preserve"> </w:t>
      </w:r>
      <w:r w:rsidR="006E1EE1">
        <w:t>June</w:t>
      </w:r>
      <w:r w:rsidR="0047700C" w:rsidRPr="004C2412">
        <w:t xml:space="preserve"> 2018</w:t>
      </w:r>
      <w:bookmarkEnd w:id="47"/>
    </w:p>
    <w:tbl>
      <w:tblPr>
        <w:tblStyle w:val="LeftAlignTable"/>
        <w:tblW w:w="14533" w:type="dxa"/>
        <w:tblInd w:w="-5" w:type="dxa"/>
        <w:tblLook w:val="04E0" w:firstRow="1" w:lastRow="1" w:firstColumn="1" w:lastColumn="0" w:noHBand="0" w:noVBand="1"/>
        <w:tblCaption w:val=" Financial Penalties, Connection Failures, Income Support Payment Suspensions and CCAs by Gender"/>
        <w:tblDescription w:val="Financial Penalties, Connection Failures, Income Support Payment Suspensions and CCAs by Gender"/>
      </w:tblPr>
      <w:tblGrid>
        <w:gridCol w:w="4380"/>
        <w:gridCol w:w="1063"/>
        <w:gridCol w:w="1197"/>
        <w:gridCol w:w="1469"/>
        <w:gridCol w:w="1343"/>
        <w:gridCol w:w="1321"/>
        <w:gridCol w:w="1250"/>
        <w:gridCol w:w="1255"/>
        <w:gridCol w:w="1255"/>
      </w:tblGrid>
      <w:tr w:rsidR="00E758D1" w:rsidRPr="004C2412" w14:paraId="36091435" w14:textId="77777777" w:rsidTr="00AD7D7D">
        <w:trPr>
          <w:cnfStyle w:val="100000000000" w:firstRow="1" w:lastRow="0" w:firstColumn="0" w:lastColumn="0" w:oddVBand="0" w:evenVBand="0" w:oddHBand="0" w:evenHBand="0" w:firstRowFirstColumn="0" w:firstRowLastColumn="0" w:lastRowFirstColumn="0" w:lastRowLastColumn="0"/>
          <w:trHeight w:val="1082"/>
          <w:tblHeader/>
        </w:trPr>
        <w:tc>
          <w:tcPr>
            <w:cnfStyle w:val="001000000000" w:firstRow="0" w:lastRow="0" w:firstColumn="1" w:lastColumn="0" w:oddVBand="0" w:evenVBand="0" w:oddHBand="0" w:evenHBand="0" w:firstRowFirstColumn="0" w:firstRowLastColumn="0" w:lastRowFirstColumn="0" w:lastRowLastColumn="0"/>
            <w:tcW w:w="4380" w:type="dxa"/>
            <w:shd w:val="clear" w:color="auto" w:fill="auto"/>
            <w:vAlign w:val="center"/>
          </w:tcPr>
          <w:p w14:paraId="3609142C" w14:textId="52A6DD1E" w:rsidR="001F7420" w:rsidRPr="004C2412" w:rsidRDefault="00454B21" w:rsidP="006E1EE1">
            <w:pPr>
              <w:spacing w:before="0"/>
              <w:ind w:left="0"/>
            </w:pPr>
            <w:r w:rsidRPr="004C2412">
              <w:t>Type of NPP (</w:t>
            </w:r>
            <w:r w:rsidR="00215AE8" w:rsidRPr="004C2412">
              <w:t>Serious</w:t>
            </w:r>
            <w:r w:rsidRPr="004C2412">
              <w:t xml:space="preserve"> or Unemployment Non Payment Period)</w:t>
            </w:r>
          </w:p>
        </w:tc>
        <w:tc>
          <w:tcPr>
            <w:tcW w:w="1063" w:type="dxa"/>
            <w:vAlign w:val="center"/>
          </w:tcPr>
          <w:p w14:paraId="3609142D"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Male</w:t>
            </w:r>
          </w:p>
        </w:tc>
        <w:tc>
          <w:tcPr>
            <w:tcW w:w="1197" w:type="dxa"/>
            <w:vAlign w:val="center"/>
          </w:tcPr>
          <w:p w14:paraId="3609142E"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Male %</w:t>
            </w:r>
          </w:p>
        </w:tc>
        <w:tc>
          <w:tcPr>
            <w:tcW w:w="1469" w:type="dxa"/>
            <w:vAlign w:val="center"/>
          </w:tcPr>
          <w:p w14:paraId="3609142F"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Female</w:t>
            </w:r>
          </w:p>
        </w:tc>
        <w:tc>
          <w:tcPr>
            <w:tcW w:w="1343" w:type="dxa"/>
            <w:vAlign w:val="center"/>
          </w:tcPr>
          <w:p w14:paraId="36091430"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Female %</w:t>
            </w:r>
          </w:p>
        </w:tc>
        <w:tc>
          <w:tcPr>
            <w:tcW w:w="1321" w:type="dxa"/>
            <w:vAlign w:val="center"/>
          </w:tcPr>
          <w:p w14:paraId="36091431"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250" w:type="dxa"/>
            <w:vAlign w:val="center"/>
          </w:tcPr>
          <w:p w14:paraId="36091432"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w:t>
            </w:r>
          </w:p>
        </w:tc>
        <w:tc>
          <w:tcPr>
            <w:tcW w:w="1255" w:type="dxa"/>
            <w:vAlign w:val="center"/>
          </w:tcPr>
          <w:p w14:paraId="36091433"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1255" w:type="dxa"/>
            <w:vAlign w:val="center"/>
          </w:tcPr>
          <w:p w14:paraId="36091434"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6E1EE1" w:rsidRPr="004C2412" w14:paraId="3609143F" w14:textId="77777777" w:rsidTr="00910012">
        <w:trPr>
          <w:trHeight w:val="397"/>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36091436" w14:textId="77777777" w:rsidR="006E1EE1" w:rsidRPr="004C2412" w:rsidRDefault="006E1EE1" w:rsidP="006E1EE1">
            <w:pPr>
              <w:spacing w:before="0"/>
              <w:ind w:left="0"/>
            </w:pPr>
            <w:r w:rsidRPr="004C2412">
              <w:t>Voluntary unemployment – UNPP</w:t>
            </w:r>
          </w:p>
        </w:tc>
        <w:tc>
          <w:tcPr>
            <w:tcW w:w="1063" w:type="dxa"/>
            <w:vAlign w:val="center"/>
          </w:tcPr>
          <w:p w14:paraId="36091437" w14:textId="2E24A819"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938</w:t>
            </w:r>
          </w:p>
        </w:tc>
        <w:tc>
          <w:tcPr>
            <w:tcW w:w="1197" w:type="dxa"/>
            <w:vAlign w:val="center"/>
          </w:tcPr>
          <w:p w14:paraId="36091438" w14:textId="372BC4CE"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7.21%</w:t>
            </w:r>
          </w:p>
        </w:tc>
        <w:tc>
          <w:tcPr>
            <w:tcW w:w="1469" w:type="dxa"/>
            <w:vAlign w:val="center"/>
          </w:tcPr>
          <w:p w14:paraId="36091439" w14:textId="02A427A0"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500</w:t>
            </w:r>
          </w:p>
        </w:tc>
        <w:tc>
          <w:tcPr>
            <w:tcW w:w="1343" w:type="dxa"/>
            <w:vAlign w:val="center"/>
          </w:tcPr>
          <w:p w14:paraId="3609143A" w14:textId="43D59BE4"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3.84%</w:t>
            </w:r>
          </w:p>
        </w:tc>
        <w:tc>
          <w:tcPr>
            <w:tcW w:w="1321" w:type="dxa"/>
            <w:vAlign w:val="center"/>
          </w:tcPr>
          <w:p w14:paraId="3609143B" w14:textId="1A689089"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1,438</w:t>
            </w:r>
          </w:p>
        </w:tc>
        <w:tc>
          <w:tcPr>
            <w:tcW w:w="1250" w:type="dxa"/>
            <w:vAlign w:val="center"/>
          </w:tcPr>
          <w:p w14:paraId="3609143C" w14:textId="6EC7E3DB"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11.06%</w:t>
            </w:r>
          </w:p>
        </w:tc>
        <w:tc>
          <w:tcPr>
            <w:tcW w:w="1255" w:type="dxa"/>
            <w:vAlign w:val="center"/>
          </w:tcPr>
          <w:p w14:paraId="3609143D" w14:textId="761028B8"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6,684</w:t>
            </w:r>
          </w:p>
        </w:tc>
        <w:tc>
          <w:tcPr>
            <w:tcW w:w="1255" w:type="dxa"/>
            <w:vAlign w:val="center"/>
          </w:tcPr>
          <w:p w14:paraId="3609143E" w14:textId="6B6AE074"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12.76%</w:t>
            </w:r>
          </w:p>
        </w:tc>
      </w:tr>
      <w:tr w:rsidR="006E1EE1" w:rsidRPr="004C2412" w14:paraId="36091449" w14:textId="77777777" w:rsidTr="00910012">
        <w:trPr>
          <w:trHeight w:val="397"/>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36091440" w14:textId="77777777" w:rsidR="006E1EE1" w:rsidRPr="004C2412" w:rsidRDefault="006E1EE1" w:rsidP="006E1EE1">
            <w:pPr>
              <w:spacing w:before="0"/>
              <w:ind w:left="0"/>
            </w:pPr>
            <w:r w:rsidRPr="004C2412">
              <w:t>Unemployment due to misconduct – UNPP</w:t>
            </w:r>
          </w:p>
        </w:tc>
        <w:tc>
          <w:tcPr>
            <w:tcW w:w="1063" w:type="dxa"/>
            <w:vAlign w:val="center"/>
          </w:tcPr>
          <w:p w14:paraId="36091441" w14:textId="2B38CD88"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742</w:t>
            </w:r>
          </w:p>
        </w:tc>
        <w:tc>
          <w:tcPr>
            <w:tcW w:w="1197" w:type="dxa"/>
            <w:vAlign w:val="center"/>
          </w:tcPr>
          <w:p w14:paraId="36091442" w14:textId="0623A95C"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5.70%</w:t>
            </w:r>
          </w:p>
        </w:tc>
        <w:tc>
          <w:tcPr>
            <w:tcW w:w="1469" w:type="dxa"/>
            <w:vAlign w:val="center"/>
          </w:tcPr>
          <w:p w14:paraId="36091443" w14:textId="3BA9296E"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239</w:t>
            </w:r>
          </w:p>
        </w:tc>
        <w:tc>
          <w:tcPr>
            <w:tcW w:w="1343" w:type="dxa"/>
            <w:vAlign w:val="center"/>
          </w:tcPr>
          <w:p w14:paraId="36091444" w14:textId="356E1826"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1.84%</w:t>
            </w:r>
          </w:p>
        </w:tc>
        <w:tc>
          <w:tcPr>
            <w:tcW w:w="1321" w:type="dxa"/>
            <w:vAlign w:val="center"/>
          </w:tcPr>
          <w:p w14:paraId="36091445" w14:textId="3314D64B"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981</w:t>
            </w:r>
          </w:p>
        </w:tc>
        <w:tc>
          <w:tcPr>
            <w:tcW w:w="1250" w:type="dxa"/>
            <w:vAlign w:val="center"/>
          </w:tcPr>
          <w:p w14:paraId="36091446" w14:textId="7A4827A9"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7.54%</w:t>
            </w:r>
          </w:p>
        </w:tc>
        <w:tc>
          <w:tcPr>
            <w:tcW w:w="1255" w:type="dxa"/>
            <w:vAlign w:val="center"/>
          </w:tcPr>
          <w:p w14:paraId="36091447" w14:textId="58790532"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4,130</w:t>
            </w:r>
          </w:p>
        </w:tc>
        <w:tc>
          <w:tcPr>
            <w:tcW w:w="1255" w:type="dxa"/>
            <w:vAlign w:val="center"/>
          </w:tcPr>
          <w:p w14:paraId="36091448" w14:textId="5384895F"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7.88%</w:t>
            </w:r>
          </w:p>
        </w:tc>
      </w:tr>
      <w:tr w:rsidR="006E1EE1" w:rsidRPr="004C2412" w14:paraId="36091453" w14:textId="77777777" w:rsidTr="00910012">
        <w:trPr>
          <w:trHeight w:val="397"/>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3609144A" w14:textId="77777777" w:rsidR="006E1EE1" w:rsidRPr="004C2412" w:rsidRDefault="006E1EE1" w:rsidP="006E1EE1">
            <w:pPr>
              <w:spacing w:before="0"/>
              <w:ind w:left="0"/>
            </w:pPr>
            <w:r w:rsidRPr="004C2412">
              <w:t>Persistent non-compliance – Serious</w:t>
            </w:r>
          </w:p>
        </w:tc>
        <w:tc>
          <w:tcPr>
            <w:tcW w:w="1063" w:type="dxa"/>
            <w:vAlign w:val="center"/>
          </w:tcPr>
          <w:p w14:paraId="3609144B" w14:textId="614D4C7D"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6,326</w:t>
            </w:r>
          </w:p>
        </w:tc>
        <w:tc>
          <w:tcPr>
            <w:tcW w:w="1197" w:type="dxa"/>
            <w:vAlign w:val="center"/>
          </w:tcPr>
          <w:p w14:paraId="3609144C" w14:textId="0445AF42"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48.64%</w:t>
            </w:r>
          </w:p>
        </w:tc>
        <w:tc>
          <w:tcPr>
            <w:tcW w:w="1469" w:type="dxa"/>
            <w:vAlign w:val="center"/>
          </w:tcPr>
          <w:p w14:paraId="3609144D" w14:textId="3EF418A1"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3,930</w:t>
            </w:r>
          </w:p>
        </w:tc>
        <w:tc>
          <w:tcPr>
            <w:tcW w:w="1343" w:type="dxa"/>
            <w:vAlign w:val="center"/>
          </w:tcPr>
          <w:p w14:paraId="3609144E" w14:textId="50286C8B"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30.21%</w:t>
            </w:r>
          </w:p>
        </w:tc>
        <w:tc>
          <w:tcPr>
            <w:tcW w:w="1321" w:type="dxa"/>
            <w:vAlign w:val="center"/>
          </w:tcPr>
          <w:p w14:paraId="3609144F" w14:textId="523CD409"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10,256</w:t>
            </w:r>
          </w:p>
        </w:tc>
        <w:tc>
          <w:tcPr>
            <w:tcW w:w="1250" w:type="dxa"/>
            <w:vAlign w:val="center"/>
          </w:tcPr>
          <w:p w14:paraId="36091450" w14:textId="0A760795"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78.85%</w:t>
            </w:r>
          </w:p>
        </w:tc>
        <w:tc>
          <w:tcPr>
            <w:tcW w:w="1255" w:type="dxa"/>
            <w:vAlign w:val="center"/>
          </w:tcPr>
          <w:p w14:paraId="36091451" w14:textId="3D6BBA55"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40,049</w:t>
            </w:r>
          </w:p>
        </w:tc>
        <w:tc>
          <w:tcPr>
            <w:tcW w:w="1255" w:type="dxa"/>
            <w:vAlign w:val="center"/>
          </w:tcPr>
          <w:p w14:paraId="36091452" w14:textId="36AEA031"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76.45%</w:t>
            </w:r>
          </w:p>
        </w:tc>
      </w:tr>
      <w:tr w:rsidR="006E1EE1" w:rsidRPr="004C2412" w14:paraId="3609145D" w14:textId="77777777" w:rsidTr="00910012">
        <w:trPr>
          <w:trHeight w:val="397"/>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36091454" w14:textId="77777777" w:rsidR="006E1EE1" w:rsidRPr="004C2412" w:rsidRDefault="006E1EE1" w:rsidP="006E1EE1">
            <w:pPr>
              <w:spacing w:before="0"/>
              <w:ind w:left="0"/>
            </w:pPr>
            <w:r w:rsidRPr="004C2412">
              <w:t>Did not commence suitable work – Serious</w:t>
            </w:r>
          </w:p>
        </w:tc>
        <w:tc>
          <w:tcPr>
            <w:tcW w:w="1063" w:type="dxa"/>
            <w:vAlign w:val="center"/>
          </w:tcPr>
          <w:p w14:paraId="36091455" w14:textId="772DD49E"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105</w:t>
            </w:r>
          </w:p>
        </w:tc>
        <w:tc>
          <w:tcPr>
            <w:tcW w:w="1197" w:type="dxa"/>
            <w:vAlign w:val="center"/>
          </w:tcPr>
          <w:p w14:paraId="36091456" w14:textId="0BA1CD5C"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0.81%</w:t>
            </w:r>
          </w:p>
        </w:tc>
        <w:tc>
          <w:tcPr>
            <w:tcW w:w="1469" w:type="dxa"/>
            <w:vAlign w:val="center"/>
          </w:tcPr>
          <w:p w14:paraId="36091457" w14:textId="47BD3DF6"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22</w:t>
            </w:r>
          </w:p>
        </w:tc>
        <w:tc>
          <w:tcPr>
            <w:tcW w:w="1343" w:type="dxa"/>
            <w:vAlign w:val="center"/>
          </w:tcPr>
          <w:p w14:paraId="36091458" w14:textId="0915FDCC"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0.17%</w:t>
            </w:r>
          </w:p>
        </w:tc>
        <w:tc>
          <w:tcPr>
            <w:tcW w:w="1321" w:type="dxa"/>
            <w:vAlign w:val="center"/>
          </w:tcPr>
          <w:p w14:paraId="36091459" w14:textId="433C2DAC"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127</w:t>
            </w:r>
          </w:p>
        </w:tc>
        <w:tc>
          <w:tcPr>
            <w:tcW w:w="1250" w:type="dxa"/>
            <w:vAlign w:val="center"/>
          </w:tcPr>
          <w:p w14:paraId="3609145A" w14:textId="55275A2E"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0.98%</w:t>
            </w:r>
          </w:p>
        </w:tc>
        <w:tc>
          <w:tcPr>
            <w:tcW w:w="1255" w:type="dxa"/>
            <w:vAlign w:val="center"/>
          </w:tcPr>
          <w:p w14:paraId="3609145B" w14:textId="42659305"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576</w:t>
            </w:r>
          </w:p>
        </w:tc>
        <w:tc>
          <w:tcPr>
            <w:tcW w:w="1255" w:type="dxa"/>
            <w:vAlign w:val="center"/>
          </w:tcPr>
          <w:p w14:paraId="3609145C" w14:textId="75FC5B23"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1.10%</w:t>
            </w:r>
          </w:p>
        </w:tc>
      </w:tr>
      <w:tr w:rsidR="006E1EE1" w:rsidRPr="004C2412" w14:paraId="36091467" w14:textId="77777777" w:rsidTr="00910012">
        <w:trPr>
          <w:trHeight w:val="397"/>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3609145E" w14:textId="77777777" w:rsidR="006E1EE1" w:rsidRPr="004C2412" w:rsidRDefault="006E1EE1" w:rsidP="006E1EE1">
            <w:pPr>
              <w:spacing w:before="0"/>
              <w:ind w:left="0"/>
            </w:pPr>
            <w:r w:rsidRPr="004C2412">
              <w:t>Refused a suitable job – Serious</w:t>
            </w:r>
          </w:p>
        </w:tc>
        <w:tc>
          <w:tcPr>
            <w:tcW w:w="1063" w:type="dxa"/>
            <w:vAlign w:val="center"/>
          </w:tcPr>
          <w:p w14:paraId="3609145F" w14:textId="6BD49426"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156</w:t>
            </w:r>
          </w:p>
        </w:tc>
        <w:tc>
          <w:tcPr>
            <w:tcW w:w="1197" w:type="dxa"/>
            <w:vAlign w:val="center"/>
          </w:tcPr>
          <w:p w14:paraId="36091460" w14:textId="076DCB23"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1.20%</w:t>
            </w:r>
          </w:p>
        </w:tc>
        <w:tc>
          <w:tcPr>
            <w:tcW w:w="1469" w:type="dxa"/>
            <w:vAlign w:val="center"/>
          </w:tcPr>
          <w:p w14:paraId="36091461" w14:textId="7FABCB2D"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49</w:t>
            </w:r>
          </w:p>
        </w:tc>
        <w:tc>
          <w:tcPr>
            <w:tcW w:w="1343" w:type="dxa"/>
            <w:vAlign w:val="center"/>
          </w:tcPr>
          <w:p w14:paraId="36091462" w14:textId="23516842"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0.38%</w:t>
            </w:r>
          </w:p>
        </w:tc>
        <w:tc>
          <w:tcPr>
            <w:tcW w:w="1321" w:type="dxa"/>
            <w:vAlign w:val="center"/>
          </w:tcPr>
          <w:p w14:paraId="36091463" w14:textId="5ED101F7"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205</w:t>
            </w:r>
          </w:p>
        </w:tc>
        <w:tc>
          <w:tcPr>
            <w:tcW w:w="1250" w:type="dxa"/>
            <w:vAlign w:val="center"/>
          </w:tcPr>
          <w:p w14:paraId="36091464" w14:textId="37498177"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1.58%</w:t>
            </w:r>
          </w:p>
        </w:tc>
        <w:tc>
          <w:tcPr>
            <w:tcW w:w="1255" w:type="dxa"/>
            <w:vAlign w:val="center"/>
          </w:tcPr>
          <w:p w14:paraId="36091465" w14:textId="4A93C8B6"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945</w:t>
            </w:r>
          </w:p>
        </w:tc>
        <w:tc>
          <w:tcPr>
            <w:tcW w:w="1255" w:type="dxa"/>
            <w:vAlign w:val="center"/>
          </w:tcPr>
          <w:p w14:paraId="36091466" w14:textId="76252C88" w:rsidR="006E1EE1" w:rsidRPr="004C2412" w:rsidRDefault="006E1EE1" w:rsidP="006E1EE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11349">
              <w:t>1.80%</w:t>
            </w:r>
          </w:p>
        </w:tc>
      </w:tr>
      <w:tr w:rsidR="006E1EE1" w:rsidRPr="004C2412" w14:paraId="36091471" w14:textId="77777777" w:rsidTr="00910012">
        <w:trPr>
          <w:cnfStyle w:val="010000000000" w:firstRow="0" w:lastRow="1"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36091468" w14:textId="5D505283" w:rsidR="006E1EE1" w:rsidRPr="00AD7D7D" w:rsidRDefault="006E1EE1" w:rsidP="006E1EE1">
            <w:pPr>
              <w:spacing w:before="0"/>
              <w:ind w:left="0"/>
              <w:rPr>
                <w:b w:val="0"/>
              </w:rPr>
            </w:pPr>
            <w:r w:rsidRPr="00AD7D7D">
              <w:t xml:space="preserve">Sub Total - NPPs </w:t>
            </w:r>
          </w:p>
        </w:tc>
        <w:tc>
          <w:tcPr>
            <w:tcW w:w="1063" w:type="dxa"/>
            <w:vAlign w:val="center"/>
          </w:tcPr>
          <w:p w14:paraId="36091469" w14:textId="184277CE" w:rsidR="006E1EE1" w:rsidRPr="00AD7D7D" w:rsidRDefault="006E1EE1" w:rsidP="006E1EE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D7D7D">
              <w:t>8,267</w:t>
            </w:r>
          </w:p>
        </w:tc>
        <w:tc>
          <w:tcPr>
            <w:tcW w:w="1197" w:type="dxa"/>
            <w:vAlign w:val="center"/>
          </w:tcPr>
          <w:p w14:paraId="3609146A" w14:textId="5771208E" w:rsidR="006E1EE1" w:rsidRPr="00AD7D7D" w:rsidRDefault="006E1EE1" w:rsidP="006E1EE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D7D7D">
              <w:t>63.56%</w:t>
            </w:r>
          </w:p>
        </w:tc>
        <w:tc>
          <w:tcPr>
            <w:tcW w:w="1469" w:type="dxa"/>
            <w:vAlign w:val="center"/>
          </w:tcPr>
          <w:p w14:paraId="3609146B" w14:textId="62AF6B10" w:rsidR="006E1EE1" w:rsidRPr="00AD7D7D" w:rsidRDefault="006E1EE1" w:rsidP="006E1EE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D7D7D">
              <w:t>4,740</w:t>
            </w:r>
          </w:p>
        </w:tc>
        <w:tc>
          <w:tcPr>
            <w:tcW w:w="1343" w:type="dxa"/>
            <w:vAlign w:val="center"/>
          </w:tcPr>
          <w:p w14:paraId="3609146C" w14:textId="2280E298" w:rsidR="006E1EE1" w:rsidRPr="00AD7D7D" w:rsidRDefault="006E1EE1" w:rsidP="006E1EE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D7D7D">
              <w:t>36.44%</w:t>
            </w:r>
          </w:p>
        </w:tc>
        <w:tc>
          <w:tcPr>
            <w:tcW w:w="1321" w:type="dxa"/>
            <w:vAlign w:val="center"/>
          </w:tcPr>
          <w:p w14:paraId="3609146D" w14:textId="7162CCF5" w:rsidR="006E1EE1" w:rsidRPr="00AD7D7D" w:rsidRDefault="006E1EE1" w:rsidP="006E1EE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D7D7D">
              <w:t>13,007</w:t>
            </w:r>
          </w:p>
        </w:tc>
        <w:tc>
          <w:tcPr>
            <w:tcW w:w="1250" w:type="dxa"/>
            <w:vAlign w:val="center"/>
          </w:tcPr>
          <w:p w14:paraId="3609146E" w14:textId="1C874030" w:rsidR="006E1EE1" w:rsidRPr="00AD7D7D" w:rsidRDefault="006E1EE1" w:rsidP="006E1EE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D7D7D">
              <w:t>100.00%</w:t>
            </w:r>
          </w:p>
        </w:tc>
        <w:tc>
          <w:tcPr>
            <w:tcW w:w="1255" w:type="dxa"/>
            <w:vAlign w:val="center"/>
          </w:tcPr>
          <w:p w14:paraId="3609146F" w14:textId="7A2DD298" w:rsidR="006E1EE1" w:rsidRPr="00AD7D7D" w:rsidRDefault="006E1EE1" w:rsidP="006E1EE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D7D7D">
              <w:t>52,384</w:t>
            </w:r>
          </w:p>
        </w:tc>
        <w:tc>
          <w:tcPr>
            <w:tcW w:w="1255" w:type="dxa"/>
            <w:vAlign w:val="center"/>
          </w:tcPr>
          <w:p w14:paraId="36091470" w14:textId="4EF4EDAE" w:rsidR="006E1EE1" w:rsidRPr="00AD7D7D" w:rsidRDefault="006E1EE1" w:rsidP="006E1EE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D7D7D">
              <w:t>100.00%</w:t>
            </w:r>
          </w:p>
        </w:tc>
      </w:tr>
    </w:tbl>
    <w:p w14:paraId="43A6B942" w14:textId="68FBF337" w:rsidR="00945CD3" w:rsidRPr="004C2412" w:rsidRDefault="00945CD3" w:rsidP="00F65699">
      <w:pPr>
        <w:spacing w:after="120" w:line="240" w:lineRule="auto"/>
        <w:ind w:left="0"/>
      </w:pPr>
      <w:r w:rsidRPr="004C2412">
        <w:t xml:space="preserve">Unemployment non-payment periods are generally for eight weeks. However, a person who has received </w:t>
      </w:r>
      <w:r w:rsidRPr="004C2412">
        <w:rPr>
          <w:noProof/>
        </w:rPr>
        <w:t xml:space="preserve">Relocation Assistance to take up a job and </w:t>
      </w:r>
      <w:r w:rsidRPr="004C2412">
        <w:t xml:space="preserve">voluntarily leaves this job without a reasonable excuse, or </w:t>
      </w:r>
      <w:proofErr w:type="gramStart"/>
      <w:r w:rsidRPr="004C2412">
        <w:t>is dismissed</w:t>
      </w:r>
      <w:proofErr w:type="gramEnd"/>
      <w:r w:rsidRPr="004C2412">
        <w:t xml:space="preserve"> for misconduct within the first six months, may be subject to a non-payment penalty period of 12 weeks. This penalty </w:t>
      </w:r>
      <w:proofErr w:type="gramStart"/>
      <w:r w:rsidRPr="004C2412">
        <w:t>may also be applied</w:t>
      </w:r>
      <w:proofErr w:type="gramEnd"/>
      <w:r w:rsidRPr="004C2412">
        <w:t xml:space="preserve"> if the job seeker accepts the job and relocates but does not commence employment.</w:t>
      </w:r>
    </w:p>
    <w:p w14:paraId="314D12B4" w14:textId="61A4274B" w:rsidR="00BF33EB" w:rsidRPr="004C2412" w:rsidRDefault="00BF33EB">
      <w:pPr>
        <w:spacing w:before="0"/>
        <w:ind w:left="0"/>
        <w:rPr>
          <w:b/>
        </w:rPr>
      </w:pPr>
      <w:r w:rsidRPr="004C2412">
        <w:rPr>
          <w:b/>
        </w:rPr>
        <w:br w:type="page"/>
      </w:r>
    </w:p>
    <w:p w14:paraId="36091473" w14:textId="2EA15256" w:rsidR="00446DCB" w:rsidRPr="004C2412" w:rsidRDefault="00D6515C" w:rsidP="00A609AA">
      <w:pPr>
        <w:pStyle w:val="Heading3"/>
        <w:numPr>
          <w:ilvl w:val="0"/>
          <w:numId w:val="0"/>
        </w:numPr>
      </w:pPr>
      <w:bookmarkStart w:id="48" w:name="_Toc526864454"/>
      <w:r w:rsidRPr="004C2412">
        <w:t xml:space="preserve">13 b </w:t>
      </w:r>
      <w:r w:rsidR="00606BF5" w:rsidRPr="004C2412">
        <w:t>–</w:t>
      </w:r>
      <w:r w:rsidRPr="004C2412">
        <w:t xml:space="preserve"> </w:t>
      </w:r>
      <w:r w:rsidR="009F1614" w:rsidRPr="004C2412">
        <w:t>Short Term Financial Penalties</w:t>
      </w:r>
      <w:r w:rsidR="00945CD3" w:rsidRPr="004C2412">
        <w:t xml:space="preserve"> and Total Financial Penalty Summary </w:t>
      </w:r>
      <w:r w:rsidR="00454B21" w:rsidRPr="004C2412">
        <w:t xml:space="preserve">- 1 </w:t>
      </w:r>
      <w:r w:rsidR="006D7AC9">
        <w:t>April</w:t>
      </w:r>
      <w:r w:rsidR="006D7AC9" w:rsidRPr="004C2412">
        <w:t xml:space="preserve"> </w:t>
      </w:r>
      <w:r w:rsidR="00454B21" w:rsidRPr="004C2412">
        <w:t>to 3</w:t>
      </w:r>
      <w:r w:rsidR="006D7AC9">
        <w:t>0</w:t>
      </w:r>
      <w:r w:rsidR="00454B21" w:rsidRPr="004C2412">
        <w:t xml:space="preserve"> </w:t>
      </w:r>
      <w:r w:rsidR="006D7AC9">
        <w:t>June</w:t>
      </w:r>
      <w:r w:rsidR="0047700C" w:rsidRPr="004C2412">
        <w:t xml:space="preserve"> </w:t>
      </w:r>
      <w:r w:rsidR="00454B21" w:rsidRPr="004C2412">
        <w:t>201</w:t>
      </w:r>
      <w:r w:rsidR="0047700C" w:rsidRPr="004C2412">
        <w:t>8</w:t>
      </w:r>
      <w:bookmarkEnd w:id="48"/>
    </w:p>
    <w:tbl>
      <w:tblPr>
        <w:tblStyle w:val="LeftAlignTable"/>
        <w:tblW w:w="15164" w:type="dxa"/>
        <w:tblInd w:w="-5" w:type="dxa"/>
        <w:tblLayout w:type="fixed"/>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2410"/>
        <w:gridCol w:w="1701"/>
        <w:gridCol w:w="1559"/>
        <w:gridCol w:w="1701"/>
        <w:gridCol w:w="1560"/>
        <w:gridCol w:w="1559"/>
        <w:gridCol w:w="1559"/>
        <w:gridCol w:w="1559"/>
        <w:gridCol w:w="1556"/>
      </w:tblGrid>
      <w:tr w:rsidR="00C7359A" w:rsidRPr="004C2412" w14:paraId="3609147D" w14:textId="77777777" w:rsidTr="001C41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36091474" w14:textId="1C32E2B9" w:rsidR="001F7420" w:rsidRPr="004C2412" w:rsidRDefault="00945CD3" w:rsidP="00910012">
            <w:pPr>
              <w:spacing w:before="0"/>
              <w:ind w:left="0"/>
              <w:rPr>
                <w:noProof/>
              </w:rPr>
            </w:pPr>
            <w:r w:rsidRPr="004C2412">
              <w:rPr>
                <w:noProof/>
              </w:rPr>
              <w:t xml:space="preserve">Type of Short Term Penalty: </w:t>
            </w:r>
            <w:r w:rsidR="00D97FDB" w:rsidRPr="004C2412">
              <w:rPr>
                <w:noProof/>
              </w:rPr>
              <w:t>Non-At</w:t>
            </w:r>
            <w:r w:rsidR="00CF2936" w:rsidRPr="004C2412">
              <w:rPr>
                <w:noProof/>
              </w:rPr>
              <w:t>tendance</w:t>
            </w:r>
            <w:r w:rsidRPr="004C2412">
              <w:rPr>
                <w:noProof/>
              </w:rPr>
              <w:t xml:space="preserve"> (NAF)</w:t>
            </w:r>
            <w:r w:rsidR="00CF2936" w:rsidRPr="004C2412">
              <w:rPr>
                <w:noProof/>
              </w:rPr>
              <w:t>, Reconnection and N</w:t>
            </w:r>
            <w:r w:rsidRPr="004C2412">
              <w:rPr>
                <w:noProof/>
              </w:rPr>
              <w:t>o</w:t>
            </w:r>
            <w:r w:rsidRPr="004C2412">
              <w:rPr>
                <w:noProof/>
              </w:rPr>
              <w:noBreakHyphen/>
            </w:r>
            <w:r w:rsidR="00CF2936" w:rsidRPr="004C2412">
              <w:rPr>
                <w:noProof/>
              </w:rPr>
              <w:t>S</w:t>
            </w:r>
            <w:r w:rsidRPr="004C2412">
              <w:rPr>
                <w:noProof/>
              </w:rPr>
              <w:t xml:space="preserve">how </w:t>
            </w:r>
            <w:r w:rsidR="00CF2936" w:rsidRPr="004C2412">
              <w:rPr>
                <w:noProof/>
              </w:rPr>
              <w:t>N</w:t>
            </w:r>
            <w:r w:rsidRPr="004C2412">
              <w:rPr>
                <w:noProof/>
              </w:rPr>
              <w:t>o</w:t>
            </w:r>
            <w:r w:rsidRPr="004C2412">
              <w:rPr>
                <w:noProof/>
              </w:rPr>
              <w:noBreakHyphen/>
            </w:r>
            <w:r w:rsidR="00CF2936" w:rsidRPr="004C2412">
              <w:rPr>
                <w:noProof/>
              </w:rPr>
              <w:t>P</w:t>
            </w:r>
            <w:r w:rsidRPr="004C2412">
              <w:rPr>
                <w:noProof/>
              </w:rPr>
              <w:t>ay (NSNP)</w:t>
            </w:r>
          </w:p>
        </w:tc>
        <w:tc>
          <w:tcPr>
            <w:tcW w:w="1701" w:type="dxa"/>
            <w:vAlign w:val="center"/>
          </w:tcPr>
          <w:p w14:paraId="36091475"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Male</w:t>
            </w:r>
          </w:p>
        </w:tc>
        <w:tc>
          <w:tcPr>
            <w:tcW w:w="1559" w:type="dxa"/>
            <w:vAlign w:val="center"/>
          </w:tcPr>
          <w:p w14:paraId="36091476"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Male %</w:t>
            </w:r>
          </w:p>
        </w:tc>
        <w:tc>
          <w:tcPr>
            <w:tcW w:w="1701" w:type="dxa"/>
            <w:vAlign w:val="center"/>
          </w:tcPr>
          <w:p w14:paraId="36091477"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Female</w:t>
            </w:r>
          </w:p>
        </w:tc>
        <w:tc>
          <w:tcPr>
            <w:tcW w:w="1560" w:type="dxa"/>
            <w:vAlign w:val="center"/>
          </w:tcPr>
          <w:p w14:paraId="36091478"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Female %</w:t>
            </w:r>
          </w:p>
        </w:tc>
        <w:tc>
          <w:tcPr>
            <w:tcW w:w="1559" w:type="dxa"/>
            <w:vAlign w:val="center"/>
          </w:tcPr>
          <w:p w14:paraId="36091479"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Total</w:t>
            </w:r>
          </w:p>
        </w:tc>
        <w:tc>
          <w:tcPr>
            <w:tcW w:w="1559" w:type="dxa"/>
            <w:vAlign w:val="center"/>
          </w:tcPr>
          <w:p w14:paraId="3609147A"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Total %</w:t>
            </w:r>
          </w:p>
        </w:tc>
        <w:tc>
          <w:tcPr>
            <w:tcW w:w="1559" w:type="dxa"/>
            <w:vAlign w:val="center"/>
          </w:tcPr>
          <w:p w14:paraId="3609147B"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Financial YTD</w:t>
            </w:r>
          </w:p>
        </w:tc>
        <w:tc>
          <w:tcPr>
            <w:tcW w:w="1556" w:type="dxa"/>
            <w:vAlign w:val="center"/>
          </w:tcPr>
          <w:p w14:paraId="3609147C"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Financial YTD%</w:t>
            </w:r>
          </w:p>
        </w:tc>
      </w:tr>
      <w:tr w:rsidR="00C7359A" w:rsidRPr="004C2412" w14:paraId="36091487" w14:textId="77777777" w:rsidTr="00C7359A">
        <w:trPr>
          <w:trHeight w:val="2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609147E" w14:textId="77777777" w:rsidR="0047700C" w:rsidRPr="004C2412" w:rsidRDefault="0047700C" w:rsidP="0047700C">
            <w:pPr>
              <w:spacing w:before="0"/>
              <w:ind w:left="0"/>
              <w:rPr>
                <w:noProof/>
              </w:rPr>
            </w:pPr>
            <w:r w:rsidRPr="004C2412">
              <w:rPr>
                <w:noProof/>
              </w:rPr>
              <w:t xml:space="preserve">Appointment related failures – Provider (NAF and Reconnection) and DHS (Reconnection) </w:t>
            </w:r>
          </w:p>
        </w:tc>
        <w:tc>
          <w:tcPr>
            <w:tcW w:w="1701" w:type="dxa"/>
            <w:vAlign w:val="center"/>
          </w:tcPr>
          <w:p w14:paraId="3609147F" w14:textId="3619905A"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8,993</w:t>
            </w:r>
          </w:p>
        </w:tc>
        <w:tc>
          <w:tcPr>
            <w:tcW w:w="1559" w:type="dxa"/>
            <w:vAlign w:val="center"/>
          </w:tcPr>
          <w:p w14:paraId="36091480" w14:textId="44ACEC85"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10.99%</w:t>
            </w:r>
          </w:p>
        </w:tc>
        <w:tc>
          <w:tcPr>
            <w:tcW w:w="1701" w:type="dxa"/>
            <w:vAlign w:val="center"/>
          </w:tcPr>
          <w:p w14:paraId="36091481" w14:textId="1675C335"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4,487</w:t>
            </w:r>
          </w:p>
        </w:tc>
        <w:tc>
          <w:tcPr>
            <w:tcW w:w="1560" w:type="dxa"/>
            <w:vAlign w:val="center"/>
          </w:tcPr>
          <w:p w14:paraId="36091482" w14:textId="70F741B0"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5.48%</w:t>
            </w:r>
          </w:p>
        </w:tc>
        <w:tc>
          <w:tcPr>
            <w:tcW w:w="1559" w:type="dxa"/>
            <w:vAlign w:val="center"/>
          </w:tcPr>
          <w:p w14:paraId="36091483" w14:textId="476992E7"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13,480</w:t>
            </w:r>
          </w:p>
        </w:tc>
        <w:tc>
          <w:tcPr>
            <w:tcW w:w="1559" w:type="dxa"/>
            <w:vAlign w:val="center"/>
          </w:tcPr>
          <w:p w14:paraId="36091484" w14:textId="49EC212F"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16.47%</w:t>
            </w:r>
          </w:p>
        </w:tc>
        <w:tc>
          <w:tcPr>
            <w:tcW w:w="1559" w:type="dxa"/>
            <w:vAlign w:val="center"/>
          </w:tcPr>
          <w:p w14:paraId="36091485" w14:textId="40144F3E"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57,410</w:t>
            </w:r>
          </w:p>
        </w:tc>
        <w:tc>
          <w:tcPr>
            <w:tcW w:w="1556" w:type="dxa"/>
            <w:vAlign w:val="center"/>
          </w:tcPr>
          <w:p w14:paraId="36091486" w14:textId="07CE4B71"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16.78%</w:t>
            </w:r>
          </w:p>
        </w:tc>
      </w:tr>
      <w:tr w:rsidR="00C7359A" w:rsidRPr="004C2412" w14:paraId="36091491" w14:textId="77777777" w:rsidTr="00C7359A">
        <w:trPr>
          <w:trHeight w:val="2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6091488" w14:textId="77777777" w:rsidR="0047700C" w:rsidRPr="004C2412" w:rsidDel="00D97FDB" w:rsidRDefault="0047700C" w:rsidP="0047700C">
            <w:pPr>
              <w:spacing w:before="0"/>
              <w:ind w:left="0"/>
              <w:rPr>
                <w:noProof/>
              </w:rPr>
            </w:pPr>
            <w:r w:rsidRPr="004C2412">
              <w:rPr>
                <w:noProof/>
              </w:rPr>
              <w:t>Other failures to comply with a reconnection requirement that resulted in a financial penalty</w:t>
            </w:r>
            <w:r w:rsidRPr="004C2412">
              <w:rPr>
                <w:noProof/>
                <w:sz w:val="32"/>
                <w:szCs w:val="32"/>
                <w:vertAlign w:val="superscript"/>
              </w:rPr>
              <w:t xml:space="preserve"> </w:t>
            </w:r>
            <w:r w:rsidRPr="004C2412">
              <w:rPr>
                <w:noProof/>
              </w:rPr>
              <w:t>^</w:t>
            </w:r>
          </w:p>
        </w:tc>
        <w:tc>
          <w:tcPr>
            <w:tcW w:w="1701" w:type="dxa"/>
            <w:vAlign w:val="center"/>
          </w:tcPr>
          <w:p w14:paraId="36091489" w14:textId="576CA3B4"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486</w:t>
            </w:r>
          </w:p>
        </w:tc>
        <w:tc>
          <w:tcPr>
            <w:tcW w:w="1559" w:type="dxa"/>
            <w:vAlign w:val="center"/>
          </w:tcPr>
          <w:p w14:paraId="3609148A" w14:textId="43CD9511"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0.59%</w:t>
            </w:r>
          </w:p>
        </w:tc>
        <w:tc>
          <w:tcPr>
            <w:tcW w:w="1701" w:type="dxa"/>
            <w:vAlign w:val="center"/>
          </w:tcPr>
          <w:p w14:paraId="3609148B" w14:textId="48F89C35"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203</w:t>
            </w:r>
          </w:p>
        </w:tc>
        <w:tc>
          <w:tcPr>
            <w:tcW w:w="1560" w:type="dxa"/>
            <w:vAlign w:val="center"/>
          </w:tcPr>
          <w:p w14:paraId="3609148C" w14:textId="3861E049"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0.25%</w:t>
            </w:r>
          </w:p>
        </w:tc>
        <w:tc>
          <w:tcPr>
            <w:tcW w:w="1559" w:type="dxa"/>
            <w:vAlign w:val="center"/>
          </w:tcPr>
          <w:p w14:paraId="3609148D" w14:textId="4DD1989C"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689</w:t>
            </w:r>
          </w:p>
        </w:tc>
        <w:tc>
          <w:tcPr>
            <w:tcW w:w="1559" w:type="dxa"/>
            <w:vAlign w:val="center"/>
          </w:tcPr>
          <w:p w14:paraId="3609148E" w14:textId="3DDC8C65"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0.84%</w:t>
            </w:r>
          </w:p>
        </w:tc>
        <w:tc>
          <w:tcPr>
            <w:tcW w:w="1559" w:type="dxa"/>
            <w:vAlign w:val="center"/>
          </w:tcPr>
          <w:p w14:paraId="3609148F" w14:textId="13812D38"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2,310</w:t>
            </w:r>
          </w:p>
        </w:tc>
        <w:tc>
          <w:tcPr>
            <w:tcW w:w="1556" w:type="dxa"/>
            <w:vAlign w:val="center"/>
          </w:tcPr>
          <w:p w14:paraId="36091490" w14:textId="6F2713C1"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0.68%</w:t>
            </w:r>
          </w:p>
        </w:tc>
      </w:tr>
      <w:tr w:rsidR="00C7359A" w:rsidRPr="004C2412" w14:paraId="3609149B" w14:textId="77777777" w:rsidTr="00C7359A">
        <w:trPr>
          <w:trHeight w:val="2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6091492" w14:textId="77777777" w:rsidR="0047700C" w:rsidRPr="004C2412" w:rsidRDefault="0047700C" w:rsidP="0047700C">
            <w:pPr>
              <w:spacing w:before="0"/>
              <w:ind w:left="0"/>
              <w:rPr>
                <w:noProof/>
              </w:rPr>
            </w:pPr>
            <w:r w:rsidRPr="004C2412">
              <w:rPr>
                <w:noProof/>
              </w:rPr>
              <w:t>Failure to attend activity specified in a Job Plan (NSNP)</w:t>
            </w:r>
          </w:p>
        </w:tc>
        <w:tc>
          <w:tcPr>
            <w:tcW w:w="1701" w:type="dxa"/>
            <w:vAlign w:val="center"/>
          </w:tcPr>
          <w:p w14:paraId="36091493" w14:textId="2E0E014D"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40,534</w:t>
            </w:r>
          </w:p>
        </w:tc>
        <w:tc>
          <w:tcPr>
            <w:tcW w:w="1559" w:type="dxa"/>
            <w:vAlign w:val="center"/>
          </w:tcPr>
          <w:p w14:paraId="36091494" w14:textId="727B87BF"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49.51%</w:t>
            </w:r>
          </w:p>
        </w:tc>
        <w:tc>
          <w:tcPr>
            <w:tcW w:w="1701" w:type="dxa"/>
            <w:vAlign w:val="center"/>
          </w:tcPr>
          <w:p w14:paraId="36091495" w14:textId="1E30BEB9"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25,969</w:t>
            </w:r>
          </w:p>
        </w:tc>
        <w:tc>
          <w:tcPr>
            <w:tcW w:w="1560" w:type="dxa"/>
            <w:vAlign w:val="center"/>
          </w:tcPr>
          <w:p w14:paraId="36091496" w14:textId="07170873"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3</w:t>
            </w:r>
            <w:r w:rsidR="00AF6D27">
              <w:t>1</w:t>
            </w:r>
            <w:r>
              <w:t>.72%</w:t>
            </w:r>
          </w:p>
        </w:tc>
        <w:tc>
          <w:tcPr>
            <w:tcW w:w="1559" w:type="dxa"/>
            <w:vAlign w:val="center"/>
          </w:tcPr>
          <w:p w14:paraId="36091497" w14:textId="04B91CA8"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66,503</w:t>
            </w:r>
          </w:p>
        </w:tc>
        <w:tc>
          <w:tcPr>
            <w:tcW w:w="1559" w:type="dxa"/>
            <w:vAlign w:val="center"/>
          </w:tcPr>
          <w:p w14:paraId="36091498" w14:textId="735727E2"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81.23%</w:t>
            </w:r>
          </w:p>
        </w:tc>
        <w:tc>
          <w:tcPr>
            <w:tcW w:w="1559" w:type="dxa"/>
            <w:vAlign w:val="center"/>
          </w:tcPr>
          <w:p w14:paraId="36091499" w14:textId="594ECB28"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277,465</w:t>
            </w:r>
          </w:p>
        </w:tc>
        <w:tc>
          <w:tcPr>
            <w:tcW w:w="1556" w:type="dxa"/>
            <w:vAlign w:val="center"/>
          </w:tcPr>
          <w:p w14:paraId="3609149A" w14:textId="5D072C45"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81.12%</w:t>
            </w:r>
          </w:p>
        </w:tc>
      </w:tr>
      <w:tr w:rsidR="00C7359A" w:rsidRPr="004C2412" w14:paraId="360914A5" w14:textId="77777777" w:rsidTr="00C7359A">
        <w:trPr>
          <w:trHeight w:val="2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609149C" w14:textId="77777777" w:rsidR="0047700C" w:rsidRPr="004C2412" w:rsidRDefault="0047700C" w:rsidP="0047700C">
            <w:pPr>
              <w:spacing w:before="0"/>
              <w:ind w:left="0"/>
              <w:rPr>
                <w:b/>
                <w:noProof/>
              </w:rPr>
            </w:pPr>
            <w:r w:rsidRPr="004C2412">
              <w:rPr>
                <w:noProof/>
              </w:rPr>
              <w:t>Failure to attend job interview (NSNP)</w:t>
            </w:r>
          </w:p>
        </w:tc>
        <w:tc>
          <w:tcPr>
            <w:tcW w:w="1701" w:type="dxa"/>
            <w:vAlign w:val="center"/>
          </w:tcPr>
          <w:p w14:paraId="3609149D" w14:textId="57C85EAD"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t>495</w:t>
            </w:r>
          </w:p>
        </w:tc>
        <w:tc>
          <w:tcPr>
            <w:tcW w:w="1559" w:type="dxa"/>
            <w:vAlign w:val="center"/>
          </w:tcPr>
          <w:p w14:paraId="3609149E" w14:textId="0915AD5B"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t>0.60%</w:t>
            </w:r>
          </w:p>
        </w:tc>
        <w:tc>
          <w:tcPr>
            <w:tcW w:w="1701" w:type="dxa"/>
            <w:vAlign w:val="center"/>
          </w:tcPr>
          <w:p w14:paraId="3609149F" w14:textId="58055DD2"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t>221</w:t>
            </w:r>
          </w:p>
        </w:tc>
        <w:tc>
          <w:tcPr>
            <w:tcW w:w="1560" w:type="dxa"/>
            <w:vAlign w:val="center"/>
          </w:tcPr>
          <w:p w14:paraId="360914A0" w14:textId="3A8A42B4"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t>0.27%</w:t>
            </w:r>
          </w:p>
        </w:tc>
        <w:tc>
          <w:tcPr>
            <w:tcW w:w="1559" w:type="dxa"/>
            <w:vAlign w:val="center"/>
          </w:tcPr>
          <w:p w14:paraId="360914A1" w14:textId="306B37BD"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t>716</w:t>
            </w:r>
          </w:p>
        </w:tc>
        <w:tc>
          <w:tcPr>
            <w:tcW w:w="1559" w:type="dxa"/>
            <w:vAlign w:val="center"/>
          </w:tcPr>
          <w:p w14:paraId="360914A2" w14:textId="37765BC3"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t>0.87%</w:t>
            </w:r>
          </w:p>
        </w:tc>
        <w:tc>
          <w:tcPr>
            <w:tcW w:w="1559" w:type="dxa"/>
            <w:vAlign w:val="center"/>
          </w:tcPr>
          <w:p w14:paraId="360914A3" w14:textId="3F3DE9FE"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t>2,956</w:t>
            </w:r>
          </w:p>
        </w:tc>
        <w:tc>
          <w:tcPr>
            <w:tcW w:w="1556" w:type="dxa"/>
            <w:vAlign w:val="center"/>
          </w:tcPr>
          <w:p w14:paraId="360914A4" w14:textId="30D0CDBD"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t>0.86%</w:t>
            </w:r>
          </w:p>
        </w:tc>
      </w:tr>
      <w:tr w:rsidR="00C7359A" w:rsidRPr="004C2412" w14:paraId="360914AF" w14:textId="77777777" w:rsidTr="00C7359A">
        <w:trPr>
          <w:trHeight w:val="2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60914A6" w14:textId="77777777" w:rsidR="0047700C" w:rsidRPr="004C2412" w:rsidRDefault="0047700C" w:rsidP="0047700C">
            <w:pPr>
              <w:spacing w:before="0"/>
              <w:ind w:left="0"/>
              <w:rPr>
                <w:noProof/>
              </w:rPr>
            </w:pPr>
            <w:r w:rsidRPr="004C2412">
              <w:rPr>
                <w:noProof/>
              </w:rPr>
              <w:t>Inappropriate conduct in a Job Plan activity (NSNP)</w:t>
            </w:r>
          </w:p>
        </w:tc>
        <w:tc>
          <w:tcPr>
            <w:tcW w:w="1701" w:type="dxa"/>
            <w:vAlign w:val="center"/>
          </w:tcPr>
          <w:p w14:paraId="360914A7" w14:textId="536E395E"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221</w:t>
            </w:r>
          </w:p>
        </w:tc>
        <w:tc>
          <w:tcPr>
            <w:tcW w:w="1559" w:type="dxa"/>
            <w:vAlign w:val="center"/>
          </w:tcPr>
          <w:p w14:paraId="360914A8" w14:textId="07A32557"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0.27%</w:t>
            </w:r>
          </w:p>
        </w:tc>
        <w:tc>
          <w:tcPr>
            <w:tcW w:w="1701" w:type="dxa"/>
            <w:vAlign w:val="center"/>
          </w:tcPr>
          <w:p w14:paraId="360914A9" w14:textId="75FAF652"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98</w:t>
            </w:r>
          </w:p>
        </w:tc>
        <w:tc>
          <w:tcPr>
            <w:tcW w:w="1560" w:type="dxa"/>
            <w:vAlign w:val="center"/>
          </w:tcPr>
          <w:p w14:paraId="360914AA" w14:textId="7930B3C0"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0.12%</w:t>
            </w:r>
          </w:p>
        </w:tc>
        <w:tc>
          <w:tcPr>
            <w:tcW w:w="1559" w:type="dxa"/>
            <w:vAlign w:val="center"/>
          </w:tcPr>
          <w:p w14:paraId="360914AB" w14:textId="283F4807"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319</w:t>
            </w:r>
          </w:p>
        </w:tc>
        <w:tc>
          <w:tcPr>
            <w:tcW w:w="1559" w:type="dxa"/>
            <w:vAlign w:val="center"/>
          </w:tcPr>
          <w:p w14:paraId="360914AC" w14:textId="5855EBCC"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0.39%</w:t>
            </w:r>
          </w:p>
        </w:tc>
        <w:tc>
          <w:tcPr>
            <w:tcW w:w="1559" w:type="dxa"/>
            <w:vAlign w:val="center"/>
          </w:tcPr>
          <w:p w14:paraId="360914AD" w14:textId="1C85494A"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1,313</w:t>
            </w:r>
          </w:p>
        </w:tc>
        <w:tc>
          <w:tcPr>
            <w:tcW w:w="1556" w:type="dxa"/>
            <w:vAlign w:val="center"/>
          </w:tcPr>
          <w:p w14:paraId="360914AE" w14:textId="4D811874"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0.38%</w:t>
            </w:r>
          </w:p>
        </w:tc>
      </w:tr>
      <w:tr w:rsidR="00C7359A" w:rsidRPr="004C2412" w14:paraId="360914B9" w14:textId="77777777" w:rsidTr="00C7359A">
        <w:trPr>
          <w:trHeight w:val="2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60914B0" w14:textId="77777777" w:rsidR="0047700C" w:rsidRPr="004C2412" w:rsidRDefault="0047700C" w:rsidP="0047700C">
            <w:pPr>
              <w:spacing w:before="0"/>
              <w:ind w:left="0"/>
              <w:rPr>
                <w:noProof/>
              </w:rPr>
            </w:pPr>
            <w:r w:rsidRPr="004C2412">
              <w:rPr>
                <w:noProof/>
              </w:rPr>
              <w:t>Inappropriate presentation or conduct at job interview (NSNP)</w:t>
            </w:r>
          </w:p>
        </w:tc>
        <w:tc>
          <w:tcPr>
            <w:tcW w:w="1701" w:type="dxa"/>
            <w:vAlign w:val="center"/>
          </w:tcPr>
          <w:p w14:paraId="360914B1" w14:textId="29C0CBE5"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115</w:t>
            </w:r>
          </w:p>
        </w:tc>
        <w:tc>
          <w:tcPr>
            <w:tcW w:w="1559" w:type="dxa"/>
            <w:vAlign w:val="center"/>
          </w:tcPr>
          <w:p w14:paraId="360914B2" w14:textId="1543D87A"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0.14%</w:t>
            </w:r>
          </w:p>
        </w:tc>
        <w:tc>
          <w:tcPr>
            <w:tcW w:w="1701" w:type="dxa"/>
            <w:vAlign w:val="center"/>
          </w:tcPr>
          <w:p w14:paraId="360914B3" w14:textId="2345B0C4"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44</w:t>
            </w:r>
          </w:p>
        </w:tc>
        <w:tc>
          <w:tcPr>
            <w:tcW w:w="1560" w:type="dxa"/>
            <w:vAlign w:val="center"/>
          </w:tcPr>
          <w:p w14:paraId="360914B4" w14:textId="7281A38F"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0.05%</w:t>
            </w:r>
          </w:p>
        </w:tc>
        <w:tc>
          <w:tcPr>
            <w:tcW w:w="1559" w:type="dxa"/>
            <w:vAlign w:val="center"/>
          </w:tcPr>
          <w:p w14:paraId="360914B5" w14:textId="5805389D"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159</w:t>
            </w:r>
          </w:p>
        </w:tc>
        <w:tc>
          <w:tcPr>
            <w:tcW w:w="1559" w:type="dxa"/>
            <w:vAlign w:val="center"/>
          </w:tcPr>
          <w:p w14:paraId="360914B6" w14:textId="6F5B63F0" w:rsidR="0047700C" w:rsidRPr="004C2412" w:rsidRDefault="00117B2B"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w:t>
            </w:r>
            <w:r w:rsidR="00113A47">
              <w:t>.19%</w:t>
            </w:r>
          </w:p>
        </w:tc>
        <w:tc>
          <w:tcPr>
            <w:tcW w:w="1559" w:type="dxa"/>
            <w:vAlign w:val="center"/>
          </w:tcPr>
          <w:p w14:paraId="360914B7" w14:textId="299E1BF2"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606</w:t>
            </w:r>
          </w:p>
        </w:tc>
        <w:tc>
          <w:tcPr>
            <w:tcW w:w="1556" w:type="dxa"/>
            <w:vAlign w:val="center"/>
          </w:tcPr>
          <w:p w14:paraId="360914B8" w14:textId="42EEA776"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0.18%</w:t>
            </w:r>
          </w:p>
        </w:tc>
      </w:tr>
      <w:tr w:rsidR="00C7359A" w:rsidRPr="004C2412" w14:paraId="360914C3" w14:textId="77777777" w:rsidTr="00C7359A">
        <w:trPr>
          <w:trHeight w:val="2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60914BA" w14:textId="0F7861FF" w:rsidR="0047700C" w:rsidRPr="004C2412" w:rsidRDefault="0047700C" w:rsidP="0047700C">
            <w:pPr>
              <w:spacing w:before="0"/>
              <w:ind w:left="0"/>
              <w:rPr>
                <w:b/>
                <w:noProof/>
              </w:rPr>
            </w:pPr>
            <w:r w:rsidRPr="004C2412">
              <w:rPr>
                <w:b/>
                <w:noProof/>
              </w:rPr>
              <w:t>Sub Total - Short Term Financial Penalties</w:t>
            </w:r>
          </w:p>
        </w:tc>
        <w:tc>
          <w:tcPr>
            <w:tcW w:w="1701" w:type="dxa"/>
            <w:vAlign w:val="center"/>
          </w:tcPr>
          <w:p w14:paraId="360914BB" w14:textId="4ADF98FE"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Pr>
                <w:b/>
              </w:rPr>
              <w:t>50,844</w:t>
            </w:r>
          </w:p>
        </w:tc>
        <w:tc>
          <w:tcPr>
            <w:tcW w:w="1559" w:type="dxa"/>
            <w:vAlign w:val="center"/>
          </w:tcPr>
          <w:p w14:paraId="360914BC" w14:textId="753ABFAD" w:rsidR="0047700C" w:rsidRPr="004C2412" w:rsidRDefault="006D7AC9"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Pr>
                <w:b/>
              </w:rPr>
              <w:t>62.11%</w:t>
            </w:r>
          </w:p>
        </w:tc>
        <w:tc>
          <w:tcPr>
            <w:tcW w:w="1701" w:type="dxa"/>
            <w:vAlign w:val="center"/>
          </w:tcPr>
          <w:p w14:paraId="360914BD" w14:textId="34D45508"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Pr>
                <w:b/>
              </w:rPr>
              <w:t>31,022</w:t>
            </w:r>
          </w:p>
        </w:tc>
        <w:tc>
          <w:tcPr>
            <w:tcW w:w="1560" w:type="dxa"/>
            <w:vAlign w:val="center"/>
          </w:tcPr>
          <w:p w14:paraId="360914BE" w14:textId="660EBAF3"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Pr>
                <w:b/>
              </w:rPr>
              <w:t>37,89%</w:t>
            </w:r>
          </w:p>
        </w:tc>
        <w:tc>
          <w:tcPr>
            <w:tcW w:w="1559" w:type="dxa"/>
            <w:vAlign w:val="center"/>
          </w:tcPr>
          <w:p w14:paraId="360914BF" w14:textId="488157BE"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Pr>
                <w:b/>
              </w:rPr>
              <w:t>81,866</w:t>
            </w:r>
          </w:p>
        </w:tc>
        <w:tc>
          <w:tcPr>
            <w:tcW w:w="1559" w:type="dxa"/>
            <w:vAlign w:val="center"/>
          </w:tcPr>
          <w:p w14:paraId="360914C0" w14:textId="54722034" w:rsidR="0047700C" w:rsidRPr="004C2412" w:rsidRDefault="00113A47"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Pr>
                <w:b/>
              </w:rPr>
              <w:t>100.00%</w:t>
            </w:r>
          </w:p>
        </w:tc>
        <w:tc>
          <w:tcPr>
            <w:tcW w:w="1559" w:type="dxa"/>
            <w:vAlign w:val="center"/>
          </w:tcPr>
          <w:p w14:paraId="360914C1" w14:textId="171CBBDE"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Pr>
                <w:b/>
              </w:rPr>
              <w:t>342,060</w:t>
            </w:r>
          </w:p>
        </w:tc>
        <w:tc>
          <w:tcPr>
            <w:tcW w:w="1556" w:type="dxa"/>
            <w:vAlign w:val="center"/>
          </w:tcPr>
          <w:p w14:paraId="360914C2" w14:textId="020F9184" w:rsidR="0047700C" w:rsidRPr="004C2412" w:rsidRDefault="00C7359A" w:rsidP="0047700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Pr>
                <w:b/>
              </w:rPr>
              <w:t>100.00%</w:t>
            </w:r>
          </w:p>
        </w:tc>
      </w:tr>
      <w:tr w:rsidR="00C7359A" w:rsidRPr="004C2412" w14:paraId="360914DA" w14:textId="77777777" w:rsidTr="00C7359A">
        <w:trPr>
          <w:cnfStyle w:val="010000000000" w:firstRow="0" w:lastRow="1"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60914D1" w14:textId="577C788B" w:rsidR="0047700C" w:rsidRPr="004C2412" w:rsidRDefault="0047700C" w:rsidP="0047700C">
            <w:pPr>
              <w:spacing w:before="0"/>
              <w:ind w:left="0"/>
              <w:rPr>
                <w:noProof/>
              </w:rPr>
            </w:pPr>
            <w:r w:rsidRPr="004C2412">
              <w:rPr>
                <w:noProof/>
              </w:rPr>
              <w:t>Total Financial Penalties</w:t>
            </w:r>
          </w:p>
        </w:tc>
        <w:tc>
          <w:tcPr>
            <w:tcW w:w="1701" w:type="dxa"/>
            <w:vAlign w:val="center"/>
          </w:tcPr>
          <w:p w14:paraId="360914D2" w14:textId="262112D5" w:rsidR="0047700C" w:rsidRPr="004C2412" w:rsidRDefault="006D7AC9" w:rsidP="0047700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t>59,111</w:t>
            </w:r>
          </w:p>
        </w:tc>
        <w:tc>
          <w:tcPr>
            <w:tcW w:w="1559" w:type="dxa"/>
            <w:vAlign w:val="center"/>
          </w:tcPr>
          <w:p w14:paraId="360914D3" w14:textId="54EE2AB9" w:rsidR="0047700C" w:rsidRPr="004C2412" w:rsidRDefault="006D7AC9" w:rsidP="0047700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t>62.31%</w:t>
            </w:r>
          </w:p>
        </w:tc>
        <w:tc>
          <w:tcPr>
            <w:tcW w:w="1701" w:type="dxa"/>
            <w:vAlign w:val="center"/>
          </w:tcPr>
          <w:p w14:paraId="360914D4" w14:textId="2C1D8FAF" w:rsidR="0047700C" w:rsidRPr="004C2412" w:rsidRDefault="00113A47" w:rsidP="0047700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t>35,762</w:t>
            </w:r>
          </w:p>
        </w:tc>
        <w:tc>
          <w:tcPr>
            <w:tcW w:w="1560" w:type="dxa"/>
            <w:vAlign w:val="center"/>
          </w:tcPr>
          <w:p w14:paraId="360914D5" w14:textId="4BAE1868" w:rsidR="0047700C" w:rsidRPr="004C2412" w:rsidRDefault="00113A47" w:rsidP="0047700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t>37,69%</w:t>
            </w:r>
          </w:p>
        </w:tc>
        <w:tc>
          <w:tcPr>
            <w:tcW w:w="1559" w:type="dxa"/>
            <w:vAlign w:val="center"/>
          </w:tcPr>
          <w:p w14:paraId="360914D6" w14:textId="042A2547" w:rsidR="0047700C" w:rsidRPr="004C2412" w:rsidRDefault="00113A47" w:rsidP="0047700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t>94,873</w:t>
            </w:r>
          </w:p>
        </w:tc>
        <w:tc>
          <w:tcPr>
            <w:tcW w:w="1559" w:type="dxa"/>
            <w:vAlign w:val="center"/>
          </w:tcPr>
          <w:p w14:paraId="360914D7" w14:textId="082EAF66" w:rsidR="0047700C" w:rsidRPr="004C2412" w:rsidRDefault="00113A47" w:rsidP="0047700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t>100.00%</w:t>
            </w:r>
          </w:p>
        </w:tc>
        <w:tc>
          <w:tcPr>
            <w:tcW w:w="1559" w:type="dxa"/>
            <w:vAlign w:val="center"/>
          </w:tcPr>
          <w:p w14:paraId="360914D8" w14:textId="205596C9" w:rsidR="0047700C" w:rsidRPr="004C2412" w:rsidRDefault="00C7359A" w:rsidP="0047700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t>394,444</w:t>
            </w:r>
          </w:p>
        </w:tc>
        <w:tc>
          <w:tcPr>
            <w:tcW w:w="1556" w:type="dxa"/>
            <w:vAlign w:val="center"/>
          </w:tcPr>
          <w:p w14:paraId="360914D9" w14:textId="771F69F8" w:rsidR="0047700C" w:rsidRPr="004C2412" w:rsidRDefault="00C7359A" w:rsidP="0047700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t>100.00%</w:t>
            </w:r>
          </w:p>
        </w:tc>
      </w:tr>
    </w:tbl>
    <w:p w14:paraId="3ADD3355" w14:textId="441908C2" w:rsidR="00C95ED9" w:rsidRPr="004C2412" w:rsidRDefault="001975E9" w:rsidP="00F65699">
      <w:pPr>
        <w:spacing w:after="120" w:line="240" w:lineRule="auto"/>
        <w:ind w:left="0"/>
        <w:rPr>
          <w:noProof/>
        </w:rPr>
      </w:pPr>
      <w:r w:rsidRPr="004C2412">
        <w:rPr>
          <w:b/>
        </w:rPr>
        <w:t>^</w:t>
      </w:r>
      <w:r w:rsidRPr="004C2412">
        <w:rPr>
          <w:noProof/>
        </w:rPr>
        <w:t>For example, issue of Employment Contact Certificates and some Job Plan failures (Reconnection)</w:t>
      </w:r>
      <w:r w:rsidR="00C95ED9" w:rsidRPr="004C2412">
        <w:rPr>
          <w:noProof/>
        </w:rPr>
        <w:t>.</w:t>
      </w:r>
    </w:p>
    <w:p w14:paraId="360914DD" w14:textId="30F1ABBE" w:rsidR="00EE4D0A" w:rsidRPr="004C2412" w:rsidRDefault="00EE4D0A" w:rsidP="008A2A10">
      <w:pPr>
        <w:spacing w:before="360" w:after="120" w:line="240" w:lineRule="auto"/>
        <w:ind w:left="0"/>
      </w:pPr>
      <w:r w:rsidRPr="004C2412">
        <w:t>Appointment related failures comprise of financial penalties for non-attendance at a provider or Department of Human Services (including Comprehensive Compliance Assessment) appointment.</w:t>
      </w:r>
    </w:p>
    <w:p w14:paraId="69B0345C" w14:textId="17464120" w:rsidR="00BF33EB" w:rsidRPr="004C2412" w:rsidRDefault="00EE4D0A" w:rsidP="00DE0793">
      <w:pPr>
        <w:spacing w:before="0" w:after="240" w:line="240" w:lineRule="auto"/>
        <w:ind w:left="0"/>
      </w:pPr>
      <w:r w:rsidRPr="004C2412">
        <w:rPr>
          <w:bCs/>
        </w:rPr>
        <w:t xml:space="preserve">Reconnection failures for not entering into a Job Plan </w:t>
      </w:r>
      <w:proofErr w:type="gramStart"/>
      <w:r w:rsidRPr="004C2412">
        <w:rPr>
          <w:bCs/>
        </w:rPr>
        <w:t>can be applied</w:t>
      </w:r>
      <w:proofErr w:type="gramEnd"/>
      <w:r w:rsidRPr="004C2412">
        <w:rPr>
          <w:bCs/>
        </w:rPr>
        <w:t xml:space="preserve"> when a job seeker does not attend an appointment with their Provider then refuses to enter into a Job Plan at their re-engagement appointment. This refusal represents the job seekers first refusal to enter into a Job Plan.</w:t>
      </w:r>
    </w:p>
    <w:p w14:paraId="360914DF" w14:textId="4397280C" w:rsidR="000D0FBC" w:rsidRPr="004C2412" w:rsidRDefault="00D6515C" w:rsidP="00A609AA">
      <w:pPr>
        <w:pStyle w:val="Heading3"/>
        <w:numPr>
          <w:ilvl w:val="0"/>
          <w:numId w:val="0"/>
        </w:numPr>
      </w:pPr>
      <w:bookmarkStart w:id="49" w:name="_Toc526864455"/>
      <w:r w:rsidRPr="004C2412">
        <w:t xml:space="preserve">13 c </w:t>
      </w:r>
      <w:r w:rsidR="00606BF5" w:rsidRPr="004C2412">
        <w:t>–</w:t>
      </w:r>
      <w:r w:rsidRPr="004C2412">
        <w:t xml:space="preserve"> </w:t>
      </w:r>
      <w:r w:rsidR="009F1614" w:rsidRPr="004C2412">
        <w:t>Connection Failure</w:t>
      </w:r>
      <w:r w:rsidR="00945CD3" w:rsidRPr="004C2412">
        <w:t xml:space="preserve">s - 1 </w:t>
      </w:r>
      <w:r w:rsidR="00117B2B">
        <w:t>April</w:t>
      </w:r>
      <w:r w:rsidR="0052531E">
        <w:t xml:space="preserve"> </w:t>
      </w:r>
      <w:r w:rsidR="00945CD3" w:rsidRPr="004C2412">
        <w:t>to 3</w:t>
      </w:r>
      <w:r w:rsidR="00117B2B">
        <w:t>0</w:t>
      </w:r>
      <w:r w:rsidR="00945CD3" w:rsidRPr="004C2412">
        <w:t xml:space="preserve"> </w:t>
      </w:r>
      <w:r w:rsidR="00117B2B">
        <w:t>June</w:t>
      </w:r>
      <w:r w:rsidR="00AF6D27">
        <w:t xml:space="preserve"> </w:t>
      </w:r>
      <w:r w:rsidR="00945CD3" w:rsidRPr="004C2412">
        <w:t>201</w:t>
      </w:r>
      <w:r w:rsidR="00CC5D90" w:rsidRPr="004C2412">
        <w:t>8</w:t>
      </w:r>
      <w:bookmarkEnd w:id="49"/>
      <w:r w:rsidR="006807C8" w:rsidRPr="004C2412">
        <w:t xml:space="preserve"> </w:t>
      </w:r>
    </w:p>
    <w:tbl>
      <w:tblPr>
        <w:tblStyle w:val="LeftAlignTable"/>
        <w:tblW w:w="0" w:type="auto"/>
        <w:tblInd w:w="-5" w:type="dxa"/>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297"/>
        <w:gridCol w:w="1088"/>
        <w:gridCol w:w="1187"/>
        <w:gridCol w:w="1462"/>
        <w:gridCol w:w="1341"/>
        <w:gridCol w:w="1311"/>
        <w:gridCol w:w="1242"/>
        <w:gridCol w:w="1260"/>
        <w:gridCol w:w="1260"/>
      </w:tblGrid>
      <w:tr w:rsidR="00877281" w:rsidRPr="004C2412" w14:paraId="360914E9" w14:textId="77777777" w:rsidTr="001C41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97" w:type="dxa"/>
            <w:shd w:val="clear" w:color="auto" w:fill="auto"/>
            <w:vAlign w:val="center"/>
          </w:tcPr>
          <w:p w14:paraId="360914E0" w14:textId="65D99E5C" w:rsidR="001F7420" w:rsidRPr="004C2412" w:rsidRDefault="00B77957" w:rsidP="00910012">
            <w:pPr>
              <w:spacing w:before="0"/>
              <w:ind w:left="0"/>
            </w:pPr>
            <w:r w:rsidRPr="00921BB5">
              <w:t xml:space="preserve">Types of </w:t>
            </w:r>
            <w:r w:rsidR="001F7420" w:rsidRPr="00921BB5">
              <w:t>Connection Failures</w:t>
            </w:r>
          </w:p>
        </w:tc>
        <w:tc>
          <w:tcPr>
            <w:tcW w:w="1088" w:type="dxa"/>
            <w:vAlign w:val="center"/>
          </w:tcPr>
          <w:p w14:paraId="360914E1"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Male</w:t>
            </w:r>
          </w:p>
        </w:tc>
        <w:tc>
          <w:tcPr>
            <w:tcW w:w="1187" w:type="dxa"/>
            <w:vAlign w:val="center"/>
          </w:tcPr>
          <w:p w14:paraId="360914E2"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Male %</w:t>
            </w:r>
          </w:p>
        </w:tc>
        <w:tc>
          <w:tcPr>
            <w:tcW w:w="1462" w:type="dxa"/>
            <w:vAlign w:val="center"/>
          </w:tcPr>
          <w:p w14:paraId="360914E3"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Female</w:t>
            </w:r>
          </w:p>
        </w:tc>
        <w:tc>
          <w:tcPr>
            <w:tcW w:w="1341" w:type="dxa"/>
            <w:vAlign w:val="center"/>
          </w:tcPr>
          <w:p w14:paraId="360914E4"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Female %</w:t>
            </w:r>
          </w:p>
        </w:tc>
        <w:tc>
          <w:tcPr>
            <w:tcW w:w="1311" w:type="dxa"/>
            <w:vAlign w:val="center"/>
          </w:tcPr>
          <w:p w14:paraId="360914E5"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242" w:type="dxa"/>
            <w:vAlign w:val="center"/>
          </w:tcPr>
          <w:p w14:paraId="360914E6"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w:t>
            </w:r>
          </w:p>
        </w:tc>
        <w:tc>
          <w:tcPr>
            <w:tcW w:w="1260" w:type="dxa"/>
            <w:vAlign w:val="center"/>
          </w:tcPr>
          <w:p w14:paraId="360914E7"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1260" w:type="dxa"/>
            <w:vAlign w:val="center"/>
          </w:tcPr>
          <w:p w14:paraId="360914E8"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117B2B" w:rsidRPr="004C2412" w14:paraId="360914F3" w14:textId="77777777" w:rsidTr="00910012">
        <w:trPr>
          <w:trHeight w:val="501"/>
        </w:trPr>
        <w:tc>
          <w:tcPr>
            <w:cnfStyle w:val="001000000000" w:firstRow="0" w:lastRow="0" w:firstColumn="1" w:lastColumn="0" w:oddVBand="0" w:evenVBand="0" w:oddHBand="0" w:evenHBand="0" w:firstRowFirstColumn="0" w:firstRowLastColumn="0" w:lastRowFirstColumn="0" w:lastRowLastColumn="0"/>
            <w:tcW w:w="4297" w:type="dxa"/>
            <w:vAlign w:val="center"/>
          </w:tcPr>
          <w:p w14:paraId="360914EA" w14:textId="77777777" w:rsidR="00117B2B" w:rsidRPr="004C2412" w:rsidRDefault="00117B2B" w:rsidP="00117B2B">
            <w:pPr>
              <w:spacing w:before="0"/>
              <w:ind w:left="0"/>
              <w:rPr>
                <w:vertAlign w:val="superscript"/>
              </w:rPr>
            </w:pPr>
            <w:r w:rsidRPr="004C2412">
              <w:t>Failure to attend third party appointment</w:t>
            </w:r>
            <w:r w:rsidRPr="004C2412">
              <w:rPr>
                <w:sz w:val="28"/>
                <w:szCs w:val="28"/>
              </w:rPr>
              <w:t>^</w:t>
            </w:r>
          </w:p>
        </w:tc>
        <w:tc>
          <w:tcPr>
            <w:tcW w:w="1088" w:type="dxa"/>
            <w:vAlign w:val="center"/>
          </w:tcPr>
          <w:p w14:paraId="360914EB" w14:textId="0995F608"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182</w:t>
            </w:r>
          </w:p>
        </w:tc>
        <w:tc>
          <w:tcPr>
            <w:tcW w:w="1187" w:type="dxa"/>
            <w:vAlign w:val="center"/>
          </w:tcPr>
          <w:p w14:paraId="360914EC" w14:textId="425BD44B"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1.02%</w:t>
            </w:r>
          </w:p>
        </w:tc>
        <w:tc>
          <w:tcPr>
            <w:tcW w:w="1462" w:type="dxa"/>
            <w:vAlign w:val="center"/>
          </w:tcPr>
          <w:p w14:paraId="360914ED" w14:textId="0C159866"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76</w:t>
            </w:r>
          </w:p>
        </w:tc>
        <w:tc>
          <w:tcPr>
            <w:tcW w:w="1341" w:type="dxa"/>
            <w:vAlign w:val="center"/>
          </w:tcPr>
          <w:p w14:paraId="360914EE" w14:textId="72BDC40B"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0.43%</w:t>
            </w:r>
          </w:p>
        </w:tc>
        <w:tc>
          <w:tcPr>
            <w:tcW w:w="1311" w:type="dxa"/>
            <w:vAlign w:val="center"/>
          </w:tcPr>
          <w:p w14:paraId="360914EF" w14:textId="2D82D434"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258</w:t>
            </w:r>
          </w:p>
        </w:tc>
        <w:tc>
          <w:tcPr>
            <w:tcW w:w="1242" w:type="dxa"/>
            <w:vAlign w:val="center"/>
          </w:tcPr>
          <w:p w14:paraId="360914F0" w14:textId="030CFA8C"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1.45%</w:t>
            </w:r>
          </w:p>
        </w:tc>
        <w:tc>
          <w:tcPr>
            <w:tcW w:w="1260" w:type="dxa"/>
            <w:vAlign w:val="center"/>
          </w:tcPr>
          <w:p w14:paraId="360914F1" w14:textId="51D5F2D5"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1,216</w:t>
            </w:r>
          </w:p>
        </w:tc>
        <w:tc>
          <w:tcPr>
            <w:tcW w:w="1260" w:type="dxa"/>
            <w:vAlign w:val="center"/>
          </w:tcPr>
          <w:p w14:paraId="360914F2" w14:textId="792D45CC"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1.67%</w:t>
            </w:r>
          </w:p>
        </w:tc>
      </w:tr>
      <w:tr w:rsidR="00117B2B" w:rsidRPr="004C2412" w14:paraId="360914FD" w14:textId="77777777" w:rsidTr="00B219FE">
        <w:trPr>
          <w:trHeight w:val="465"/>
        </w:trPr>
        <w:tc>
          <w:tcPr>
            <w:cnfStyle w:val="001000000000" w:firstRow="0" w:lastRow="0" w:firstColumn="1" w:lastColumn="0" w:oddVBand="0" w:evenVBand="0" w:oddHBand="0" w:evenHBand="0" w:firstRowFirstColumn="0" w:firstRowLastColumn="0" w:lastRowFirstColumn="0" w:lastRowLastColumn="0"/>
            <w:tcW w:w="4297" w:type="dxa"/>
          </w:tcPr>
          <w:p w14:paraId="360914F4" w14:textId="77777777" w:rsidR="00117B2B" w:rsidRPr="004C2412" w:rsidRDefault="00117B2B" w:rsidP="00117B2B">
            <w:pPr>
              <w:ind w:left="0"/>
            </w:pPr>
            <w:r w:rsidRPr="004C2412">
              <w:t>Failure to attend CCA appointment</w:t>
            </w:r>
          </w:p>
        </w:tc>
        <w:tc>
          <w:tcPr>
            <w:tcW w:w="1088" w:type="dxa"/>
            <w:vAlign w:val="center"/>
          </w:tcPr>
          <w:p w14:paraId="360914F5" w14:textId="538A211E"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1,197</w:t>
            </w:r>
          </w:p>
        </w:tc>
        <w:tc>
          <w:tcPr>
            <w:tcW w:w="1187" w:type="dxa"/>
            <w:vAlign w:val="center"/>
          </w:tcPr>
          <w:p w14:paraId="360914F6" w14:textId="55482407"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6.74%</w:t>
            </w:r>
          </w:p>
        </w:tc>
        <w:tc>
          <w:tcPr>
            <w:tcW w:w="1462" w:type="dxa"/>
            <w:vAlign w:val="center"/>
          </w:tcPr>
          <w:p w14:paraId="360914F7" w14:textId="0345A63B"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711</w:t>
            </w:r>
          </w:p>
        </w:tc>
        <w:tc>
          <w:tcPr>
            <w:tcW w:w="1341" w:type="dxa"/>
            <w:vAlign w:val="center"/>
          </w:tcPr>
          <w:p w14:paraId="360914F8" w14:textId="35851E16"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4.00%</w:t>
            </w:r>
          </w:p>
        </w:tc>
        <w:tc>
          <w:tcPr>
            <w:tcW w:w="1311" w:type="dxa"/>
            <w:vAlign w:val="center"/>
          </w:tcPr>
          <w:p w14:paraId="360914F9" w14:textId="50CF323D"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1,908</w:t>
            </w:r>
          </w:p>
        </w:tc>
        <w:tc>
          <w:tcPr>
            <w:tcW w:w="1242" w:type="dxa"/>
            <w:vAlign w:val="center"/>
          </w:tcPr>
          <w:p w14:paraId="360914FA" w14:textId="12854367"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10.74%</w:t>
            </w:r>
          </w:p>
        </w:tc>
        <w:tc>
          <w:tcPr>
            <w:tcW w:w="1260" w:type="dxa"/>
            <w:vAlign w:val="center"/>
          </w:tcPr>
          <w:p w14:paraId="360914FB" w14:textId="393A462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10,685</w:t>
            </w:r>
          </w:p>
        </w:tc>
        <w:tc>
          <w:tcPr>
            <w:tcW w:w="1260" w:type="dxa"/>
            <w:vAlign w:val="center"/>
          </w:tcPr>
          <w:p w14:paraId="360914FC" w14:textId="3E5949E6"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14.70%</w:t>
            </w:r>
          </w:p>
        </w:tc>
      </w:tr>
      <w:tr w:rsidR="00117B2B" w:rsidRPr="004C2412" w14:paraId="36091507" w14:textId="77777777" w:rsidTr="00910012">
        <w:tc>
          <w:tcPr>
            <w:cnfStyle w:val="001000000000" w:firstRow="0" w:lastRow="0" w:firstColumn="1" w:lastColumn="0" w:oddVBand="0" w:evenVBand="0" w:oddHBand="0" w:evenHBand="0" w:firstRowFirstColumn="0" w:firstRowLastColumn="0" w:lastRowFirstColumn="0" w:lastRowLastColumn="0"/>
            <w:tcW w:w="4297" w:type="dxa"/>
            <w:vAlign w:val="center"/>
          </w:tcPr>
          <w:p w14:paraId="360914FE" w14:textId="77777777" w:rsidR="00117B2B" w:rsidRPr="004C2412" w:rsidRDefault="00117B2B" w:rsidP="00117B2B">
            <w:pPr>
              <w:spacing w:before="0"/>
              <w:ind w:left="0"/>
            </w:pPr>
            <w:r w:rsidRPr="004C2412">
              <w:t>Failure to comply with Job Search requirement in a Job Plan</w:t>
            </w:r>
          </w:p>
        </w:tc>
        <w:tc>
          <w:tcPr>
            <w:tcW w:w="1088" w:type="dxa"/>
            <w:vAlign w:val="center"/>
          </w:tcPr>
          <w:p w14:paraId="360914FF" w14:textId="173867F7"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10,653</w:t>
            </w:r>
          </w:p>
        </w:tc>
        <w:tc>
          <w:tcPr>
            <w:tcW w:w="1187" w:type="dxa"/>
            <w:vAlign w:val="center"/>
          </w:tcPr>
          <w:p w14:paraId="36091500" w14:textId="3CC5A121"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59.94%</w:t>
            </w:r>
          </w:p>
        </w:tc>
        <w:tc>
          <w:tcPr>
            <w:tcW w:w="1462" w:type="dxa"/>
            <w:vAlign w:val="center"/>
          </w:tcPr>
          <w:p w14:paraId="36091501" w14:textId="5B55DD85"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4</w:t>
            </w:r>
            <w:r>
              <w:t>,</w:t>
            </w:r>
            <w:r w:rsidRPr="0086519A">
              <w:t>546</w:t>
            </w:r>
          </w:p>
        </w:tc>
        <w:tc>
          <w:tcPr>
            <w:tcW w:w="1341" w:type="dxa"/>
            <w:vAlign w:val="center"/>
          </w:tcPr>
          <w:p w14:paraId="36091502" w14:textId="4CAC7A92"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25.58%</w:t>
            </w:r>
          </w:p>
        </w:tc>
        <w:tc>
          <w:tcPr>
            <w:tcW w:w="1311" w:type="dxa"/>
            <w:vAlign w:val="center"/>
          </w:tcPr>
          <w:p w14:paraId="36091503" w14:textId="3E7DA725"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15,199</w:t>
            </w:r>
          </w:p>
        </w:tc>
        <w:tc>
          <w:tcPr>
            <w:tcW w:w="1242" w:type="dxa"/>
            <w:vAlign w:val="center"/>
          </w:tcPr>
          <w:p w14:paraId="36091504" w14:textId="3613994B"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85.52%</w:t>
            </w:r>
          </w:p>
        </w:tc>
        <w:tc>
          <w:tcPr>
            <w:tcW w:w="1260" w:type="dxa"/>
            <w:vAlign w:val="center"/>
          </w:tcPr>
          <w:p w14:paraId="36091505" w14:textId="2854AFE5"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58,596</w:t>
            </w:r>
          </w:p>
        </w:tc>
        <w:tc>
          <w:tcPr>
            <w:tcW w:w="1260" w:type="dxa"/>
            <w:vAlign w:val="center"/>
          </w:tcPr>
          <w:p w14:paraId="36091506" w14:textId="69D66D73"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80.61%</w:t>
            </w:r>
          </w:p>
        </w:tc>
      </w:tr>
      <w:tr w:rsidR="00117B2B" w:rsidRPr="004C2412" w14:paraId="36091511" w14:textId="77777777" w:rsidTr="00910012">
        <w:tc>
          <w:tcPr>
            <w:cnfStyle w:val="001000000000" w:firstRow="0" w:lastRow="0" w:firstColumn="1" w:lastColumn="0" w:oddVBand="0" w:evenVBand="0" w:oddHBand="0" w:evenHBand="0" w:firstRowFirstColumn="0" w:firstRowLastColumn="0" w:lastRowFirstColumn="0" w:lastRowLastColumn="0"/>
            <w:tcW w:w="4297" w:type="dxa"/>
            <w:vAlign w:val="center"/>
          </w:tcPr>
          <w:p w14:paraId="36091508" w14:textId="77777777" w:rsidR="00117B2B" w:rsidRPr="004C2412" w:rsidRDefault="00117B2B" w:rsidP="00117B2B">
            <w:pPr>
              <w:spacing w:before="0"/>
              <w:ind w:left="0"/>
            </w:pPr>
            <w:r w:rsidRPr="004C2412">
              <w:t>Failure to enter a Job Plan with provider or Department of Human Services</w:t>
            </w:r>
          </w:p>
        </w:tc>
        <w:tc>
          <w:tcPr>
            <w:tcW w:w="1088" w:type="dxa"/>
            <w:vAlign w:val="center"/>
          </w:tcPr>
          <w:p w14:paraId="36091509" w14:textId="21AED6E6"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134</w:t>
            </w:r>
          </w:p>
        </w:tc>
        <w:tc>
          <w:tcPr>
            <w:tcW w:w="1187" w:type="dxa"/>
            <w:vAlign w:val="center"/>
          </w:tcPr>
          <w:p w14:paraId="3609150A" w14:textId="16DCFD6D"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0.75%</w:t>
            </w:r>
          </w:p>
        </w:tc>
        <w:tc>
          <w:tcPr>
            <w:tcW w:w="1462" w:type="dxa"/>
            <w:vAlign w:val="center"/>
          </w:tcPr>
          <w:p w14:paraId="3609150B" w14:textId="60AD092C"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53</w:t>
            </w:r>
          </w:p>
        </w:tc>
        <w:tc>
          <w:tcPr>
            <w:tcW w:w="1341" w:type="dxa"/>
            <w:vAlign w:val="center"/>
          </w:tcPr>
          <w:p w14:paraId="3609150C" w14:textId="15141B8E"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0.30%</w:t>
            </w:r>
          </w:p>
        </w:tc>
        <w:tc>
          <w:tcPr>
            <w:tcW w:w="1311" w:type="dxa"/>
            <w:vAlign w:val="center"/>
          </w:tcPr>
          <w:p w14:paraId="3609150D" w14:textId="63C1750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187</w:t>
            </w:r>
          </w:p>
        </w:tc>
        <w:tc>
          <w:tcPr>
            <w:tcW w:w="1242" w:type="dxa"/>
            <w:vAlign w:val="center"/>
          </w:tcPr>
          <w:p w14:paraId="3609150E" w14:textId="3CE84CC2"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1.05%</w:t>
            </w:r>
          </w:p>
        </w:tc>
        <w:tc>
          <w:tcPr>
            <w:tcW w:w="1260" w:type="dxa"/>
            <w:vAlign w:val="center"/>
          </w:tcPr>
          <w:p w14:paraId="3609150F" w14:textId="4F70C592"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875</w:t>
            </w:r>
          </w:p>
        </w:tc>
        <w:tc>
          <w:tcPr>
            <w:tcW w:w="1260" w:type="dxa"/>
            <w:vAlign w:val="center"/>
          </w:tcPr>
          <w:p w14:paraId="36091510" w14:textId="15E43306"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1.20%</w:t>
            </w:r>
          </w:p>
        </w:tc>
      </w:tr>
      <w:tr w:rsidR="00117B2B" w:rsidRPr="004C2412" w14:paraId="3609151B" w14:textId="77777777" w:rsidTr="00910012">
        <w:tc>
          <w:tcPr>
            <w:cnfStyle w:val="001000000000" w:firstRow="0" w:lastRow="0" w:firstColumn="1" w:lastColumn="0" w:oddVBand="0" w:evenVBand="0" w:oddHBand="0" w:evenHBand="0" w:firstRowFirstColumn="0" w:firstRowLastColumn="0" w:lastRowFirstColumn="0" w:lastRowLastColumn="0"/>
            <w:tcW w:w="4297" w:type="dxa"/>
            <w:vAlign w:val="center"/>
          </w:tcPr>
          <w:p w14:paraId="36091512" w14:textId="77777777" w:rsidR="00117B2B" w:rsidRPr="004C2412" w:rsidRDefault="00117B2B" w:rsidP="00117B2B">
            <w:pPr>
              <w:spacing w:before="0"/>
              <w:ind w:left="0"/>
            </w:pPr>
            <w:r w:rsidRPr="004C2412">
              <w:t>Failure to attend Department of Human Services appointment</w:t>
            </w:r>
          </w:p>
        </w:tc>
        <w:tc>
          <w:tcPr>
            <w:tcW w:w="1088" w:type="dxa"/>
            <w:vAlign w:val="center"/>
          </w:tcPr>
          <w:p w14:paraId="36091513" w14:textId="7E867B9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104</w:t>
            </w:r>
          </w:p>
        </w:tc>
        <w:tc>
          <w:tcPr>
            <w:tcW w:w="1187" w:type="dxa"/>
            <w:vAlign w:val="center"/>
          </w:tcPr>
          <w:p w14:paraId="36091514" w14:textId="0282AFF7"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0.59%</w:t>
            </w:r>
          </w:p>
        </w:tc>
        <w:tc>
          <w:tcPr>
            <w:tcW w:w="1462" w:type="dxa"/>
            <w:vAlign w:val="center"/>
          </w:tcPr>
          <w:p w14:paraId="36091515" w14:textId="443ED97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116</w:t>
            </w:r>
          </w:p>
        </w:tc>
        <w:tc>
          <w:tcPr>
            <w:tcW w:w="1341" w:type="dxa"/>
            <w:vAlign w:val="center"/>
          </w:tcPr>
          <w:p w14:paraId="36091516" w14:textId="27DB81AC"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0.65%</w:t>
            </w:r>
          </w:p>
        </w:tc>
        <w:tc>
          <w:tcPr>
            <w:tcW w:w="1311" w:type="dxa"/>
            <w:vAlign w:val="center"/>
          </w:tcPr>
          <w:p w14:paraId="36091517" w14:textId="224FDEAA"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220</w:t>
            </w:r>
          </w:p>
        </w:tc>
        <w:tc>
          <w:tcPr>
            <w:tcW w:w="1242" w:type="dxa"/>
            <w:vAlign w:val="center"/>
          </w:tcPr>
          <w:p w14:paraId="36091518" w14:textId="227D2FCF"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1.24%</w:t>
            </w:r>
          </w:p>
        </w:tc>
        <w:tc>
          <w:tcPr>
            <w:tcW w:w="1260" w:type="dxa"/>
            <w:vAlign w:val="center"/>
          </w:tcPr>
          <w:p w14:paraId="36091519" w14:textId="2875043F"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1,320</w:t>
            </w:r>
          </w:p>
        </w:tc>
        <w:tc>
          <w:tcPr>
            <w:tcW w:w="1260" w:type="dxa"/>
            <w:vAlign w:val="center"/>
          </w:tcPr>
          <w:p w14:paraId="3609151A" w14:textId="100C5AA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6519A">
              <w:t>1.82%</w:t>
            </w:r>
          </w:p>
        </w:tc>
      </w:tr>
      <w:tr w:rsidR="00117B2B" w:rsidRPr="004C2412" w14:paraId="36091525" w14:textId="77777777" w:rsidTr="00910012">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297" w:type="dxa"/>
            <w:vAlign w:val="center"/>
          </w:tcPr>
          <w:p w14:paraId="3609151C" w14:textId="77777777" w:rsidR="00117B2B" w:rsidRPr="004C2412" w:rsidRDefault="00117B2B" w:rsidP="00117B2B">
            <w:pPr>
              <w:spacing w:before="0"/>
              <w:ind w:left="0"/>
            </w:pPr>
            <w:r w:rsidRPr="004C2412">
              <w:t>Total</w:t>
            </w:r>
          </w:p>
        </w:tc>
        <w:tc>
          <w:tcPr>
            <w:tcW w:w="1088" w:type="dxa"/>
            <w:vAlign w:val="center"/>
          </w:tcPr>
          <w:p w14:paraId="3609151D" w14:textId="1480C995"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86519A">
              <w:t>12,270</w:t>
            </w:r>
          </w:p>
        </w:tc>
        <w:tc>
          <w:tcPr>
            <w:tcW w:w="1187" w:type="dxa"/>
            <w:vAlign w:val="center"/>
          </w:tcPr>
          <w:p w14:paraId="3609151E" w14:textId="6EC125DD"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86519A">
              <w:t>69.04%</w:t>
            </w:r>
          </w:p>
        </w:tc>
        <w:tc>
          <w:tcPr>
            <w:tcW w:w="1462" w:type="dxa"/>
            <w:vAlign w:val="center"/>
          </w:tcPr>
          <w:p w14:paraId="3609151F" w14:textId="0A88FE54"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86519A">
              <w:t>5,502</w:t>
            </w:r>
          </w:p>
        </w:tc>
        <w:tc>
          <w:tcPr>
            <w:tcW w:w="1341" w:type="dxa"/>
            <w:vAlign w:val="center"/>
          </w:tcPr>
          <w:p w14:paraId="36091520" w14:textId="6A0E83A7"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86519A">
              <w:t>30.96%</w:t>
            </w:r>
          </w:p>
        </w:tc>
        <w:tc>
          <w:tcPr>
            <w:tcW w:w="1311" w:type="dxa"/>
            <w:vAlign w:val="center"/>
          </w:tcPr>
          <w:p w14:paraId="36091521" w14:textId="333B7776"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86519A">
              <w:t>17,772</w:t>
            </w:r>
          </w:p>
        </w:tc>
        <w:tc>
          <w:tcPr>
            <w:tcW w:w="1242" w:type="dxa"/>
            <w:vAlign w:val="center"/>
          </w:tcPr>
          <w:p w14:paraId="36091522" w14:textId="63BB4B1E"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86519A">
              <w:t>100.00%</w:t>
            </w:r>
          </w:p>
        </w:tc>
        <w:tc>
          <w:tcPr>
            <w:tcW w:w="1260" w:type="dxa"/>
            <w:vAlign w:val="center"/>
          </w:tcPr>
          <w:p w14:paraId="36091523" w14:textId="4592EE56"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86519A">
              <w:t>72,692</w:t>
            </w:r>
          </w:p>
        </w:tc>
        <w:tc>
          <w:tcPr>
            <w:tcW w:w="1260" w:type="dxa"/>
            <w:vAlign w:val="center"/>
          </w:tcPr>
          <w:p w14:paraId="36091524" w14:textId="5F3304A9"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86519A">
              <w:t>100.00%</w:t>
            </w:r>
          </w:p>
        </w:tc>
      </w:tr>
    </w:tbl>
    <w:p w14:paraId="36091526" w14:textId="77777777" w:rsidR="00CA1CCB" w:rsidRPr="004C2412" w:rsidRDefault="00CA1CCB" w:rsidP="00F65699">
      <w:pPr>
        <w:spacing w:after="240" w:line="240" w:lineRule="auto"/>
        <w:ind w:left="0"/>
      </w:pPr>
      <w:r w:rsidRPr="004C2412">
        <w:t>Failure to attend an initial appointment with a third party, such as Work for the Dole host organisation, can result in a Connection Failure.</w:t>
      </w:r>
    </w:p>
    <w:p w14:paraId="36091527" w14:textId="40900DDC" w:rsidR="00773D41" w:rsidRPr="004C2412" w:rsidRDefault="00CA1CCB" w:rsidP="00A609AA">
      <w:pPr>
        <w:spacing w:before="240" w:after="240" w:line="240" w:lineRule="auto"/>
        <w:ind w:left="0"/>
        <w:rPr>
          <w:noProof/>
        </w:rPr>
      </w:pPr>
      <w:r w:rsidRPr="004C2412">
        <w:rPr>
          <w:sz w:val="28"/>
          <w:szCs w:val="28"/>
          <w:vertAlign w:val="superscript"/>
        </w:rPr>
        <w:t xml:space="preserve">^ </w:t>
      </w:r>
      <w:r w:rsidRPr="004C2412">
        <w:rPr>
          <w:noProof/>
        </w:rPr>
        <w:t>Non-attendance at employment</w:t>
      </w:r>
      <w:r w:rsidR="005370E3" w:rsidRPr="004C2412">
        <w:rPr>
          <w:noProof/>
        </w:rPr>
        <w:t xml:space="preserve"> services</w:t>
      </w:r>
      <w:r w:rsidRPr="004C2412">
        <w:rPr>
          <w:noProof/>
        </w:rPr>
        <w:t xml:space="preserve"> provider appointments is reported through a Non-Attendance Report and results in an income support payment suspension rather than </w:t>
      </w:r>
      <w:r w:rsidR="005370E3" w:rsidRPr="004C2412">
        <w:rPr>
          <w:noProof/>
        </w:rPr>
        <w:t>a Connection Failure. Providers can</w:t>
      </w:r>
      <w:r w:rsidRPr="004C2412">
        <w:rPr>
          <w:noProof/>
        </w:rPr>
        <w:t xml:space="preserve"> recommend to the Department of Human Services </w:t>
      </w:r>
      <w:r w:rsidR="005370E3" w:rsidRPr="004C2412">
        <w:rPr>
          <w:noProof/>
        </w:rPr>
        <w:t xml:space="preserve">that </w:t>
      </w:r>
      <w:r w:rsidRPr="004C2412">
        <w:rPr>
          <w:noProof/>
        </w:rPr>
        <w:t>a financial penalty be applied where they consider the job seeker had no reasonable excuse for non-attendance at the appointment.</w:t>
      </w:r>
    </w:p>
    <w:p w14:paraId="3609152A" w14:textId="61EC3BF1" w:rsidR="00E8387B" w:rsidRPr="004C2412" w:rsidRDefault="00D6515C" w:rsidP="00A609AA">
      <w:pPr>
        <w:pStyle w:val="Heading3"/>
        <w:numPr>
          <w:ilvl w:val="0"/>
          <w:numId w:val="0"/>
        </w:numPr>
      </w:pPr>
      <w:bookmarkStart w:id="50" w:name="_Toc526864456"/>
      <w:r w:rsidRPr="004C2412">
        <w:t xml:space="preserve">13 d </w:t>
      </w:r>
      <w:r w:rsidR="00606BF5" w:rsidRPr="004C2412">
        <w:t>–</w:t>
      </w:r>
      <w:r w:rsidRPr="004C2412">
        <w:t xml:space="preserve"> </w:t>
      </w:r>
      <w:r w:rsidR="009F1614" w:rsidRPr="004C2412">
        <w:t>Income Support Payment Suspensions</w:t>
      </w:r>
      <w:r w:rsidR="00945CD3" w:rsidRPr="004C2412">
        <w:t xml:space="preserve"> </w:t>
      </w:r>
      <w:r w:rsidR="00C95ED9" w:rsidRPr="004C2412">
        <w:t>-</w:t>
      </w:r>
      <w:r w:rsidR="00945CD3" w:rsidRPr="004C2412">
        <w:t xml:space="preserve"> 1 </w:t>
      </w:r>
      <w:r w:rsidR="00117B2B">
        <w:t>April</w:t>
      </w:r>
      <w:r w:rsidR="00117B2B" w:rsidRPr="004C2412">
        <w:t xml:space="preserve"> </w:t>
      </w:r>
      <w:r w:rsidR="00945CD3" w:rsidRPr="004C2412">
        <w:t>to 3</w:t>
      </w:r>
      <w:r w:rsidR="00117B2B">
        <w:t>0 June</w:t>
      </w:r>
      <w:r w:rsidR="00CC5D90" w:rsidRPr="004C2412">
        <w:t xml:space="preserve"> </w:t>
      </w:r>
      <w:r w:rsidR="00945CD3" w:rsidRPr="004C2412">
        <w:t>201</w:t>
      </w:r>
      <w:r w:rsidR="00CC5D90" w:rsidRPr="004C2412">
        <w:t>8</w:t>
      </w:r>
      <w:bookmarkEnd w:id="50"/>
    </w:p>
    <w:tbl>
      <w:tblPr>
        <w:tblStyle w:val="LeftAlignTable"/>
        <w:tblW w:w="0" w:type="auto"/>
        <w:tblInd w:w="-5" w:type="dxa"/>
        <w:tblLook w:val="06A0" w:firstRow="1" w:lastRow="0" w:firstColumn="1" w:lastColumn="0" w:noHBand="1" w:noVBand="1"/>
        <w:tblCaption w:val="Financial Penalties, Connection Failures, Income Support Payment Suspensions and CCAs by Gender"/>
        <w:tblDescription w:val="Financial Penalties, Connection Failures, Income Support Payment Suspensions and CCAs by Gender"/>
      </w:tblPr>
      <w:tblGrid>
        <w:gridCol w:w="4355"/>
        <w:gridCol w:w="1075"/>
        <w:gridCol w:w="1193"/>
        <w:gridCol w:w="1466"/>
        <w:gridCol w:w="1342"/>
        <w:gridCol w:w="1324"/>
        <w:gridCol w:w="1209"/>
        <w:gridCol w:w="1242"/>
        <w:gridCol w:w="1242"/>
      </w:tblGrid>
      <w:tr w:rsidR="00877281" w:rsidRPr="004C2412" w14:paraId="36091534" w14:textId="77777777" w:rsidTr="001C41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55" w:type="dxa"/>
            <w:shd w:val="clear" w:color="auto" w:fill="auto"/>
            <w:vAlign w:val="center"/>
          </w:tcPr>
          <w:p w14:paraId="3609152B" w14:textId="13FB3F86" w:rsidR="001F7420" w:rsidRPr="004C2412" w:rsidRDefault="00B77957" w:rsidP="00910012">
            <w:pPr>
              <w:spacing w:before="0"/>
              <w:ind w:left="0"/>
            </w:pPr>
            <w:r w:rsidRPr="004C2412">
              <w:t xml:space="preserve">Types of </w:t>
            </w:r>
            <w:r w:rsidR="008164F9" w:rsidRPr="004C2412">
              <w:t>Income Support payment suspensions</w:t>
            </w:r>
          </w:p>
        </w:tc>
        <w:tc>
          <w:tcPr>
            <w:tcW w:w="1075" w:type="dxa"/>
            <w:vAlign w:val="center"/>
          </w:tcPr>
          <w:p w14:paraId="3609152C"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Male</w:t>
            </w:r>
          </w:p>
        </w:tc>
        <w:tc>
          <w:tcPr>
            <w:tcW w:w="1193" w:type="dxa"/>
            <w:vAlign w:val="center"/>
          </w:tcPr>
          <w:p w14:paraId="3609152D"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Male %</w:t>
            </w:r>
          </w:p>
        </w:tc>
        <w:tc>
          <w:tcPr>
            <w:tcW w:w="1466" w:type="dxa"/>
            <w:vAlign w:val="center"/>
          </w:tcPr>
          <w:p w14:paraId="3609152E"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Female</w:t>
            </w:r>
          </w:p>
        </w:tc>
        <w:tc>
          <w:tcPr>
            <w:tcW w:w="1342" w:type="dxa"/>
            <w:vAlign w:val="center"/>
          </w:tcPr>
          <w:p w14:paraId="3609152F"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Female %</w:t>
            </w:r>
          </w:p>
        </w:tc>
        <w:tc>
          <w:tcPr>
            <w:tcW w:w="1324" w:type="dxa"/>
            <w:vAlign w:val="center"/>
          </w:tcPr>
          <w:p w14:paraId="36091530"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209" w:type="dxa"/>
            <w:vAlign w:val="center"/>
          </w:tcPr>
          <w:p w14:paraId="36091531"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w:t>
            </w:r>
          </w:p>
        </w:tc>
        <w:tc>
          <w:tcPr>
            <w:tcW w:w="1242" w:type="dxa"/>
            <w:vAlign w:val="center"/>
          </w:tcPr>
          <w:p w14:paraId="36091532"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1242" w:type="dxa"/>
            <w:vAlign w:val="center"/>
          </w:tcPr>
          <w:p w14:paraId="36091533" w14:textId="77777777" w:rsidR="001F7420" w:rsidRPr="004C2412" w:rsidRDefault="001F7420"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117B2B" w:rsidRPr="004C2412" w14:paraId="3609153E" w14:textId="77777777" w:rsidTr="00B219FE">
        <w:tc>
          <w:tcPr>
            <w:cnfStyle w:val="001000000000" w:firstRow="0" w:lastRow="0" w:firstColumn="1" w:lastColumn="0" w:oddVBand="0" w:evenVBand="0" w:oddHBand="0" w:evenHBand="0" w:firstRowFirstColumn="0" w:firstRowLastColumn="0" w:lastRowFirstColumn="0" w:lastRowLastColumn="0"/>
            <w:tcW w:w="4355" w:type="dxa"/>
            <w:vAlign w:val="center"/>
          </w:tcPr>
          <w:p w14:paraId="36091535" w14:textId="77777777" w:rsidR="00117B2B" w:rsidRPr="004C2412" w:rsidRDefault="00117B2B" w:rsidP="00117B2B">
            <w:pPr>
              <w:spacing w:before="0"/>
              <w:ind w:left="0"/>
            </w:pPr>
            <w:r w:rsidRPr="004C2412">
              <w:rPr>
                <w:bCs/>
              </w:rPr>
              <w:t xml:space="preserve">Income support payment suspension - </w:t>
            </w:r>
            <w:r w:rsidRPr="004C2412">
              <w:rPr>
                <w:bCs/>
              </w:rPr>
              <w:br/>
              <w:t>non-attendance at appointment</w:t>
            </w:r>
          </w:p>
        </w:tc>
        <w:tc>
          <w:tcPr>
            <w:tcW w:w="1075" w:type="dxa"/>
            <w:vAlign w:val="center"/>
          </w:tcPr>
          <w:p w14:paraId="36091536" w14:textId="3873838C"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218,571</w:t>
            </w:r>
          </w:p>
        </w:tc>
        <w:tc>
          <w:tcPr>
            <w:tcW w:w="1193" w:type="dxa"/>
            <w:vAlign w:val="center"/>
          </w:tcPr>
          <w:p w14:paraId="36091537" w14:textId="02DB5977"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57.29%</w:t>
            </w:r>
          </w:p>
        </w:tc>
        <w:tc>
          <w:tcPr>
            <w:tcW w:w="1466" w:type="dxa"/>
            <w:vAlign w:val="center"/>
          </w:tcPr>
          <w:p w14:paraId="36091538" w14:textId="6B63D2D3"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139,143</w:t>
            </w:r>
          </w:p>
        </w:tc>
        <w:tc>
          <w:tcPr>
            <w:tcW w:w="1342" w:type="dxa"/>
            <w:vAlign w:val="center"/>
          </w:tcPr>
          <w:p w14:paraId="36091539" w14:textId="61C1271E"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36.47%</w:t>
            </w:r>
          </w:p>
        </w:tc>
        <w:tc>
          <w:tcPr>
            <w:tcW w:w="1324" w:type="dxa"/>
            <w:vAlign w:val="center"/>
          </w:tcPr>
          <w:p w14:paraId="3609153A" w14:textId="303117E5"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357,714</w:t>
            </w:r>
          </w:p>
        </w:tc>
        <w:tc>
          <w:tcPr>
            <w:tcW w:w="1209" w:type="dxa"/>
            <w:vAlign w:val="center"/>
          </w:tcPr>
          <w:p w14:paraId="3609153B" w14:textId="2E2F7EB8"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93.76%</w:t>
            </w:r>
          </w:p>
        </w:tc>
        <w:tc>
          <w:tcPr>
            <w:tcW w:w="1242" w:type="dxa"/>
            <w:vAlign w:val="center"/>
          </w:tcPr>
          <w:p w14:paraId="3609153C" w14:textId="00887FE7"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1,505,766</w:t>
            </w:r>
          </w:p>
        </w:tc>
        <w:tc>
          <w:tcPr>
            <w:tcW w:w="1242" w:type="dxa"/>
            <w:vAlign w:val="center"/>
          </w:tcPr>
          <w:p w14:paraId="3609153D" w14:textId="6C486CF9"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93.56%</w:t>
            </w:r>
          </w:p>
        </w:tc>
      </w:tr>
      <w:tr w:rsidR="00117B2B" w:rsidRPr="004C2412" w14:paraId="36091548" w14:textId="77777777" w:rsidTr="00B219FE">
        <w:tc>
          <w:tcPr>
            <w:cnfStyle w:val="001000000000" w:firstRow="0" w:lastRow="0" w:firstColumn="1" w:lastColumn="0" w:oddVBand="0" w:evenVBand="0" w:oddHBand="0" w:evenHBand="0" w:firstRowFirstColumn="0" w:firstRowLastColumn="0" w:lastRowFirstColumn="0" w:lastRowLastColumn="0"/>
            <w:tcW w:w="4355" w:type="dxa"/>
            <w:vAlign w:val="center"/>
          </w:tcPr>
          <w:p w14:paraId="3609153F" w14:textId="77777777" w:rsidR="00117B2B" w:rsidRPr="004C2412" w:rsidRDefault="00117B2B" w:rsidP="00117B2B">
            <w:pPr>
              <w:spacing w:before="0"/>
              <w:ind w:left="0"/>
            </w:pPr>
            <w:r w:rsidRPr="004C2412">
              <w:rPr>
                <w:bCs/>
              </w:rPr>
              <w:t>Income support payment suspension – disengagement from activity</w:t>
            </w:r>
          </w:p>
        </w:tc>
        <w:tc>
          <w:tcPr>
            <w:tcW w:w="1075" w:type="dxa"/>
            <w:vAlign w:val="center"/>
          </w:tcPr>
          <w:p w14:paraId="36091540" w14:textId="3A28F8E9"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14,539</w:t>
            </w:r>
          </w:p>
        </w:tc>
        <w:tc>
          <w:tcPr>
            <w:tcW w:w="1193" w:type="dxa"/>
            <w:vAlign w:val="center"/>
          </w:tcPr>
          <w:p w14:paraId="36091541" w14:textId="1EF31DFA"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3.81%</w:t>
            </w:r>
          </w:p>
        </w:tc>
        <w:tc>
          <w:tcPr>
            <w:tcW w:w="1466" w:type="dxa"/>
            <w:vAlign w:val="center"/>
          </w:tcPr>
          <w:p w14:paraId="36091542" w14:textId="2C10A4A9"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9,271</w:t>
            </w:r>
          </w:p>
        </w:tc>
        <w:tc>
          <w:tcPr>
            <w:tcW w:w="1342" w:type="dxa"/>
            <w:vAlign w:val="center"/>
          </w:tcPr>
          <w:p w14:paraId="36091543" w14:textId="340D406D"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2.43%</w:t>
            </w:r>
          </w:p>
        </w:tc>
        <w:tc>
          <w:tcPr>
            <w:tcW w:w="1324" w:type="dxa"/>
            <w:vAlign w:val="center"/>
          </w:tcPr>
          <w:p w14:paraId="36091544" w14:textId="02C38D26"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23,810</w:t>
            </w:r>
          </w:p>
        </w:tc>
        <w:tc>
          <w:tcPr>
            <w:tcW w:w="1209" w:type="dxa"/>
            <w:vAlign w:val="center"/>
          </w:tcPr>
          <w:p w14:paraId="36091545" w14:textId="6FE8C54E"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6.24%</w:t>
            </w:r>
          </w:p>
        </w:tc>
        <w:tc>
          <w:tcPr>
            <w:tcW w:w="1242" w:type="dxa"/>
            <w:vAlign w:val="center"/>
          </w:tcPr>
          <w:p w14:paraId="36091546" w14:textId="1140833E"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103,655</w:t>
            </w:r>
          </w:p>
        </w:tc>
        <w:tc>
          <w:tcPr>
            <w:tcW w:w="1242" w:type="dxa"/>
            <w:vAlign w:val="center"/>
          </w:tcPr>
          <w:p w14:paraId="36091547" w14:textId="29E5E929"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678C1">
              <w:t>6.44%</w:t>
            </w:r>
          </w:p>
        </w:tc>
      </w:tr>
      <w:tr w:rsidR="00117B2B" w:rsidRPr="004C2412" w14:paraId="36091552" w14:textId="77777777" w:rsidTr="00B219FE">
        <w:tc>
          <w:tcPr>
            <w:cnfStyle w:val="001000000000" w:firstRow="0" w:lastRow="0" w:firstColumn="1" w:lastColumn="0" w:oddVBand="0" w:evenVBand="0" w:oddHBand="0" w:evenHBand="0" w:firstRowFirstColumn="0" w:firstRowLastColumn="0" w:lastRowFirstColumn="0" w:lastRowLastColumn="0"/>
            <w:tcW w:w="4355" w:type="dxa"/>
            <w:vAlign w:val="center"/>
          </w:tcPr>
          <w:p w14:paraId="36091549" w14:textId="77777777" w:rsidR="00117B2B" w:rsidRPr="004C2412" w:rsidRDefault="00117B2B" w:rsidP="00117B2B">
            <w:pPr>
              <w:spacing w:before="0"/>
              <w:ind w:left="0"/>
              <w:rPr>
                <w:b/>
                <w:bCs/>
              </w:rPr>
            </w:pPr>
            <w:r w:rsidRPr="004C2412">
              <w:rPr>
                <w:b/>
                <w:bCs/>
              </w:rPr>
              <w:t>Total Income Support payment suspensions</w:t>
            </w:r>
          </w:p>
        </w:tc>
        <w:tc>
          <w:tcPr>
            <w:tcW w:w="1075" w:type="dxa"/>
            <w:vAlign w:val="center"/>
          </w:tcPr>
          <w:p w14:paraId="3609154A" w14:textId="05E90F51"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0678C1">
              <w:t>233,110</w:t>
            </w:r>
          </w:p>
        </w:tc>
        <w:tc>
          <w:tcPr>
            <w:tcW w:w="1193" w:type="dxa"/>
            <w:vAlign w:val="center"/>
          </w:tcPr>
          <w:p w14:paraId="3609154B" w14:textId="16617C39"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0678C1">
              <w:t>61.10%</w:t>
            </w:r>
          </w:p>
        </w:tc>
        <w:tc>
          <w:tcPr>
            <w:tcW w:w="1466" w:type="dxa"/>
            <w:vAlign w:val="center"/>
          </w:tcPr>
          <w:p w14:paraId="3609154C" w14:textId="1308E547"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0678C1">
              <w:t>148,414</w:t>
            </w:r>
          </w:p>
        </w:tc>
        <w:tc>
          <w:tcPr>
            <w:tcW w:w="1342" w:type="dxa"/>
            <w:vAlign w:val="center"/>
          </w:tcPr>
          <w:p w14:paraId="3609154D" w14:textId="0FB04582"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0678C1">
              <w:t>38.90%</w:t>
            </w:r>
          </w:p>
        </w:tc>
        <w:tc>
          <w:tcPr>
            <w:tcW w:w="1324" w:type="dxa"/>
            <w:vAlign w:val="center"/>
          </w:tcPr>
          <w:p w14:paraId="3609154E" w14:textId="4CB77DF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0678C1">
              <w:t>381,524</w:t>
            </w:r>
          </w:p>
        </w:tc>
        <w:tc>
          <w:tcPr>
            <w:tcW w:w="1209" w:type="dxa"/>
            <w:vAlign w:val="center"/>
          </w:tcPr>
          <w:p w14:paraId="3609154F" w14:textId="0657289A"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0678C1">
              <w:t>100.00%</w:t>
            </w:r>
          </w:p>
        </w:tc>
        <w:tc>
          <w:tcPr>
            <w:tcW w:w="1242" w:type="dxa"/>
            <w:vAlign w:val="center"/>
          </w:tcPr>
          <w:p w14:paraId="36091550" w14:textId="5F168BF4"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0678C1">
              <w:t>1,609,421</w:t>
            </w:r>
          </w:p>
        </w:tc>
        <w:tc>
          <w:tcPr>
            <w:tcW w:w="1242" w:type="dxa"/>
            <w:vAlign w:val="center"/>
          </w:tcPr>
          <w:p w14:paraId="36091551" w14:textId="6D50332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0678C1">
              <w:t>100.00%</w:t>
            </w:r>
          </w:p>
        </w:tc>
      </w:tr>
    </w:tbl>
    <w:p w14:paraId="00D52FA6" w14:textId="50C1836B" w:rsidR="00910012" w:rsidRPr="004C2412" w:rsidRDefault="005B5D91" w:rsidP="008A2A10">
      <w:pPr>
        <w:spacing w:after="240" w:line="240" w:lineRule="auto"/>
        <w:ind w:left="0"/>
        <w:rPr>
          <w:rFonts w:ascii="Arial" w:eastAsiaTheme="majorEastAsia" w:hAnsi="Arial" w:cstheme="majorBidi"/>
          <w:b/>
          <w:bCs/>
          <w:sz w:val="20"/>
        </w:rPr>
      </w:pPr>
      <w:r w:rsidRPr="004C2412">
        <w:rPr>
          <w:noProof/>
        </w:rPr>
        <w:t>Income support payment suspensions are applied when a job seeker fails to attend an appointment</w:t>
      </w:r>
      <w:r w:rsidR="00E6281A" w:rsidRPr="004C2412">
        <w:rPr>
          <w:noProof/>
        </w:rPr>
        <w:t xml:space="preserve"> </w:t>
      </w:r>
      <w:r w:rsidR="008C47DE" w:rsidRPr="004C2412">
        <w:rPr>
          <w:noProof/>
        </w:rPr>
        <w:t xml:space="preserve">with their </w:t>
      </w:r>
      <w:r w:rsidR="00902768" w:rsidRPr="004C2412">
        <w:rPr>
          <w:noProof/>
        </w:rPr>
        <w:t>employment</w:t>
      </w:r>
      <w:r w:rsidR="008C47DE" w:rsidRPr="004C2412">
        <w:rPr>
          <w:noProof/>
        </w:rPr>
        <w:t xml:space="preserve"> services provider </w:t>
      </w:r>
      <w:r w:rsidR="00E6281A" w:rsidRPr="004C2412">
        <w:rPr>
          <w:noProof/>
        </w:rPr>
        <w:t>and a Non-</w:t>
      </w:r>
      <w:r w:rsidR="00D83F87" w:rsidRPr="004C2412">
        <w:rPr>
          <w:noProof/>
        </w:rPr>
        <w:t>A</w:t>
      </w:r>
      <w:r w:rsidR="00E6281A" w:rsidRPr="004C2412">
        <w:rPr>
          <w:noProof/>
        </w:rPr>
        <w:t>ttendance Report is submitted</w:t>
      </w:r>
      <w:r w:rsidR="00C000AA" w:rsidRPr="004C2412">
        <w:rPr>
          <w:noProof/>
        </w:rPr>
        <w:t>,</w:t>
      </w:r>
      <w:r w:rsidRPr="004C2412">
        <w:rPr>
          <w:noProof/>
        </w:rPr>
        <w:t xml:space="preserve"> or </w:t>
      </w:r>
      <w:r w:rsidR="005E6C16" w:rsidRPr="004C2412">
        <w:rPr>
          <w:noProof/>
        </w:rPr>
        <w:t xml:space="preserve">when </w:t>
      </w:r>
      <w:r w:rsidR="00E6281A" w:rsidRPr="004C2412">
        <w:rPr>
          <w:noProof/>
        </w:rPr>
        <w:t xml:space="preserve">a job seeker </w:t>
      </w:r>
      <w:r w:rsidRPr="004C2412">
        <w:rPr>
          <w:noProof/>
        </w:rPr>
        <w:t>disengages from an activity</w:t>
      </w:r>
      <w:r w:rsidR="005E6C16" w:rsidRPr="004C2412">
        <w:rPr>
          <w:noProof/>
        </w:rPr>
        <w:t xml:space="preserve"> and</w:t>
      </w:r>
      <w:r w:rsidR="00D01779" w:rsidRPr="004C2412">
        <w:rPr>
          <w:noProof/>
        </w:rPr>
        <w:t xml:space="preserve"> their provider</w:t>
      </w:r>
      <w:r w:rsidR="005E6C16" w:rsidRPr="004C2412">
        <w:rPr>
          <w:noProof/>
        </w:rPr>
        <w:t xml:space="preserve"> indicates on a No Show No Pay Participation Report that they wish to discuss this with the job seeker</w:t>
      </w:r>
      <w:r w:rsidRPr="004C2412">
        <w:rPr>
          <w:noProof/>
        </w:rPr>
        <w:t>.</w:t>
      </w:r>
      <w:r w:rsidR="00910012" w:rsidRPr="004C2412">
        <w:br w:type="page"/>
      </w:r>
    </w:p>
    <w:p w14:paraId="36091555" w14:textId="322C1255" w:rsidR="00E8387B" w:rsidRPr="004C2412" w:rsidRDefault="00D6515C" w:rsidP="00A609AA">
      <w:pPr>
        <w:pStyle w:val="Heading3"/>
        <w:numPr>
          <w:ilvl w:val="0"/>
          <w:numId w:val="0"/>
        </w:numPr>
      </w:pPr>
      <w:bookmarkStart w:id="51" w:name="_Toc526864457"/>
      <w:r w:rsidRPr="004C2412">
        <w:t xml:space="preserve">13 e </w:t>
      </w:r>
      <w:r w:rsidR="00606BF5" w:rsidRPr="004C2412">
        <w:t>–</w:t>
      </w:r>
      <w:r w:rsidRPr="004C2412">
        <w:t xml:space="preserve"> </w:t>
      </w:r>
      <w:r w:rsidR="009F1614" w:rsidRPr="004C2412">
        <w:t>Comprehensive Compliance Assessment</w:t>
      </w:r>
      <w:r w:rsidR="00244CB0" w:rsidRPr="004C2412">
        <w:t xml:space="preserve"> (CCA)</w:t>
      </w:r>
      <w:r w:rsidR="00945CD3" w:rsidRPr="004C2412">
        <w:t xml:space="preserve"> </w:t>
      </w:r>
      <w:r w:rsidR="00C95ED9" w:rsidRPr="004C2412">
        <w:t>-</w:t>
      </w:r>
      <w:r w:rsidR="00945CD3" w:rsidRPr="004C2412">
        <w:t xml:space="preserve"> 1 </w:t>
      </w:r>
      <w:r w:rsidR="00117B2B">
        <w:t>April</w:t>
      </w:r>
      <w:r w:rsidR="00117B2B" w:rsidRPr="004C2412">
        <w:t xml:space="preserve"> </w:t>
      </w:r>
      <w:r w:rsidR="00945CD3" w:rsidRPr="004C2412">
        <w:t>to 3</w:t>
      </w:r>
      <w:r w:rsidR="00117B2B">
        <w:t>0</w:t>
      </w:r>
      <w:r w:rsidR="00945CD3" w:rsidRPr="004C2412">
        <w:t xml:space="preserve"> </w:t>
      </w:r>
      <w:r w:rsidR="00117B2B">
        <w:t>June</w:t>
      </w:r>
      <w:r w:rsidR="00CC5D90" w:rsidRPr="004C2412">
        <w:t xml:space="preserve"> </w:t>
      </w:r>
      <w:r w:rsidR="00945CD3" w:rsidRPr="004C2412">
        <w:t>201</w:t>
      </w:r>
      <w:r w:rsidR="00CC5D90" w:rsidRPr="004C2412">
        <w:t>8</w:t>
      </w:r>
      <w:bookmarkEnd w:id="51"/>
    </w:p>
    <w:tbl>
      <w:tblPr>
        <w:tblStyle w:val="LeftAlignTable"/>
        <w:tblW w:w="14986" w:type="dxa"/>
        <w:tblInd w:w="-5" w:type="dxa"/>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311"/>
        <w:gridCol w:w="1085"/>
        <w:gridCol w:w="1184"/>
        <w:gridCol w:w="1460"/>
        <w:gridCol w:w="1877"/>
        <w:gridCol w:w="1309"/>
        <w:gridCol w:w="1240"/>
        <w:gridCol w:w="1260"/>
        <w:gridCol w:w="1260"/>
      </w:tblGrid>
      <w:tr w:rsidR="00D9585E" w:rsidRPr="004C2412" w14:paraId="3609155F" w14:textId="77777777" w:rsidTr="001C41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11" w:type="dxa"/>
            <w:shd w:val="clear" w:color="auto" w:fill="auto"/>
            <w:vAlign w:val="center"/>
          </w:tcPr>
          <w:p w14:paraId="36091556" w14:textId="0E3E2814" w:rsidR="00D9585E" w:rsidRPr="004C2412" w:rsidRDefault="00D9585E" w:rsidP="00910012">
            <w:pPr>
              <w:spacing w:before="0"/>
              <w:ind w:left="0"/>
            </w:pPr>
            <w:r w:rsidRPr="004C2412">
              <w:t>Finalised C</w:t>
            </w:r>
            <w:r w:rsidR="00F11CBE" w:rsidRPr="004C2412">
              <w:t xml:space="preserve">omprehensive </w:t>
            </w:r>
            <w:r w:rsidRPr="004C2412">
              <w:t>C</w:t>
            </w:r>
            <w:r w:rsidR="00F11CBE" w:rsidRPr="004C2412">
              <w:t>ompliance</w:t>
            </w:r>
            <w:r w:rsidR="00B51AA6" w:rsidRPr="004C2412">
              <w:br/>
            </w:r>
            <w:r w:rsidRPr="004C2412">
              <w:t>A</w:t>
            </w:r>
            <w:r w:rsidR="00F11CBE" w:rsidRPr="004C2412">
              <w:t>ssessment</w:t>
            </w:r>
            <w:r w:rsidRPr="004C2412">
              <w:t xml:space="preserve"> Outcome</w:t>
            </w:r>
          </w:p>
        </w:tc>
        <w:tc>
          <w:tcPr>
            <w:tcW w:w="1085" w:type="dxa"/>
            <w:vAlign w:val="center"/>
          </w:tcPr>
          <w:p w14:paraId="36091557" w14:textId="77777777"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Male</w:t>
            </w:r>
          </w:p>
        </w:tc>
        <w:tc>
          <w:tcPr>
            <w:tcW w:w="1184" w:type="dxa"/>
            <w:vAlign w:val="center"/>
          </w:tcPr>
          <w:p w14:paraId="36091558" w14:textId="77777777"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Male %</w:t>
            </w:r>
          </w:p>
        </w:tc>
        <w:tc>
          <w:tcPr>
            <w:tcW w:w="1460" w:type="dxa"/>
            <w:vAlign w:val="center"/>
          </w:tcPr>
          <w:p w14:paraId="36091559" w14:textId="77777777"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Female</w:t>
            </w:r>
          </w:p>
        </w:tc>
        <w:tc>
          <w:tcPr>
            <w:tcW w:w="1877" w:type="dxa"/>
            <w:vAlign w:val="center"/>
          </w:tcPr>
          <w:p w14:paraId="3609155A" w14:textId="77777777"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Female %</w:t>
            </w:r>
          </w:p>
        </w:tc>
        <w:tc>
          <w:tcPr>
            <w:tcW w:w="1309" w:type="dxa"/>
            <w:vAlign w:val="center"/>
          </w:tcPr>
          <w:p w14:paraId="3609155B" w14:textId="77777777"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240" w:type="dxa"/>
            <w:vAlign w:val="center"/>
          </w:tcPr>
          <w:p w14:paraId="3609155C" w14:textId="77777777"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w:t>
            </w:r>
          </w:p>
        </w:tc>
        <w:tc>
          <w:tcPr>
            <w:tcW w:w="1260" w:type="dxa"/>
            <w:vAlign w:val="center"/>
          </w:tcPr>
          <w:p w14:paraId="3609155D" w14:textId="77777777"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1260" w:type="dxa"/>
            <w:vAlign w:val="center"/>
          </w:tcPr>
          <w:p w14:paraId="3609155E" w14:textId="77777777"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117B2B" w:rsidRPr="004C2412" w14:paraId="36091569"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4311" w:type="dxa"/>
            <w:vAlign w:val="center"/>
          </w:tcPr>
          <w:p w14:paraId="36091560" w14:textId="77777777" w:rsidR="00117B2B" w:rsidRPr="004C2412" w:rsidRDefault="00117B2B" w:rsidP="00117B2B">
            <w:pPr>
              <w:spacing w:before="0"/>
              <w:ind w:left="0"/>
            </w:pPr>
            <w:r w:rsidRPr="004C2412">
              <w:t xml:space="preserve">JSCI updated – referral for </w:t>
            </w:r>
            <w:proofErr w:type="spellStart"/>
            <w:r w:rsidRPr="004C2412">
              <w:t>ESAt</w:t>
            </w:r>
            <w:proofErr w:type="spellEnd"/>
          </w:p>
        </w:tc>
        <w:tc>
          <w:tcPr>
            <w:tcW w:w="1085" w:type="dxa"/>
            <w:vAlign w:val="center"/>
          </w:tcPr>
          <w:p w14:paraId="36091561" w14:textId="0F516A51"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352</w:t>
            </w:r>
          </w:p>
        </w:tc>
        <w:tc>
          <w:tcPr>
            <w:tcW w:w="1184" w:type="dxa"/>
            <w:vAlign w:val="center"/>
          </w:tcPr>
          <w:p w14:paraId="36091562" w14:textId="4F41A3C9"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1.53%</w:t>
            </w:r>
          </w:p>
        </w:tc>
        <w:tc>
          <w:tcPr>
            <w:tcW w:w="1460" w:type="dxa"/>
            <w:vAlign w:val="center"/>
          </w:tcPr>
          <w:p w14:paraId="36091563" w14:textId="6392E31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245</w:t>
            </w:r>
          </w:p>
        </w:tc>
        <w:tc>
          <w:tcPr>
            <w:tcW w:w="1877" w:type="dxa"/>
            <w:vAlign w:val="center"/>
          </w:tcPr>
          <w:p w14:paraId="36091564" w14:textId="3E2ACBC6"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1.07%</w:t>
            </w:r>
          </w:p>
        </w:tc>
        <w:tc>
          <w:tcPr>
            <w:tcW w:w="1309" w:type="dxa"/>
            <w:vAlign w:val="center"/>
          </w:tcPr>
          <w:p w14:paraId="36091565" w14:textId="022171DE"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597</w:t>
            </w:r>
          </w:p>
        </w:tc>
        <w:tc>
          <w:tcPr>
            <w:tcW w:w="1240" w:type="dxa"/>
            <w:vAlign w:val="center"/>
          </w:tcPr>
          <w:p w14:paraId="36091566" w14:textId="7489BCB2"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2.60%</w:t>
            </w:r>
          </w:p>
        </w:tc>
        <w:tc>
          <w:tcPr>
            <w:tcW w:w="1260" w:type="dxa"/>
            <w:vAlign w:val="center"/>
          </w:tcPr>
          <w:p w14:paraId="36091567" w14:textId="784BE3B9"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2,510</w:t>
            </w:r>
          </w:p>
        </w:tc>
        <w:tc>
          <w:tcPr>
            <w:tcW w:w="1260" w:type="dxa"/>
            <w:vAlign w:val="center"/>
          </w:tcPr>
          <w:p w14:paraId="36091568" w14:textId="6BC2A0AC"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2.76%</w:t>
            </w:r>
          </w:p>
        </w:tc>
      </w:tr>
      <w:tr w:rsidR="00117B2B" w:rsidRPr="004C2412" w14:paraId="36091573"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4311" w:type="dxa"/>
            <w:vAlign w:val="center"/>
          </w:tcPr>
          <w:p w14:paraId="3609156A" w14:textId="77777777" w:rsidR="00117B2B" w:rsidRPr="004C2412" w:rsidRDefault="00117B2B" w:rsidP="00117B2B">
            <w:pPr>
              <w:spacing w:before="0"/>
              <w:ind w:left="0"/>
            </w:pPr>
            <w:r w:rsidRPr="004C2412">
              <w:t>JSCI updated – eligible for higher stream</w:t>
            </w:r>
          </w:p>
        </w:tc>
        <w:tc>
          <w:tcPr>
            <w:tcW w:w="1085" w:type="dxa"/>
            <w:vAlign w:val="center"/>
          </w:tcPr>
          <w:p w14:paraId="3609156B" w14:textId="2523F523"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31</w:t>
            </w:r>
          </w:p>
        </w:tc>
        <w:tc>
          <w:tcPr>
            <w:tcW w:w="1184" w:type="dxa"/>
            <w:vAlign w:val="center"/>
          </w:tcPr>
          <w:p w14:paraId="3609156C" w14:textId="61058463"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0.13%</w:t>
            </w:r>
          </w:p>
        </w:tc>
        <w:tc>
          <w:tcPr>
            <w:tcW w:w="1460" w:type="dxa"/>
            <w:vAlign w:val="center"/>
          </w:tcPr>
          <w:p w14:paraId="3609156D" w14:textId="1C28CE04"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15</w:t>
            </w:r>
          </w:p>
        </w:tc>
        <w:tc>
          <w:tcPr>
            <w:tcW w:w="1877" w:type="dxa"/>
            <w:vAlign w:val="center"/>
          </w:tcPr>
          <w:p w14:paraId="3609156E" w14:textId="282C7C63"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0.07%</w:t>
            </w:r>
          </w:p>
        </w:tc>
        <w:tc>
          <w:tcPr>
            <w:tcW w:w="1309" w:type="dxa"/>
            <w:vAlign w:val="center"/>
          </w:tcPr>
          <w:p w14:paraId="3609156F" w14:textId="18E0D925"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46</w:t>
            </w:r>
          </w:p>
        </w:tc>
        <w:tc>
          <w:tcPr>
            <w:tcW w:w="1240" w:type="dxa"/>
            <w:vAlign w:val="center"/>
          </w:tcPr>
          <w:p w14:paraId="36091570" w14:textId="5467923B"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0.20%</w:t>
            </w:r>
          </w:p>
        </w:tc>
        <w:tc>
          <w:tcPr>
            <w:tcW w:w="1260" w:type="dxa"/>
            <w:vAlign w:val="center"/>
          </w:tcPr>
          <w:p w14:paraId="36091571" w14:textId="3271BD2B"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149</w:t>
            </w:r>
          </w:p>
        </w:tc>
        <w:tc>
          <w:tcPr>
            <w:tcW w:w="1260" w:type="dxa"/>
            <w:vAlign w:val="center"/>
          </w:tcPr>
          <w:p w14:paraId="36091572" w14:textId="47AC3CAA"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0.16%</w:t>
            </w:r>
          </w:p>
        </w:tc>
      </w:tr>
      <w:tr w:rsidR="00117B2B" w:rsidRPr="004C2412" w14:paraId="3609157D"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4311" w:type="dxa"/>
            <w:vAlign w:val="center"/>
          </w:tcPr>
          <w:p w14:paraId="36091574" w14:textId="77777777" w:rsidR="00117B2B" w:rsidRPr="004C2412" w:rsidRDefault="00117B2B" w:rsidP="00117B2B">
            <w:pPr>
              <w:spacing w:before="0"/>
              <w:ind w:left="0"/>
            </w:pPr>
            <w:r w:rsidRPr="004C2412">
              <w:t>Persistent non-compliance (Serious Failure)</w:t>
            </w:r>
          </w:p>
        </w:tc>
        <w:tc>
          <w:tcPr>
            <w:tcW w:w="1085" w:type="dxa"/>
            <w:vAlign w:val="center"/>
          </w:tcPr>
          <w:p w14:paraId="36091575" w14:textId="7C4C1E8C"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6,326</w:t>
            </w:r>
          </w:p>
        </w:tc>
        <w:tc>
          <w:tcPr>
            <w:tcW w:w="1184" w:type="dxa"/>
            <w:vAlign w:val="center"/>
          </w:tcPr>
          <w:p w14:paraId="36091576" w14:textId="066F01BC"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27.52%</w:t>
            </w:r>
          </w:p>
        </w:tc>
        <w:tc>
          <w:tcPr>
            <w:tcW w:w="1460" w:type="dxa"/>
            <w:vAlign w:val="center"/>
          </w:tcPr>
          <w:p w14:paraId="36091577" w14:textId="4491B4BD"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3,930</w:t>
            </w:r>
          </w:p>
        </w:tc>
        <w:tc>
          <w:tcPr>
            <w:tcW w:w="1877" w:type="dxa"/>
            <w:vAlign w:val="center"/>
          </w:tcPr>
          <w:p w14:paraId="36091578" w14:textId="55CB531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17.10%</w:t>
            </w:r>
          </w:p>
        </w:tc>
        <w:tc>
          <w:tcPr>
            <w:tcW w:w="1309" w:type="dxa"/>
            <w:vAlign w:val="center"/>
          </w:tcPr>
          <w:p w14:paraId="36091579" w14:textId="00E5690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10,256</w:t>
            </w:r>
          </w:p>
        </w:tc>
        <w:tc>
          <w:tcPr>
            <w:tcW w:w="1240" w:type="dxa"/>
            <w:vAlign w:val="center"/>
          </w:tcPr>
          <w:p w14:paraId="3609157A" w14:textId="626CB913"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44.61%</w:t>
            </w:r>
          </w:p>
        </w:tc>
        <w:tc>
          <w:tcPr>
            <w:tcW w:w="1260" w:type="dxa"/>
            <w:vAlign w:val="center"/>
          </w:tcPr>
          <w:p w14:paraId="3609157B" w14:textId="2EF094AD"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40,049</w:t>
            </w:r>
          </w:p>
        </w:tc>
        <w:tc>
          <w:tcPr>
            <w:tcW w:w="1260" w:type="dxa"/>
            <w:vAlign w:val="center"/>
          </w:tcPr>
          <w:p w14:paraId="3609157C" w14:textId="55136FF4"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44.09%</w:t>
            </w:r>
          </w:p>
        </w:tc>
      </w:tr>
      <w:tr w:rsidR="00117B2B" w:rsidRPr="004C2412" w14:paraId="36091587"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4311" w:type="dxa"/>
            <w:vAlign w:val="center"/>
          </w:tcPr>
          <w:p w14:paraId="3609157E" w14:textId="77777777" w:rsidR="00117B2B" w:rsidRPr="004C2412" w:rsidRDefault="00117B2B" w:rsidP="00117B2B">
            <w:pPr>
              <w:spacing w:before="0"/>
              <w:ind w:left="0"/>
            </w:pPr>
            <w:r w:rsidRPr="004C2412">
              <w:t>Other outcomes</w:t>
            </w:r>
          </w:p>
        </w:tc>
        <w:tc>
          <w:tcPr>
            <w:tcW w:w="1085" w:type="dxa"/>
            <w:vAlign w:val="center"/>
          </w:tcPr>
          <w:p w14:paraId="3609157F" w14:textId="1927C28B"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6,466</w:t>
            </w:r>
          </w:p>
        </w:tc>
        <w:tc>
          <w:tcPr>
            <w:tcW w:w="1184" w:type="dxa"/>
            <w:vAlign w:val="center"/>
          </w:tcPr>
          <w:p w14:paraId="36091580" w14:textId="3E3A69E6"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28.13%</w:t>
            </w:r>
          </w:p>
        </w:tc>
        <w:tc>
          <w:tcPr>
            <w:tcW w:w="1460" w:type="dxa"/>
            <w:vAlign w:val="center"/>
          </w:tcPr>
          <w:p w14:paraId="36091581" w14:textId="4E258BB7"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4,080</w:t>
            </w:r>
          </w:p>
        </w:tc>
        <w:tc>
          <w:tcPr>
            <w:tcW w:w="1877" w:type="dxa"/>
            <w:vAlign w:val="center"/>
          </w:tcPr>
          <w:p w14:paraId="36091582" w14:textId="598743DD"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17.75%</w:t>
            </w:r>
          </w:p>
        </w:tc>
        <w:tc>
          <w:tcPr>
            <w:tcW w:w="1309" w:type="dxa"/>
            <w:vAlign w:val="center"/>
          </w:tcPr>
          <w:p w14:paraId="36091583" w14:textId="2CF089B8"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10,546</w:t>
            </w:r>
          </w:p>
        </w:tc>
        <w:tc>
          <w:tcPr>
            <w:tcW w:w="1240" w:type="dxa"/>
            <w:vAlign w:val="center"/>
          </w:tcPr>
          <w:p w14:paraId="36091584" w14:textId="722009EC"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45.88%</w:t>
            </w:r>
          </w:p>
        </w:tc>
        <w:tc>
          <w:tcPr>
            <w:tcW w:w="1260" w:type="dxa"/>
            <w:vAlign w:val="center"/>
          </w:tcPr>
          <w:p w14:paraId="36091585" w14:textId="5E779061"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41,934</w:t>
            </w:r>
          </w:p>
        </w:tc>
        <w:tc>
          <w:tcPr>
            <w:tcW w:w="1260" w:type="dxa"/>
            <w:vAlign w:val="center"/>
          </w:tcPr>
          <w:p w14:paraId="36091586" w14:textId="3F510814"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46.16%</w:t>
            </w:r>
          </w:p>
        </w:tc>
      </w:tr>
      <w:tr w:rsidR="00117B2B" w:rsidRPr="004C2412" w14:paraId="36091591" w14:textId="77777777" w:rsidTr="00910012">
        <w:trPr>
          <w:trHeight w:val="340"/>
        </w:trPr>
        <w:tc>
          <w:tcPr>
            <w:cnfStyle w:val="001000000000" w:firstRow="0" w:lastRow="0" w:firstColumn="1" w:lastColumn="0" w:oddVBand="0" w:evenVBand="0" w:oddHBand="0" w:evenHBand="0" w:firstRowFirstColumn="0" w:firstRowLastColumn="0" w:lastRowFirstColumn="0" w:lastRowLastColumn="0"/>
            <w:tcW w:w="4311" w:type="dxa"/>
            <w:vAlign w:val="center"/>
          </w:tcPr>
          <w:p w14:paraId="36091588" w14:textId="77777777" w:rsidR="00117B2B" w:rsidRPr="004C2412" w:rsidRDefault="00117B2B" w:rsidP="00117B2B">
            <w:pPr>
              <w:spacing w:before="0"/>
              <w:ind w:left="0"/>
            </w:pPr>
            <w:r w:rsidRPr="004C2412">
              <w:t>No outcomes</w:t>
            </w:r>
          </w:p>
        </w:tc>
        <w:tc>
          <w:tcPr>
            <w:tcW w:w="1085" w:type="dxa"/>
            <w:vAlign w:val="center"/>
          </w:tcPr>
          <w:p w14:paraId="36091589" w14:textId="7B728BC3"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999</w:t>
            </w:r>
          </w:p>
        </w:tc>
        <w:tc>
          <w:tcPr>
            <w:tcW w:w="1184" w:type="dxa"/>
            <w:vAlign w:val="center"/>
          </w:tcPr>
          <w:p w14:paraId="3609158A" w14:textId="69D6894B"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4.35%</w:t>
            </w:r>
          </w:p>
        </w:tc>
        <w:tc>
          <w:tcPr>
            <w:tcW w:w="1460" w:type="dxa"/>
            <w:vAlign w:val="center"/>
          </w:tcPr>
          <w:p w14:paraId="3609158B" w14:textId="613A8B47"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544</w:t>
            </w:r>
          </w:p>
        </w:tc>
        <w:tc>
          <w:tcPr>
            <w:tcW w:w="1877" w:type="dxa"/>
            <w:vAlign w:val="center"/>
          </w:tcPr>
          <w:p w14:paraId="3609158C" w14:textId="007949B0"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2.37%</w:t>
            </w:r>
          </w:p>
        </w:tc>
        <w:tc>
          <w:tcPr>
            <w:tcW w:w="1309" w:type="dxa"/>
            <w:vAlign w:val="center"/>
          </w:tcPr>
          <w:p w14:paraId="3609158D" w14:textId="0822130C"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1,543</w:t>
            </w:r>
          </w:p>
        </w:tc>
        <w:tc>
          <w:tcPr>
            <w:tcW w:w="1240" w:type="dxa"/>
            <w:vAlign w:val="center"/>
          </w:tcPr>
          <w:p w14:paraId="3609158E" w14:textId="729DE38F"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6.71%</w:t>
            </w:r>
          </w:p>
        </w:tc>
        <w:tc>
          <w:tcPr>
            <w:tcW w:w="1260" w:type="dxa"/>
            <w:vAlign w:val="center"/>
          </w:tcPr>
          <w:p w14:paraId="3609158F" w14:textId="0B69FB99"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6,200</w:t>
            </w:r>
          </w:p>
        </w:tc>
        <w:tc>
          <w:tcPr>
            <w:tcW w:w="1260" w:type="dxa"/>
            <w:vAlign w:val="center"/>
          </w:tcPr>
          <w:p w14:paraId="36091590" w14:textId="001697D6" w:rsidR="00117B2B" w:rsidRPr="004C2412" w:rsidRDefault="00117B2B" w:rsidP="00117B2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63D6B">
              <w:t>6.83%</w:t>
            </w:r>
          </w:p>
        </w:tc>
      </w:tr>
      <w:tr w:rsidR="00117B2B" w:rsidRPr="004C2412" w14:paraId="3609159B" w14:textId="77777777" w:rsidTr="00910012">
        <w:trPr>
          <w:cnfStyle w:val="010000000000" w:firstRow="0" w:lastRow="1"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311" w:type="dxa"/>
            <w:vAlign w:val="center"/>
          </w:tcPr>
          <w:p w14:paraId="36091592" w14:textId="77777777" w:rsidR="00117B2B" w:rsidRPr="004C2412" w:rsidRDefault="00117B2B" w:rsidP="00117B2B">
            <w:pPr>
              <w:spacing w:before="0"/>
              <w:ind w:left="0"/>
            </w:pPr>
            <w:r w:rsidRPr="004C2412">
              <w:t>Total</w:t>
            </w:r>
          </w:p>
        </w:tc>
        <w:tc>
          <w:tcPr>
            <w:tcW w:w="1085" w:type="dxa"/>
            <w:vAlign w:val="center"/>
          </w:tcPr>
          <w:p w14:paraId="36091593" w14:textId="434779D8"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63D6B">
              <w:t>14,174</w:t>
            </w:r>
          </w:p>
        </w:tc>
        <w:tc>
          <w:tcPr>
            <w:tcW w:w="1184" w:type="dxa"/>
            <w:vAlign w:val="center"/>
          </w:tcPr>
          <w:p w14:paraId="36091594" w14:textId="7CF3682F"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F63D6B">
              <w:t>61.66%</w:t>
            </w:r>
          </w:p>
        </w:tc>
        <w:tc>
          <w:tcPr>
            <w:tcW w:w="1460" w:type="dxa"/>
            <w:vAlign w:val="center"/>
          </w:tcPr>
          <w:p w14:paraId="36091595" w14:textId="31EEAFCB"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63D6B">
              <w:t>8,814</w:t>
            </w:r>
          </w:p>
        </w:tc>
        <w:tc>
          <w:tcPr>
            <w:tcW w:w="1877" w:type="dxa"/>
            <w:vAlign w:val="center"/>
          </w:tcPr>
          <w:p w14:paraId="36091596" w14:textId="496112E8"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63D6B">
              <w:t>38.34%</w:t>
            </w:r>
          </w:p>
        </w:tc>
        <w:tc>
          <w:tcPr>
            <w:tcW w:w="1309" w:type="dxa"/>
            <w:vAlign w:val="center"/>
          </w:tcPr>
          <w:p w14:paraId="36091597" w14:textId="694337EF"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63D6B">
              <w:t>22,988</w:t>
            </w:r>
          </w:p>
        </w:tc>
        <w:tc>
          <w:tcPr>
            <w:tcW w:w="1240" w:type="dxa"/>
            <w:vAlign w:val="center"/>
          </w:tcPr>
          <w:p w14:paraId="36091598" w14:textId="7CCCB253"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63D6B">
              <w:t>100.00%</w:t>
            </w:r>
          </w:p>
        </w:tc>
        <w:tc>
          <w:tcPr>
            <w:tcW w:w="1260" w:type="dxa"/>
            <w:vAlign w:val="center"/>
          </w:tcPr>
          <w:p w14:paraId="36091599" w14:textId="3B529356"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63D6B">
              <w:t>90,842</w:t>
            </w:r>
          </w:p>
        </w:tc>
        <w:tc>
          <w:tcPr>
            <w:tcW w:w="1260" w:type="dxa"/>
            <w:vAlign w:val="center"/>
          </w:tcPr>
          <w:p w14:paraId="3609159A" w14:textId="152716EF" w:rsidR="00117B2B" w:rsidRPr="004C2412" w:rsidRDefault="00117B2B" w:rsidP="00117B2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63D6B">
              <w:t>100.00%</w:t>
            </w:r>
          </w:p>
        </w:tc>
      </w:tr>
    </w:tbl>
    <w:p w14:paraId="3609159E" w14:textId="464D450C" w:rsidR="005B5D91" w:rsidRPr="004C2412" w:rsidRDefault="001112BC" w:rsidP="00A609AA">
      <w:pPr>
        <w:pStyle w:val="Heading2"/>
        <w:numPr>
          <w:ilvl w:val="0"/>
          <w:numId w:val="0"/>
        </w:numPr>
      </w:pPr>
      <w:bookmarkStart w:id="52" w:name="_Toc526864458"/>
      <w:r w:rsidRPr="004C2412">
        <w:t xml:space="preserve">14 </w:t>
      </w:r>
      <w:r w:rsidR="00663AE9" w:rsidRPr="004C2412">
        <w:rPr>
          <w:szCs w:val="22"/>
        </w:rPr>
        <w:t>–</w:t>
      </w:r>
      <w:r w:rsidRPr="004C2412">
        <w:t xml:space="preserve"> </w:t>
      </w:r>
      <w:r w:rsidR="005B5D91" w:rsidRPr="004C2412">
        <w:t xml:space="preserve">Financial </w:t>
      </w:r>
      <w:r w:rsidR="00ED4EF2" w:rsidRPr="004C2412">
        <w:t>P</w:t>
      </w:r>
      <w:r w:rsidR="005B5D91" w:rsidRPr="004C2412">
        <w:t xml:space="preserve">enalties, Connection Failures, </w:t>
      </w:r>
      <w:r w:rsidR="00EE4D0A" w:rsidRPr="004C2412">
        <w:t xml:space="preserve">Income Support </w:t>
      </w:r>
      <w:r w:rsidR="005B5D91" w:rsidRPr="004C2412">
        <w:t>Payment Suspe</w:t>
      </w:r>
      <w:r w:rsidR="000770FC" w:rsidRPr="004C2412">
        <w:t>nsions and CCA</w:t>
      </w:r>
      <w:r w:rsidR="005B5D91" w:rsidRPr="004C2412">
        <w:t>s by Indigenous Status</w:t>
      </w:r>
      <w:r w:rsidR="009F1614" w:rsidRPr="004C2412">
        <w:t xml:space="preserve"> </w:t>
      </w:r>
      <w:r w:rsidR="00F030F8" w:rsidRPr="004C2412">
        <w:t>-</w:t>
      </w:r>
      <w:r w:rsidR="009F1614" w:rsidRPr="004C2412">
        <w:t xml:space="preserve"> 1 </w:t>
      </w:r>
      <w:r w:rsidR="002B5086">
        <w:t>April</w:t>
      </w:r>
      <w:r w:rsidR="002B5086" w:rsidRPr="004C2412">
        <w:t xml:space="preserve"> </w:t>
      </w:r>
      <w:r w:rsidR="009F1614" w:rsidRPr="004C2412">
        <w:t>to 3</w:t>
      </w:r>
      <w:r w:rsidR="0052531E">
        <w:t>0</w:t>
      </w:r>
      <w:r w:rsidR="009F1614" w:rsidRPr="004C2412">
        <w:t xml:space="preserve"> </w:t>
      </w:r>
      <w:r w:rsidR="002B5086">
        <w:t>June</w:t>
      </w:r>
      <w:r w:rsidR="00660BFC" w:rsidRPr="004C2412">
        <w:t xml:space="preserve"> </w:t>
      </w:r>
      <w:r w:rsidR="009F1614" w:rsidRPr="004C2412">
        <w:t>201</w:t>
      </w:r>
      <w:r w:rsidR="00660BFC" w:rsidRPr="004C2412">
        <w:t>8</w:t>
      </w:r>
      <w:bookmarkEnd w:id="52"/>
    </w:p>
    <w:p w14:paraId="3609159F" w14:textId="661C4101" w:rsidR="00F11CBE" w:rsidRPr="004C2412" w:rsidRDefault="00D6515C" w:rsidP="00A609AA">
      <w:pPr>
        <w:pStyle w:val="Heading3"/>
        <w:numPr>
          <w:ilvl w:val="0"/>
          <w:numId w:val="0"/>
        </w:numPr>
      </w:pPr>
      <w:bookmarkStart w:id="53" w:name="_Toc526864459"/>
      <w:r w:rsidRPr="004C2412">
        <w:t xml:space="preserve">14 a </w:t>
      </w:r>
      <w:r w:rsidR="00606BF5" w:rsidRPr="004C2412">
        <w:t>–</w:t>
      </w:r>
      <w:r w:rsidRPr="004C2412">
        <w:t xml:space="preserve"> </w:t>
      </w:r>
      <w:r w:rsidR="006C7CE4" w:rsidRPr="004C2412">
        <w:t>Non Payment Periods</w:t>
      </w:r>
      <w:r w:rsidR="00F030F8" w:rsidRPr="004C2412">
        <w:t xml:space="preserve"> (NPPs) </w:t>
      </w:r>
      <w:r w:rsidR="00C95ED9" w:rsidRPr="004C2412">
        <w:t>-</w:t>
      </w:r>
      <w:r w:rsidR="00F030F8" w:rsidRPr="004C2412">
        <w:t xml:space="preserve"> 1 </w:t>
      </w:r>
      <w:r w:rsidR="00117B2B">
        <w:t>April</w:t>
      </w:r>
      <w:r w:rsidR="00117B2B" w:rsidRPr="004C2412">
        <w:t xml:space="preserve"> </w:t>
      </w:r>
      <w:r w:rsidR="00F030F8" w:rsidRPr="004C2412">
        <w:t>to 3</w:t>
      </w:r>
      <w:r w:rsidR="00117B2B">
        <w:t>0</w:t>
      </w:r>
      <w:r w:rsidR="00F030F8" w:rsidRPr="004C2412">
        <w:t xml:space="preserve"> </w:t>
      </w:r>
      <w:r w:rsidR="00117B2B">
        <w:t>June</w:t>
      </w:r>
      <w:r w:rsidR="00117B2B" w:rsidRPr="004C2412">
        <w:t xml:space="preserve"> </w:t>
      </w:r>
      <w:r w:rsidR="00F030F8" w:rsidRPr="004C2412">
        <w:t>201</w:t>
      </w:r>
      <w:r w:rsidR="00660BFC" w:rsidRPr="004C2412">
        <w:t>8</w:t>
      </w:r>
      <w:bookmarkEnd w:id="53"/>
    </w:p>
    <w:tbl>
      <w:tblPr>
        <w:tblStyle w:val="LeftAlignTable"/>
        <w:tblW w:w="14850" w:type="dxa"/>
        <w:tblInd w:w="-5" w:type="dxa"/>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536"/>
        <w:gridCol w:w="1418"/>
        <w:gridCol w:w="1559"/>
        <w:gridCol w:w="1418"/>
        <w:gridCol w:w="1559"/>
        <w:gridCol w:w="992"/>
        <w:gridCol w:w="1102"/>
        <w:gridCol w:w="1132"/>
        <w:gridCol w:w="1134"/>
      </w:tblGrid>
      <w:tr w:rsidR="00D9585E" w:rsidRPr="004C2412" w14:paraId="360915A9" w14:textId="311409D0" w:rsidTr="001C41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vAlign w:val="center"/>
          </w:tcPr>
          <w:p w14:paraId="360915A0" w14:textId="0AC120FE" w:rsidR="00D9585E" w:rsidRPr="004C2412" w:rsidRDefault="00606BF5" w:rsidP="00910012">
            <w:pPr>
              <w:spacing w:before="0"/>
              <w:ind w:left="0"/>
            </w:pPr>
            <w:r w:rsidRPr="004C2412">
              <w:t>Type of NPP (Serious or Unemployment Non Payment Period)</w:t>
            </w:r>
          </w:p>
        </w:tc>
        <w:tc>
          <w:tcPr>
            <w:tcW w:w="1418" w:type="dxa"/>
            <w:vAlign w:val="center"/>
          </w:tcPr>
          <w:p w14:paraId="360915A1" w14:textId="3CF651CB"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Indigenous</w:t>
            </w:r>
          </w:p>
        </w:tc>
        <w:tc>
          <w:tcPr>
            <w:tcW w:w="1559" w:type="dxa"/>
            <w:vAlign w:val="center"/>
          </w:tcPr>
          <w:p w14:paraId="360915A2" w14:textId="0E4E7F05"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Indigenous %</w:t>
            </w:r>
          </w:p>
        </w:tc>
        <w:tc>
          <w:tcPr>
            <w:tcW w:w="1418" w:type="dxa"/>
            <w:vAlign w:val="center"/>
          </w:tcPr>
          <w:p w14:paraId="360915A3" w14:textId="746B8D13"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Non Indigenous</w:t>
            </w:r>
          </w:p>
        </w:tc>
        <w:tc>
          <w:tcPr>
            <w:tcW w:w="1559" w:type="dxa"/>
            <w:vAlign w:val="center"/>
          </w:tcPr>
          <w:p w14:paraId="360915A4" w14:textId="5D0FFCD3"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Non Indigenous %</w:t>
            </w:r>
          </w:p>
        </w:tc>
        <w:tc>
          <w:tcPr>
            <w:tcW w:w="992" w:type="dxa"/>
            <w:vAlign w:val="center"/>
          </w:tcPr>
          <w:p w14:paraId="360915A5" w14:textId="49630C49"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102" w:type="dxa"/>
            <w:vAlign w:val="center"/>
          </w:tcPr>
          <w:p w14:paraId="360915A6" w14:textId="77DB19FE"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w:t>
            </w:r>
          </w:p>
        </w:tc>
        <w:tc>
          <w:tcPr>
            <w:tcW w:w="1132" w:type="dxa"/>
            <w:vAlign w:val="center"/>
          </w:tcPr>
          <w:p w14:paraId="360915A7" w14:textId="2B811E6F"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1134" w:type="dxa"/>
            <w:vAlign w:val="center"/>
          </w:tcPr>
          <w:p w14:paraId="360915A8" w14:textId="1379573A"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117B2B" w:rsidRPr="004C2412" w14:paraId="360915B3" w14:textId="51C942C2" w:rsidTr="00B70E9D">
        <w:trPr>
          <w:trHeight w:val="459"/>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5AA" w14:textId="75B923E3" w:rsidR="00117B2B" w:rsidRPr="004C2412" w:rsidRDefault="00117B2B" w:rsidP="00117B2B">
            <w:pPr>
              <w:spacing w:before="0"/>
              <w:ind w:left="0"/>
            </w:pPr>
            <w:r w:rsidRPr="004C2412">
              <w:t>Voluntary unemployment- UNPP</w:t>
            </w:r>
          </w:p>
        </w:tc>
        <w:tc>
          <w:tcPr>
            <w:tcW w:w="1418" w:type="dxa"/>
            <w:vAlign w:val="center"/>
          </w:tcPr>
          <w:p w14:paraId="360915AB" w14:textId="5BB73993"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147</w:t>
            </w:r>
          </w:p>
        </w:tc>
        <w:tc>
          <w:tcPr>
            <w:tcW w:w="1559" w:type="dxa"/>
            <w:vAlign w:val="center"/>
          </w:tcPr>
          <w:p w14:paraId="360915AC" w14:textId="5D3D6675"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1.13%</w:t>
            </w:r>
          </w:p>
        </w:tc>
        <w:tc>
          <w:tcPr>
            <w:tcW w:w="1418" w:type="dxa"/>
            <w:vAlign w:val="center"/>
          </w:tcPr>
          <w:p w14:paraId="360915AD" w14:textId="711A71EB"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1,291</w:t>
            </w:r>
          </w:p>
        </w:tc>
        <w:tc>
          <w:tcPr>
            <w:tcW w:w="1559" w:type="dxa"/>
            <w:vAlign w:val="center"/>
          </w:tcPr>
          <w:p w14:paraId="360915AE" w14:textId="681756E1"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9.93%</w:t>
            </w:r>
          </w:p>
        </w:tc>
        <w:tc>
          <w:tcPr>
            <w:tcW w:w="992" w:type="dxa"/>
            <w:vAlign w:val="center"/>
          </w:tcPr>
          <w:p w14:paraId="360915AF" w14:textId="0FC0C405"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1,438</w:t>
            </w:r>
          </w:p>
        </w:tc>
        <w:tc>
          <w:tcPr>
            <w:tcW w:w="1102" w:type="dxa"/>
            <w:vAlign w:val="center"/>
          </w:tcPr>
          <w:p w14:paraId="360915B0" w14:textId="6E24F199"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11.06%</w:t>
            </w:r>
          </w:p>
        </w:tc>
        <w:tc>
          <w:tcPr>
            <w:tcW w:w="1132" w:type="dxa"/>
            <w:vAlign w:val="center"/>
          </w:tcPr>
          <w:p w14:paraId="360915B1" w14:textId="018EA35A"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6,684</w:t>
            </w:r>
          </w:p>
        </w:tc>
        <w:tc>
          <w:tcPr>
            <w:tcW w:w="1134" w:type="dxa"/>
            <w:vAlign w:val="center"/>
          </w:tcPr>
          <w:p w14:paraId="360915B2" w14:textId="67F6736E"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12.76%</w:t>
            </w:r>
          </w:p>
        </w:tc>
      </w:tr>
      <w:tr w:rsidR="00117B2B" w:rsidRPr="004C2412" w14:paraId="360915BD" w14:textId="39580FBB" w:rsidTr="00B70E9D">
        <w:trPr>
          <w:trHeight w:val="423"/>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5B4" w14:textId="49FE6563" w:rsidR="00117B2B" w:rsidRPr="004C2412" w:rsidRDefault="00117B2B" w:rsidP="00117B2B">
            <w:pPr>
              <w:spacing w:before="0"/>
              <w:ind w:left="0"/>
            </w:pPr>
            <w:r w:rsidRPr="004C2412">
              <w:t>Unemployment due to misconduct – UNPP</w:t>
            </w:r>
          </w:p>
        </w:tc>
        <w:tc>
          <w:tcPr>
            <w:tcW w:w="1418" w:type="dxa"/>
            <w:vAlign w:val="center"/>
          </w:tcPr>
          <w:p w14:paraId="360915B5" w14:textId="7D1AF063"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91</w:t>
            </w:r>
          </w:p>
        </w:tc>
        <w:tc>
          <w:tcPr>
            <w:tcW w:w="1559" w:type="dxa"/>
            <w:vAlign w:val="center"/>
          </w:tcPr>
          <w:p w14:paraId="360915B6" w14:textId="457EE3A0"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0.70%</w:t>
            </w:r>
          </w:p>
        </w:tc>
        <w:tc>
          <w:tcPr>
            <w:tcW w:w="1418" w:type="dxa"/>
            <w:vAlign w:val="center"/>
          </w:tcPr>
          <w:p w14:paraId="360915B7" w14:textId="544CBC7F"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890</w:t>
            </w:r>
          </w:p>
        </w:tc>
        <w:tc>
          <w:tcPr>
            <w:tcW w:w="1559" w:type="dxa"/>
            <w:vAlign w:val="center"/>
          </w:tcPr>
          <w:p w14:paraId="360915B8" w14:textId="4E8308DE"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6.84%</w:t>
            </w:r>
          </w:p>
        </w:tc>
        <w:tc>
          <w:tcPr>
            <w:tcW w:w="992" w:type="dxa"/>
            <w:vAlign w:val="center"/>
          </w:tcPr>
          <w:p w14:paraId="360915B9" w14:textId="480BD1FF"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981</w:t>
            </w:r>
          </w:p>
        </w:tc>
        <w:tc>
          <w:tcPr>
            <w:tcW w:w="1102" w:type="dxa"/>
            <w:vAlign w:val="center"/>
          </w:tcPr>
          <w:p w14:paraId="360915BA" w14:textId="5FC5E83E"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7.54%</w:t>
            </w:r>
          </w:p>
        </w:tc>
        <w:tc>
          <w:tcPr>
            <w:tcW w:w="1132" w:type="dxa"/>
            <w:vAlign w:val="center"/>
          </w:tcPr>
          <w:p w14:paraId="360915BB" w14:textId="486582EE"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4,130</w:t>
            </w:r>
          </w:p>
        </w:tc>
        <w:tc>
          <w:tcPr>
            <w:tcW w:w="1134" w:type="dxa"/>
            <w:vAlign w:val="center"/>
          </w:tcPr>
          <w:p w14:paraId="360915BC" w14:textId="7A6494DA"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7.88%</w:t>
            </w:r>
          </w:p>
        </w:tc>
      </w:tr>
      <w:tr w:rsidR="00117B2B" w:rsidRPr="004C2412" w14:paraId="360915C7" w14:textId="75DC9088" w:rsidTr="00B70E9D">
        <w:trPr>
          <w:trHeight w:val="415"/>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5BE" w14:textId="08D1134B" w:rsidR="00117B2B" w:rsidRPr="004C2412" w:rsidRDefault="00117B2B" w:rsidP="00117B2B">
            <w:pPr>
              <w:spacing w:before="0"/>
              <w:ind w:left="0"/>
            </w:pPr>
            <w:r w:rsidRPr="004C2412">
              <w:t>Persistent non-compliance - Serious</w:t>
            </w:r>
          </w:p>
        </w:tc>
        <w:tc>
          <w:tcPr>
            <w:tcW w:w="1418" w:type="dxa"/>
            <w:vAlign w:val="center"/>
          </w:tcPr>
          <w:p w14:paraId="360915BF" w14:textId="0C6EC14E"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7,893</w:t>
            </w:r>
          </w:p>
        </w:tc>
        <w:tc>
          <w:tcPr>
            <w:tcW w:w="1559" w:type="dxa"/>
            <w:vAlign w:val="center"/>
          </w:tcPr>
          <w:p w14:paraId="360915C0" w14:textId="73691273"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60.68%</w:t>
            </w:r>
          </w:p>
        </w:tc>
        <w:tc>
          <w:tcPr>
            <w:tcW w:w="1418" w:type="dxa"/>
            <w:vAlign w:val="center"/>
          </w:tcPr>
          <w:p w14:paraId="360915C1" w14:textId="527E855D"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2,363</w:t>
            </w:r>
          </w:p>
        </w:tc>
        <w:tc>
          <w:tcPr>
            <w:tcW w:w="1559" w:type="dxa"/>
            <w:vAlign w:val="center"/>
          </w:tcPr>
          <w:p w14:paraId="360915C2" w14:textId="5A55BF69"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18.17%</w:t>
            </w:r>
          </w:p>
        </w:tc>
        <w:tc>
          <w:tcPr>
            <w:tcW w:w="992" w:type="dxa"/>
            <w:vAlign w:val="center"/>
          </w:tcPr>
          <w:p w14:paraId="360915C3" w14:textId="117CD9F5"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10,256</w:t>
            </w:r>
          </w:p>
        </w:tc>
        <w:tc>
          <w:tcPr>
            <w:tcW w:w="1102" w:type="dxa"/>
            <w:vAlign w:val="center"/>
          </w:tcPr>
          <w:p w14:paraId="360915C4" w14:textId="17EDC456"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78.85%</w:t>
            </w:r>
          </w:p>
        </w:tc>
        <w:tc>
          <w:tcPr>
            <w:tcW w:w="1132" w:type="dxa"/>
            <w:vAlign w:val="center"/>
          </w:tcPr>
          <w:p w14:paraId="360915C5" w14:textId="35E4FB6B"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40,049</w:t>
            </w:r>
          </w:p>
        </w:tc>
        <w:tc>
          <w:tcPr>
            <w:tcW w:w="1134" w:type="dxa"/>
            <w:vAlign w:val="center"/>
          </w:tcPr>
          <w:p w14:paraId="360915C6" w14:textId="48F8BE46"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76.45%</w:t>
            </w:r>
          </w:p>
        </w:tc>
      </w:tr>
      <w:tr w:rsidR="00117B2B" w:rsidRPr="004C2412" w14:paraId="360915D1" w14:textId="1361F954" w:rsidTr="00B70E9D">
        <w:trPr>
          <w:trHeight w:val="421"/>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5C8" w14:textId="28987B97" w:rsidR="00117B2B" w:rsidRPr="004C2412" w:rsidRDefault="00117B2B" w:rsidP="00117B2B">
            <w:pPr>
              <w:spacing w:before="0"/>
              <w:ind w:left="0"/>
            </w:pPr>
            <w:r w:rsidRPr="004C2412">
              <w:t>Did not commence suitable work - Serious</w:t>
            </w:r>
          </w:p>
        </w:tc>
        <w:tc>
          <w:tcPr>
            <w:tcW w:w="1418" w:type="dxa"/>
            <w:vAlign w:val="center"/>
          </w:tcPr>
          <w:p w14:paraId="360915C9" w14:textId="0AE43F71"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16</w:t>
            </w:r>
          </w:p>
        </w:tc>
        <w:tc>
          <w:tcPr>
            <w:tcW w:w="1559" w:type="dxa"/>
            <w:vAlign w:val="center"/>
          </w:tcPr>
          <w:p w14:paraId="360915CA" w14:textId="3DF778AC"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0.12%</w:t>
            </w:r>
          </w:p>
        </w:tc>
        <w:tc>
          <w:tcPr>
            <w:tcW w:w="1418" w:type="dxa"/>
            <w:vAlign w:val="center"/>
          </w:tcPr>
          <w:p w14:paraId="360915CB" w14:textId="0D08C4F4"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111</w:t>
            </w:r>
          </w:p>
        </w:tc>
        <w:tc>
          <w:tcPr>
            <w:tcW w:w="1559" w:type="dxa"/>
            <w:vAlign w:val="center"/>
          </w:tcPr>
          <w:p w14:paraId="360915CC" w14:textId="18446FCC"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0.85%</w:t>
            </w:r>
          </w:p>
        </w:tc>
        <w:tc>
          <w:tcPr>
            <w:tcW w:w="992" w:type="dxa"/>
            <w:vAlign w:val="center"/>
          </w:tcPr>
          <w:p w14:paraId="360915CD" w14:textId="1E6BD307"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127</w:t>
            </w:r>
          </w:p>
        </w:tc>
        <w:tc>
          <w:tcPr>
            <w:tcW w:w="1102" w:type="dxa"/>
            <w:vAlign w:val="center"/>
          </w:tcPr>
          <w:p w14:paraId="360915CE" w14:textId="3BADB1A1"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0.98%</w:t>
            </w:r>
          </w:p>
        </w:tc>
        <w:tc>
          <w:tcPr>
            <w:tcW w:w="1132" w:type="dxa"/>
            <w:vAlign w:val="center"/>
          </w:tcPr>
          <w:p w14:paraId="360915CF" w14:textId="6818DA79"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576</w:t>
            </w:r>
          </w:p>
        </w:tc>
        <w:tc>
          <w:tcPr>
            <w:tcW w:w="1134" w:type="dxa"/>
            <w:vAlign w:val="center"/>
          </w:tcPr>
          <w:p w14:paraId="360915D0" w14:textId="7E128CE4"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1.10%</w:t>
            </w:r>
          </w:p>
        </w:tc>
      </w:tr>
      <w:tr w:rsidR="00117B2B" w:rsidRPr="004C2412" w14:paraId="360915DB" w14:textId="582864B5" w:rsidTr="00B70E9D">
        <w:trPr>
          <w:trHeight w:val="413"/>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5D2" w14:textId="30A6D52C" w:rsidR="00117B2B" w:rsidRPr="004C2412" w:rsidRDefault="00117B2B" w:rsidP="00117B2B">
            <w:pPr>
              <w:spacing w:before="0"/>
              <w:ind w:left="0"/>
            </w:pPr>
            <w:r w:rsidRPr="004C2412">
              <w:t>Refused a suitable job - Serious</w:t>
            </w:r>
          </w:p>
        </w:tc>
        <w:tc>
          <w:tcPr>
            <w:tcW w:w="1418" w:type="dxa"/>
            <w:vAlign w:val="center"/>
          </w:tcPr>
          <w:p w14:paraId="360915D3" w14:textId="34B6A8AE"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14</w:t>
            </w:r>
          </w:p>
        </w:tc>
        <w:tc>
          <w:tcPr>
            <w:tcW w:w="1559" w:type="dxa"/>
            <w:vAlign w:val="center"/>
          </w:tcPr>
          <w:p w14:paraId="360915D4" w14:textId="1858600A"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0.11%</w:t>
            </w:r>
          </w:p>
        </w:tc>
        <w:tc>
          <w:tcPr>
            <w:tcW w:w="1418" w:type="dxa"/>
            <w:vAlign w:val="center"/>
          </w:tcPr>
          <w:p w14:paraId="360915D5" w14:textId="7F0A12CE"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191</w:t>
            </w:r>
          </w:p>
        </w:tc>
        <w:tc>
          <w:tcPr>
            <w:tcW w:w="1559" w:type="dxa"/>
            <w:vAlign w:val="center"/>
          </w:tcPr>
          <w:p w14:paraId="360915D6" w14:textId="3AC1C16D"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1.47%</w:t>
            </w:r>
          </w:p>
        </w:tc>
        <w:tc>
          <w:tcPr>
            <w:tcW w:w="992" w:type="dxa"/>
            <w:vAlign w:val="center"/>
          </w:tcPr>
          <w:p w14:paraId="360915D7" w14:textId="0BC64CF6"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205</w:t>
            </w:r>
          </w:p>
        </w:tc>
        <w:tc>
          <w:tcPr>
            <w:tcW w:w="1102" w:type="dxa"/>
            <w:vAlign w:val="center"/>
          </w:tcPr>
          <w:p w14:paraId="360915D8" w14:textId="522D7A61"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1.58%</w:t>
            </w:r>
          </w:p>
        </w:tc>
        <w:tc>
          <w:tcPr>
            <w:tcW w:w="1132" w:type="dxa"/>
            <w:vAlign w:val="center"/>
          </w:tcPr>
          <w:p w14:paraId="360915D9" w14:textId="7C03BC76"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945</w:t>
            </w:r>
          </w:p>
        </w:tc>
        <w:tc>
          <w:tcPr>
            <w:tcW w:w="1134" w:type="dxa"/>
            <w:vAlign w:val="center"/>
          </w:tcPr>
          <w:p w14:paraId="360915DA" w14:textId="52679D11" w:rsidR="00117B2B" w:rsidRPr="004C2412" w:rsidRDefault="00117B2B" w:rsidP="00117B2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67E30">
              <w:t>1.80%</w:t>
            </w:r>
          </w:p>
        </w:tc>
      </w:tr>
      <w:tr w:rsidR="00117B2B" w:rsidRPr="004C2412" w14:paraId="360915E5" w14:textId="28B7AEFD" w:rsidTr="00B70E9D">
        <w:trPr>
          <w:cnfStyle w:val="010000000000" w:firstRow="0" w:lastRow="1"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5DC" w14:textId="02D0947A" w:rsidR="00117B2B" w:rsidRPr="004C2412" w:rsidRDefault="00117B2B" w:rsidP="00117B2B">
            <w:pPr>
              <w:spacing w:before="0"/>
              <w:ind w:left="0"/>
            </w:pPr>
            <w:r w:rsidRPr="004C2412">
              <w:t xml:space="preserve">Sub Total NPPs </w:t>
            </w:r>
          </w:p>
        </w:tc>
        <w:tc>
          <w:tcPr>
            <w:tcW w:w="1418" w:type="dxa"/>
            <w:vAlign w:val="center"/>
          </w:tcPr>
          <w:p w14:paraId="360915DD" w14:textId="263B34CB" w:rsidR="00117B2B" w:rsidRPr="004C2412" w:rsidRDefault="00117B2B" w:rsidP="00117B2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967E30">
              <w:t>8,161</w:t>
            </w:r>
          </w:p>
        </w:tc>
        <w:tc>
          <w:tcPr>
            <w:tcW w:w="1559" w:type="dxa"/>
            <w:vAlign w:val="center"/>
          </w:tcPr>
          <w:p w14:paraId="360915DE" w14:textId="78075FFA" w:rsidR="00117B2B" w:rsidRPr="004C2412" w:rsidRDefault="00117B2B" w:rsidP="00117B2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967E30">
              <w:t>62.74%</w:t>
            </w:r>
          </w:p>
        </w:tc>
        <w:tc>
          <w:tcPr>
            <w:tcW w:w="1418" w:type="dxa"/>
            <w:vAlign w:val="center"/>
          </w:tcPr>
          <w:p w14:paraId="360915DF" w14:textId="611B551F" w:rsidR="00117B2B" w:rsidRPr="004C2412" w:rsidRDefault="00117B2B" w:rsidP="00117B2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967E30">
              <w:t>4,846</w:t>
            </w:r>
          </w:p>
        </w:tc>
        <w:tc>
          <w:tcPr>
            <w:tcW w:w="1559" w:type="dxa"/>
            <w:vAlign w:val="center"/>
          </w:tcPr>
          <w:p w14:paraId="360915E0" w14:textId="2A8507BE" w:rsidR="00117B2B" w:rsidRPr="004C2412" w:rsidRDefault="00117B2B" w:rsidP="00117B2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967E30">
              <w:t>37.26%</w:t>
            </w:r>
          </w:p>
        </w:tc>
        <w:tc>
          <w:tcPr>
            <w:tcW w:w="992" w:type="dxa"/>
            <w:vAlign w:val="center"/>
          </w:tcPr>
          <w:p w14:paraId="360915E1" w14:textId="4D16A1D8" w:rsidR="00117B2B" w:rsidRPr="004C2412" w:rsidRDefault="00117B2B" w:rsidP="00117B2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967E30">
              <w:t>13,007</w:t>
            </w:r>
          </w:p>
        </w:tc>
        <w:tc>
          <w:tcPr>
            <w:tcW w:w="1102" w:type="dxa"/>
            <w:vAlign w:val="center"/>
          </w:tcPr>
          <w:p w14:paraId="360915E2" w14:textId="03F4905B" w:rsidR="00117B2B" w:rsidRPr="004C2412" w:rsidRDefault="00117B2B" w:rsidP="00117B2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967E30">
              <w:t>100.00%</w:t>
            </w:r>
          </w:p>
        </w:tc>
        <w:tc>
          <w:tcPr>
            <w:tcW w:w="1132" w:type="dxa"/>
            <w:vAlign w:val="center"/>
          </w:tcPr>
          <w:p w14:paraId="360915E3" w14:textId="1CAEF3F1" w:rsidR="00117B2B" w:rsidRPr="004C2412" w:rsidRDefault="00117B2B" w:rsidP="00117B2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967E30">
              <w:t>52,384</w:t>
            </w:r>
          </w:p>
        </w:tc>
        <w:tc>
          <w:tcPr>
            <w:tcW w:w="1134" w:type="dxa"/>
            <w:vAlign w:val="center"/>
          </w:tcPr>
          <w:p w14:paraId="360915E4" w14:textId="73860DE4" w:rsidR="00117B2B" w:rsidRPr="004C2412" w:rsidRDefault="00117B2B" w:rsidP="00117B2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967E30">
              <w:t>100.00%</w:t>
            </w:r>
          </w:p>
        </w:tc>
      </w:tr>
    </w:tbl>
    <w:p w14:paraId="5EAC1458" w14:textId="3309060F" w:rsidR="00BF33EB" w:rsidRPr="004C2412" w:rsidRDefault="00606BF5" w:rsidP="00A609AA">
      <w:pPr>
        <w:ind w:left="0"/>
      </w:pPr>
      <w:r w:rsidRPr="004C2412">
        <w:t xml:space="preserve">Unemployment non-payment periods are generally for eight weeks. However, a person who has received </w:t>
      </w:r>
      <w:r w:rsidRPr="004C2412">
        <w:rPr>
          <w:noProof/>
        </w:rPr>
        <w:t xml:space="preserve">Relocation Assistance to take up a job and </w:t>
      </w:r>
      <w:r w:rsidRPr="004C2412">
        <w:t xml:space="preserve">voluntarily leaves this job without a reasonable excuse, or </w:t>
      </w:r>
      <w:proofErr w:type="gramStart"/>
      <w:r w:rsidRPr="004C2412">
        <w:t>is dismissed</w:t>
      </w:r>
      <w:proofErr w:type="gramEnd"/>
      <w:r w:rsidRPr="004C2412">
        <w:t xml:space="preserve"> for misconduct within the first six months, may be subject to a non-payment penalty period of 12 weeks. This penalty </w:t>
      </w:r>
      <w:proofErr w:type="gramStart"/>
      <w:r w:rsidRPr="004C2412">
        <w:t>may also be applied</w:t>
      </w:r>
      <w:proofErr w:type="gramEnd"/>
      <w:r w:rsidRPr="004C2412">
        <w:t xml:space="preserve"> if the job seeker accepts the job and relocates but does not commence employment.</w:t>
      </w:r>
    </w:p>
    <w:p w14:paraId="7C3A42DD" w14:textId="77777777" w:rsidR="00BF33EB" w:rsidRPr="004C2412" w:rsidRDefault="00BF33EB">
      <w:pPr>
        <w:spacing w:before="0"/>
        <w:ind w:left="0"/>
      </w:pPr>
      <w:r w:rsidRPr="004C2412">
        <w:br w:type="page"/>
      </w:r>
    </w:p>
    <w:p w14:paraId="360915E7" w14:textId="45057D6B" w:rsidR="00E8387B" w:rsidRPr="004C2412" w:rsidRDefault="00D6515C" w:rsidP="00A609AA">
      <w:pPr>
        <w:pStyle w:val="Heading3"/>
        <w:numPr>
          <w:ilvl w:val="0"/>
          <w:numId w:val="0"/>
        </w:numPr>
      </w:pPr>
      <w:bookmarkStart w:id="54" w:name="_Toc526864460"/>
      <w:r w:rsidRPr="004C2412">
        <w:t xml:space="preserve">14 b </w:t>
      </w:r>
      <w:r w:rsidR="00606BF5" w:rsidRPr="004C2412">
        <w:t>–</w:t>
      </w:r>
      <w:r w:rsidRPr="004C2412">
        <w:t xml:space="preserve"> </w:t>
      </w:r>
      <w:r w:rsidR="006C7CE4" w:rsidRPr="004C2412">
        <w:t>Short Term Financial Penalties</w:t>
      </w:r>
      <w:r w:rsidR="00606BF5" w:rsidRPr="004C2412">
        <w:t xml:space="preserve"> and Total Financial Penalty Summary </w:t>
      </w:r>
      <w:r w:rsidR="00C95ED9" w:rsidRPr="004C2412">
        <w:t>-</w:t>
      </w:r>
      <w:r w:rsidR="00606BF5" w:rsidRPr="004C2412">
        <w:t xml:space="preserve"> 1 </w:t>
      </w:r>
      <w:r w:rsidR="008C5615">
        <w:t>April</w:t>
      </w:r>
      <w:r w:rsidR="008C5615" w:rsidRPr="004C2412">
        <w:t xml:space="preserve"> </w:t>
      </w:r>
      <w:r w:rsidR="00606BF5" w:rsidRPr="004C2412">
        <w:t>to 3</w:t>
      </w:r>
      <w:r w:rsidR="008C5615">
        <w:t>0</w:t>
      </w:r>
      <w:r w:rsidR="00606BF5" w:rsidRPr="004C2412">
        <w:t xml:space="preserve"> </w:t>
      </w:r>
      <w:r w:rsidR="008C5615">
        <w:t>June</w:t>
      </w:r>
      <w:r w:rsidR="00660BFC" w:rsidRPr="004C2412">
        <w:t xml:space="preserve"> </w:t>
      </w:r>
      <w:r w:rsidR="00606BF5" w:rsidRPr="004C2412">
        <w:t>201</w:t>
      </w:r>
      <w:r w:rsidR="00660BFC" w:rsidRPr="004C2412">
        <w:t>8</w:t>
      </w:r>
      <w:bookmarkEnd w:id="54"/>
    </w:p>
    <w:tbl>
      <w:tblPr>
        <w:tblStyle w:val="LeftAlignTable"/>
        <w:tblW w:w="14816" w:type="dxa"/>
        <w:tblInd w:w="-5" w:type="dxa"/>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536"/>
        <w:gridCol w:w="1560"/>
        <w:gridCol w:w="1527"/>
        <w:gridCol w:w="1406"/>
        <w:gridCol w:w="1417"/>
        <w:gridCol w:w="1036"/>
        <w:gridCol w:w="1076"/>
        <w:gridCol w:w="1129"/>
        <w:gridCol w:w="1129"/>
      </w:tblGrid>
      <w:tr w:rsidR="00D9585E" w:rsidRPr="004C2412" w14:paraId="360915F1" w14:textId="74EE2F77" w:rsidTr="001C410D">
        <w:trPr>
          <w:cnfStyle w:val="100000000000" w:firstRow="1" w:lastRow="0" w:firstColumn="0" w:lastColumn="0" w:oddVBand="0" w:evenVBand="0" w:oddHBand="0" w:evenHBand="0" w:firstRowFirstColumn="0" w:firstRowLastColumn="0" w:lastRowFirstColumn="0" w:lastRowLastColumn="0"/>
          <w:trHeight w:val="898"/>
          <w:tblHeader/>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vAlign w:val="center"/>
          </w:tcPr>
          <w:p w14:paraId="360915E8" w14:textId="1E368014" w:rsidR="00D9585E" w:rsidRPr="004C2412" w:rsidRDefault="00606BF5" w:rsidP="00910012">
            <w:pPr>
              <w:spacing w:before="0"/>
              <w:ind w:left="0"/>
            </w:pPr>
            <w:r w:rsidRPr="004C2412">
              <w:rPr>
                <w:noProof/>
              </w:rPr>
              <w:t>Type of Short Term Penalty: Non-Attendance (NAF), Reconnection and No</w:t>
            </w:r>
            <w:r w:rsidRPr="004C2412">
              <w:rPr>
                <w:noProof/>
              </w:rPr>
              <w:noBreakHyphen/>
              <w:t>Show No</w:t>
            </w:r>
            <w:r w:rsidRPr="004C2412">
              <w:rPr>
                <w:noProof/>
              </w:rPr>
              <w:noBreakHyphen/>
              <w:t>Pay (NSNP)</w:t>
            </w:r>
          </w:p>
        </w:tc>
        <w:tc>
          <w:tcPr>
            <w:tcW w:w="1560" w:type="dxa"/>
            <w:vAlign w:val="center"/>
          </w:tcPr>
          <w:p w14:paraId="360915E9" w14:textId="0930B936"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Indigenous</w:t>
            </w:r>
          </w:p>
        </w:tc>
        <w:tc>
          <w:tcPr>
            <w:tcW w:w="1527" w:type="dxa"/>
            <w:vAlign w:val="center"/>
          </w:tcPr>
          <w:p w14:paraId="360915EA" w14:textId="2D3E069D"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Indigenous %</w:t>
            </w:r>
          </w:p>
        </w:tc>
        <w:tc>
          <w:tcPr>
            <w:tcW w:w="1406" w:type="dxa"/>
            <w:vAlign w:val="center"/>
          </w:tcPr>
          <w:p w14:paraId="360915EB" w14:textId="3F907F24"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Non Indigenous</w:t>
            </w:r>
          </w:p>
        </w:tc>
        <w:tc>
          <w:tcPr>
            <w:tcW w:w="1417" w:type="dxa"/>
            <w:vAlign w:val="center"/>
          </w:tcPr>
          <w:p w14:paraId="360915EC" w14:textId="256A5435"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Non Indigenous %</w:t>
            </w:r>
          </w:p>
        </w:tc>
        <w:tc>
          <w:tcPr>
            <w:tcW w:w="1036" w:type="dxa"/>
            <w:vAlign w:val="center"/>
          </w:tcPr>
          <w:p w14:paraId="360915ED" w14:textId="7B2D3DB5"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076" w:type="dxa"/>
            <w:vAlign w:val="center"/>
          </w:tcPr>
          <w:p w14:paraId="360915EE" w14:textId="11A53B66"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w:t>
            </w:r>
          </w:p>
        </w:tc>
        <w:tc>
          <w:tcPr>
            <w:tcW w:w="1129" w:type="dxa"/>
            <w:vAlign w:val="center"/>
          </w:tcPr>
          <w:p w14:paraId="360915EF" w14:textId="0AE4683D"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1129" w:type="dxa"/>
            <w:vAlign w:val="center"/>
          </w:tcPr>
          <w:p w14:paraId="360915F0" w14:textId="777F97C4"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8C5615" w:rsidRPr="004C2412" w14:paraId="360915FB" w14:textId="5D474AED" w:rsidTr="00B70E9D">
        <w:trPr>
          <w:trHeight w:val="581"/>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5F2" w14:textId="13CFFDB0" w:rsidR="008C5615" w:rsidRPr="004C2412" w:rsidRDefault="008C5615" w:rsidP="008C5615">
            <w:pPr>
              <w:spacing w:before="0"/>
              <w:ind w:left="0"/>
              <w:rPr>
                <w:noProof/>
              </w:rPr>
            </w:pPr>
            <w:r w:rsidRPr="004C2412">
              <w:rPr>
                <w:noProof/>
              </w:rPr>
              <w:t>Appointment related failures – Provider (NAF and Reconnection) and DHS (Reconnection)</w:t>
            </w:r>
          </w:p>
        </w:tc>
        <w:tc>
          <w:tcPr>
            <w:tcW w:w="1560" w:type="dxa"/>
            <w:vAlign w:val="center"/>
          </w:tcPr>
          <w:p w14:paraId="360915F3" w14:textId="00F70F2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3,467</w:t>
            </w:r>
          </w:p>
        </w:tc>
        <w:tc>
          <w:tcPr>
            <w:tcW w:w="1527" w:type="dxa"/>
            <w:vAlign w:val="center"/>
          </w:tcPr>
          <w:p w14:paraId="360915F4" w14:textId="0B1DDC4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4.23%</w:t>
            </w:r>
          </w:p>
        </w:tc>
        <w:tc>
          <w:tcPr>
            <w:tcW w:w="1406" w:type="dxa"/>
            <w:vAlign w:val="center"/>
          </w:tcPr>
          <w:p w14:paraId="360915F5" w14:textId="6575006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10,013</w:t>
            </w:r>
          </w:p>
        </w:tc>
        <w:tc>
          <w:tcPr>
            <w:tcW w:w="1417" w:type="dxa"/>
            <w:vAlign w:val="center"/>
          </w:tcPr>
          <w:p w14:paraId="360915F6" w14:textId="423FFAEA"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12.23%</w:t>
            </w:r>
          </w:p>
        </w:tc>
        <w:tc>
          <w:tcPr>
            <w:tcW w:w="1036" w:type="dxa"/>
            <w:vAlign w:val="center"/>
          </w:tcPr>
          <w:p w14:paraId="360915F7" w14:textId="47F003C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13,480</w:t>
            </w:r>
          </w:p>
        </w:tc>
        <w:tc>
          <w:tcPr>
            <w:tcW w:w="1076" w:type="dxa"/>
            <w:vAlign w:val="center"/>
          </w:tcPr>
          <w:p w14:paraId="360915F8" w14:textId="34E71D3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16.47%</w:t>
            </w:r>
          </w:p>
        </w:tc>
        <w:tc>
          <w:tcPr>
            <w:tcW w:w="1129" w:type="dxa"/>
            <w:vAlign w:val="center"/>
          </w:tcPr>
          <w:p w14:paraId="360915F9" w14:textId="60263E3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57,410</w:t>
            </w:r>
          </w:p>
        </w:tc>
        <w:tc>
          <w:tcPr>
            <w:tcW w:w="1129" w:type="dxa"/>
            <w:vAlign w:val="center"/>
          </w:tcPr>
          <w:p w14:paraId="360915FA" w14:textId="6F33FEF7"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16.78%</w:t>
            </w:r>
          </w:p>
        </w:tc>
      </w:tr>
      <w:tr w:rsidR="008C5615" w:rsidRPr="004C2412" w14:paraId="36091605" w14:textId="52FE76E0" w:rsidTr="00B70E9D">
        <w:trPr>
          <w:trHeight w:val="598"/>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5FC" w14:textId="6BECA4FB" w:rsidR="008C5615" w:rsidRPr="004C2412" w:rsidRDefault="008C5615" w:rsidP="008C5615">
            <w:pPr>
              <w:spacing w:before="0"/>
              <w:ind w:left="0"/>
              <w:rPr>
                <w:noProof/>
              </w:rPr>
            </w:pPr>
            <w:r w:rsidRPr="004C2412">
              <w:rPr>
                <w:noProof/>
              </w:rPr>
              <w:t>Other failures to comply with a reconnection requirement that resulted in a financial penalty^</w:t>
            </w:r>
          </w:p>
        </w:tc>
        <w:tc>
          <w:tcPr>
            <w:tcW w:w="1560" w:type="dxa"/>
            <w:vAlign w:val="center"/>
          </w:tcPr>
          <w:p w14:paraId="360915FD" w14:textId="62CD1C7A"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191</w:t>
            </w:r>
          </w:p>
        </w:tc>
        <w:tc>
          <w:tcPr>
            <w:tcW w:w="1527" w:type="dxa"/>
            <w:vAlign w:val="center"/>
          </w:tcPr>
          <w:p w14:paraId="360915FE" w14:textId="5845670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0.23%</w:t>
            </w:r>
          </w:p>
        </w:tc>
        <w:tc>
          <w:tcPr>
            <w:tcW w:w="1406" w:type="dxa"/>
            <w:vAlign w:val="center"/>
          </w:tcPr>
          <w:p w14:paraId="360915FF" w14:textId="4602FD6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498</w:t>
            </w:r>
          </w:p>
        </w:tc>
        <w:tc>
          <w:tcPr>
            <w:tcW w:w="1417" w:type="dxa"/>
            <w:vAlign w:val="center"/>
          </w:tcPr>
          <w:p w14:paraId="36091600" w14:textId="30030A9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0.61%</w:t>
            </w:r>
          </w:p>
        </w:tc>
        <w:tc>
          <w:tcPr>
            <w:tcW w:w="1036" w:type="dxa"/>
            <w:vAlign w:val="center"/>
          </w:tcPr>
          <w:p w14:paraId="36091601" w14:textId="5AE8F9D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689</w:t>
            </w:r>
          </w:p>
        </w:tc>
        <w:tc>
          <w:tcPr>
            <w:tcW w:w="1076" w:type="dxa"/>
            <w:vAlign w:val="center"/>
          </w:tcPr>
          <w:p w14:paraId="36091602" w14:textId="4D18614A"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0.84%</w:t>
            </w:r>
          </w:p>
        </w:tc>
        <w:tc>
          <w:tcPr>
            <w:tcW w:w="1129" w:type="dxa"/>
            <w:vAlign w:val="center"/>
          </w:tcPr>
          <w:p w14:paraId="36091603" w14:textId="0FDA96D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2,310</w:t>
            </w:r>
          </w:p>
        </w:tc>
        <w:tc>
          <w:tcPr>
            <w:tcW w:w="1129" w:type="dxa"/>
            <w:vAlign w:val="center"/>
          </w:tcPr>
          <w:p w14:paraId="36091604" w14:textId="388024FC"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0.68%</w:t>
            </w:r>
          </w:p>
        </w:tc>
      </w:tr>
      <w:tr w:rsidR="008C5615" w:rsidRPr="004C2412" w14:paraId="3609160F" w14:textId="7226C047" w:rsidTr="00B70E9D">
        <w:trPr>
          <w:trHeight w:val="598"/>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606" w14:textId="1ECAB98F" w:rsidR="008C5615" w:rsidRPr="004C2412" w:rsidRDefault="008C5615" w:rsidP="008C5615">
            <w:pPr>
              <w:spacing w:before="0"/>
              <w:ind w:left="0"/>
            </w:pPr>
            <w:r w:rsidRPr="004C2412">
              <w:t>Failure to attend activity specified in a Job Plan (NSNP)</w:t>
            </w:r>
          </w:p>
        </w:tc>
        <w:tc>
          <w:tcPr>
            <w:tcW w:w="1560" w:type="dxa"/>
            <w:vAlign w:val="center"/>
          </w:tcPr>
          <w:p w14:paraId="36091607" w14:textId="2CD0B1E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43,984</w:t>
            </w:r>
          </w:p>
        </w:tc>
        <w:tc>
          <w:tcPr>
            <w:tcW w:w="1527" w:type="dxa"/>
            <w:vAlign w:val="center"/>
          </w:tcPr>
          <w:p w14:paraId="36091608" w14:textId="4F135FC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53.73%</w:t>
            </w:r>
          </w:p>
        </w:tc>
        <w:tc>
          <w:tcPr>
            <w:tcW w:w="1406" w:type="dxa"/>
            <w:vAlign w:val="center"/>
          </w:tcPr>
          <w:p w14:paraId="36091609" w14:textId="44521C3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22,519</w:t>
            </w:r>
          </w:p>
        </w:tc>
        <w:tc>
          <w:tcPr>
            <w:tcW w:w="1417" w:type="dxa"/>
            <w:vAlign w:val="center"/>
          </w:tcPr>
          <w:p w14:paraId="3609160A" w14:textId="355662B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27.51%</w:t>
            </w:r>
          </w:p>
        </w:tc>
        <w:tc>
          <w:tcPr>
            <w:tcW w:w="1036" w:type="dxa"/>
            <w:vAlign w:val="center"/>
          </w:tcPr>
          <w:p w14:paraId="3609160B" w14:textId="1E29BFA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66,503</w:t>
            </w:r>
          </w:p>
        </w:tc>
        <w:tc>
          <w:tcPr>
            <w:tcW w:w="1076" w:type="dxa"/>
            <w:vAlign w:val="center"/>
          </w:tcPr>
          <w:p w14:paraId="3609160C" w14:textId="1C1B8FB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81.23%</w:t>
            </w:r>
          </w:p>
        </w:tc>
        <w:tc>
          <w:tcPr>
            <w:tcW w:w="1129" w:type="dxa"/>
            <w:vAlign w:val="center"/>
          </w:tcPr>
          <w:p w14:paraId="3609160D" w14:textId="3564DF8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277,465</w:t>
            </w:r>
          </w:p>
        </w:tc>
        <w:tc>
          <w:tcPr>
            <w:tcW w:w="1129" w:type="dxa"/>
            <w:vAlign w:val="center"/>
          </w:tcPr>
          <w:p w14:paraId="3609160E" w14:textId="3CBC596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81.12%</w:t>
            </w:r>
          </w:p>
        </w:tc>
      </w:tr>
      <w:tr w:rsidR="008C5615" w:rsidRPr="004C2412" w14:paraId="36091619" w14:textId="59AA8091" w:rsidTr="00B70E9D">
        <w:trPr>
          <w:trHeight w:val="3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610" w14:textId="52427BBE" w:rsidR="008C5615" w:rsidRPr="004C2412" w:rsidRDefault="008C5615" w:rsidP="008C5615">
            <w:pPr>
              <w:spacing w:before="0"/>
              <w:ind w:left="0"/>
            </w:pPr>
            <w:r w:rsidRPr="004C2412">
              <w:t>Failure to attend job interview (NSNP)</w:t>
            </w:r>
          </w:p>
        </w:tc>
        <w:tc>
          <w:tcPr>
            <w:tcW w:w="1560" w:type="dxa"/>
            <w:vAlign w:val="center"/>
          </w:tcPr>
          <w:p w14:paraId="36091611" w14:textId="6E26645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100</w:t>
            </w:r>
          </w:p>
        </w:tc>
        <w:tc>
          <w:tcPr>
            <w:tcW w:w="1527" w:type="dxa"/>
            <w:vAlign w:val="center"/>
          </w:tcPr>
          <w:p w14:paraId="36091612" w14:textId="425B454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0.12%</w:t>
            </w:r>
          </w:p>
        </w:tc>
        <w:tc>
          <w:tcPr>
            <w:tcW w:w="1406" w:type="dxa"/>
            <w:vAlign w:val="center"/>
          </w:tcPr>
          <w:p w14:paraId="36091613" w14:textId="7FFFCA2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616</w:t>
            </w:r>
          </w:p>
        </w:tc>
        <w:tc>
          <w:tcPr>
            <w:tcW w:w="1417" w:type="dxa"/>
            <w:vAlign w:val="center"/>
          </w:tcPr>
          <w:p w14:paraId="36091614" w14:textId="726005C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0.75%</w:t>
            </w:r>
          </w:p>
        </w:tc>
        <w:tc>
          <w:tcPr>
            <w:tcW w:w="1036" w:type="dxa"/>
            <w:vAlign w:val="center"/>
          </w:tcPr>
          <w:p w14:paraId="36091615" w14:textId="3FADE68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716</w:t>
            </w:r>
          </w:p>
        </w:tc>
        <w:tc>
          <w:tcPr>
            <w:tcW w:w="1076" w:type="dxa"/>
            <w:vAlign w:val="center"/>
          </w:tcPr>
          <w:p w14:paraId="36091616" w14:textId="269DF82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0.87%</w:t>
            </w:r>
          </w:p>
        </w:tc>
        <w:tc>
          <w:tcPr>
            <w:tcW w:w="1129" w:type="dxa"/>
            <w:vAlign w:val="center"/>
          </w:tcPr>
          <w:p w14:paraId="36091617" w14:textId="3655EE4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2,956</w:t>
            </w:r>
          </w:p>
        </w:tc>
        <w:tc>
          <w:tcPr>
            <w:tcW w:w="1129" w:type="dxa"/>
            <w:vAlign w:val="center"/>
          </w:tcPr>
          <w:p w14:paraId="36091618" w14:textId="28A28F9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0.86%</w:t>
            </w:r>
          </w:p>
        </w:tc>
      </w:tr>
      <w:tr w:rsidR="008C5615" w:rsidRPr="004C2412" w14:paraId="36091623" w14:textId="52852598" w:rsidTr="00B70E9D">
        <w:trPr>
          <w:trHeight w:val="299"/>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61A" w14:textId="3131BAA1" w:rsidR="008C5615" w:rsidRPr="004C2412" w:rsidRDefault="008C5615" w:rsidP="008C5615">
            <w:pPr>
              <w:spacing w:before="0"/>
              <w:ind w:left="0"/>
            </w:pPr>
            <w:r w:rsidRPr="004C2412">
              <w:t>Inappropriate conduct in a Job Plan activity (NSNP)</w:t>
            </w:r>
          </w:p>
        </w:tc>
        <w:tc>
          <w:tcPr>
            <w:tcW w:w="1560" w:type="dxa"/>
            <w:vAlign w:val="center"/>
          </w:tcPr>
          <w:p w14:paraId="3609161B" w14:textId="003963B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38</w:t>
            </w:r>
          </w:p>
        </w:tc>
        <w:tc>
          <w:tcPr>
            <w:tcW w:w="1527" w:type="dxa"/>
            <w:vAlign w:val="center"/>
          </w:tcPr>
          <w:p w14:paraId="3609161C" w14:textId="2E582F5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0.05%</w:t>
            </w:r>
          </w:p>
        </w:tc>
        <w:tc>
          <w:tcPr>
            <w:tcW w:w="1406" w:type="dxa"/>
            <w:vAlign w:val="center"/>
          </w:tcPr>
          <w:p w14:paraId="3609161D" w14:textId="261C617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281</w:t>
            </w:r>
          </w:p>
        </w:tc>
        <w:tc>
          <w:tcPr>
            <w:tcW w:w="1417" w:type="dxa"/>
            <w:vAlign w:val="center"/>
          </w:tcPr>
          <w:p w14:paraId="3609161E" w14:textId="2848ABD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0.34%</w:t>
            </w:r>
          </w:p>
        </w:tc>
        <w:tc>
          <w:tcPr>
            <w:tcW w:w="1036" w:type="dxa"/>
            <w:vAlign w:val="center"/>
          </w:tcPr>
          <w:p w14:paraId="3609161F" w14:textId="702D827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319</w:t>
            </w:r>
          </w:p>
        </w:tc>
        <w:tc>
          <w:tcPr>
            <w:tcW w:w="1076" w:type="dxa"/>
            <w:vAlign w:val="center"/>
          </w:tcPr>
          <w:p w14:paraId="36091620" w14:textId="78C7A00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0.39%</w:t>
            </w:r>
          </w:p>
        </w:tc>
        <w:tc>
          <w:tcPr>
            <w:tcW w:w="1129" w:type="dxa"/>
            <w:vAlign w:val="center"/>
          </w:tcPr>
          <w:p w14:paraId="36091621" w14:textId="18D4EAF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1,313</w:t>
            </w:r>
          </w:p>
        </w:tc>
        <w:tc>
          <w:tcPr>
            <w:tcW w:w="1129" w:type="dxa"/>
            <w:vAlign w:val="center"/>
          </w:tcPr>
          <w:p w14:paraId="36091622" w14:textId="5A1BC80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0.38%</w:t>
            </w:r>
          </w:p>
        </w:tc>
      </w:tr>
      <w:tr w:rsidR="008C5615" w:rsidRPr="004C2412" w14:paraId="3609162D" w14:textId="217AB77A" w:rsidTr="00B70E9D">
        <w:trPr>
          <w:trHeight w:val="598"/>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624" w14:textId="0B4186A8" w:rsidR="008C5615" w:rsidRPr="004C2412" w:rsidRDefault="008C5615" w:rsidP="008C5615">
            <w:pPr>
              <w:spacing w:before="0"/>
              <w:ind w:left="0"/>
            </w:pPr>
            <w:r w:rsidRPr="004C2412">
              <w:t>Inappropriate presentation or conduct at job interview (NSNP)</w:t>
            </w:r>
          </w:p>
        </w:tc>
        <w:tc>
          <w:tcPr>
            <w:tcW w:w="1560" w:type="dxa"/>
            <w:vAlign w:val="center"/>
          </w:tcPr>
          <w:p w14:paraId="36091625" w14:textId="78F52A9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7</w:t>
            </w:r>
          </w:p>
        </w:tc>
        <w:tc>
          <w:tcPr>
            <w:tcW w:w="1527" w:type="dxa"/>
            <w:vAlign w:val="center"/>
          </w:tcPr>
          <w:p w14:paraId="36091626" w14:textId="5772CBA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0.01%</w:t>
            </w:r>
          </w:p>
        </w:tc>
        <w:tc>
          <w:tcPr>
            <w:tcW w:w="1406" w:type="dxa"/>
            <w:vAlign w:val="center"/>
          </w:tcPr>
          <w:p w14:paraId="36091627" w14:textId="05CFB97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152</w:t>
            </w:r>
          </w:p>
        </w:tc>
        <w:tc>
          <w:tcPr>
            <w:tcW w:w="1417" w:type="dxa"/>
            <w:vAlign w:val="center"/>
          </w:tcPr>
          <w:p w14:paraId="36091628" w14:textId="5243924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0.19%</w:t>
            </w:r>
          </w:p>
        </w:tc>
        <w:tc>
          <w:tcPr>
            <w:tcW w:w="1036" w:type="dxa"/>
            <w:vAlign w:val="center"/>
          </w:tcPr>
          <w:p w14:paraId="36091629" w14:textId="2A58EF3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159</w:t>
            </w:r>
          </w:p>
        </w:tc>
        <w:tc>
          <w:tcPr>
            <w:tcW w:w="1076" w:type="dxa"/>
            <w:vAlign w:val="center"/>
          </w:tcPr>
          <w:p w14:paraId="3609162A" w14:textId="0A2EBBA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0.19%</w:t>
            </w:r>
          </w:p>
        </w:tc>
        <w:tc>
          <w:tcPr>
            <w:tcW w:w="1129" w:type="dxa"/>
            <w:vAlign w:val="center"/>
          </w:tcPr>
          <w:p w14:paraId="3609162B" w14:textId="16EEBD9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606</w:t>
            </w:r>
          </w:p>
        </w:tc>
        <w:tc>
          <w:tcPr>
            <w:tcW w:w="1129" w:type="dxa"/>
            <w:vAlign w:val="center"/>
          </w:tcPr>
          <w:p w14:paraId="3609162C" w14:textId="0E294CE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A2ECE">
              <w:t>0.18%</w:t>
            </w:r>
          </w:p>
        </w:tc>
      </w:tr>
      <w:tr w:rsidR="008C5615" w:rsidRPr="004C2412" w14:paraId="36091637" w14:textId="750A5924" w:rsidTr="00B70E9D">
        <w:trPr>
          <w:trHeight w:val="3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62E" w14:textId="247EC550" w:rsidR="008C5615" w:rsidRPr="004C2412" w:rsidRDefault="008C5615" w:rsidP="008C5615">
            <w:pPr>
              <w:spacing w:before="0"/>
              <w:ind w:left="0"/>
              <w:rPr>
                <w:b/>
              </w:rPr>
            </w:pPr>
            <w:r w:rsidRPr="004C2412">
              <w:rPr>
                <w:b/>
              </w:rPr>
              <w:t>Sub Total - Short Term Financial Penalties</w:t>
            </w:r>
          </w:p>
        </w:tc>
        <w:tc>
          <w:tcPr>
            <w:tcW w:w="1560" w:type="dxa"/>
            <w:vAlign w:val="center"/>
          </w:tcPr>
          <w:p w14:paraId="3609162F" w14:textId="55557EAA"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47,787</w:t>
            </w:r>
          </w:p>
        </w:tc>
        <w:tc>
          <w:tcPr>
            <w:tcW w:w="1527" w:type="dxa"/>
            <w:vAlign w:val="center"/>
          </w:tcPr>
          <w:p w14:paraId="36091630" w14:textId="1F767B4F"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58.37%</w:t>
            </w:r>
          </w:p>
        </w:tc>
        <w:tc>
          <w:tcPr>
            <w:tcW w:w="1406" w:type="dxa"/>
            <w:vAlign w:val="center"/>
          </w:tcPr>
          <w:p w14:paraId="36091631" w14:textId="7093B5D9"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34,079</w:t>
            </w:r>
          </w:p>
        </w:tc>
        <w:tc>
          <w:tcPr>
            <w:tcW w:w="1417" w:type="dxa"/>
            <w:vAlign w:val="center"/>
          </w:tcPr>
          <w:p w14:paraId="36091632" w14:textId="4A27F7F0"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41.63%</w:t>
            </w:r>
          </w:p>
        </w:tc>
        <w:tc>
          <w:tcPr>
            <w:tcW w:w="1036" w:type="dxa"/>
            <w:vAlign w:val="center"/>
          </w:tcPr>
          <w:p w14:paraId="36091633" w14:textId="4228B0F7"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81,866</w:t>
            </w:r>
          </w:p>
        </w:tc>
        <w:tc>
          <w:tcPr>
            <w:tcW w:w="1076" w:type="dxa"/>
            <w:vAlign w:val="center"/>
          </w:tcPr>
          <w:p w14:paraId="36091634" w14:textId="713A903E"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100.00%</w:t>
            </w:r>
          </w:p>
        </w:tc>
        <w:tc>
          <w:tcPr>
            <w:tcW w:w="1129" w:type="dxa"/>
            <w:vAlign w:val="center"/>
          </w:tcPr>
          <w:p w14:paraId="36091635" w14:textId="59A61668"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342,060</w:t>
            </w:r>
          </w:p>
        </w:tc>
        <w:tc>
          <w:tcPr>
            <w:tcW w:w="1129" w:type="dxa"/>
            <w:vAlign w:val="center"/>
          </w:tcPr>
          <w:p w14:paraId="36091636" w14:textId="7A8CF4F8"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100.00%</w:t>
            </w:r>
          </w:p>
        </w:tc>
      </w:tr>
      <w:tr w:rsidR="008C5615" w:rsidRPr="004C2412" w14:paraId="3609164E" w14:textId="61845CDA" w:rsidTr="00B70E9D">
        <w:trPr>
          <w:cnfStyle w:val="010000000000" w:firstRow="0" w:lastRow="1"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6091645" w14:textId="07CAF7FE" w:rsidR="008C5615" w:rsidRPr="004C2412" w:rsidRDefault="008C5615" w:rsidP="008C5615">
            <w:pPr>
              <w:spacing w:before="0"/>
              <w:ind w:left="0"/>
            </w:pPr>
            <w:r w:rsidRPr="004C2412">
              <w:t>Total Financial Penalties</w:t>
            </w:r>
          </w:p>
        </w:tc>
        <w:tc>
          <w:tcPr>
            <w:tcW w:w="1560" w:type="dxa"/>
            <w:vAlign w:val="center"/>
          </w:tcPr>
          <w:p w14:paraId="36091646" w14:textId="37E87B22"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510D7A">
              <w:t>55,948</w:t>
            </w:r>
          </w:p>
        </w:tc>
        <w:tc>
          <w:tcPr>
            <w:tcW w:w="1527" w:type="dxa"/>
            <w:vAlign w:val="center"/>
          </w:tcPr>
          <w:p w14:paraId="36091647" w14:textId="20F095C9"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510D7A">
              <w:t>58.97%</w:t>
            </w:r>
          </w:p>
        </w:tc>
        <w:tc>
          <w:tcPr>
            <w:tcW w:w="1406" w:type="dxa"/>
            <w:vAlign w:val="center"/>
          </w:tcPr>
          <w:p w14:paraId="36091648" w14:textId="3A9D9C90"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510D7A">
              <w:t>38,925</w:t>
            </w:r>
          </w:p>
        </w:tc>
        <w:tc>
          <w:tcPr>
            <w:tcW w:w="1417" w:type="dxa"/>
            <w:vAlign w:val="center"/>
          </w:tcPr>
          <w:p w14:paraId="36091649" w14:textId="316E1867"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510D7A">
              <w:t>41.03%</w:t>
            </w:r>
          </w:p>
        </w:tc>
        <w:tc>
          <w:tcPr>
            <w:tcW w:w="1036" w:type="dxa"/>
            <w:vAlign w:val="center"/>
          </w:tcPr>
          <w:p w14:paraId="3609164A" w14:textId="52AF2DD4"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510D7A">
              <w:t>94,873</w:t>
            </w:r>
          </w:p>
        </w:tc>
        <w:tc>
          <w:tcPr>
            <w:tcW w:w="1076" w:type="dxa"/>
            <w:vAlign w:val="center"/>
          </w:tcPr>
          <w:p w14:paraId="3609164B" w14:textId="23A40EC8"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510D7A">
              <w:t>100.0%</w:t>
            </w:r>
          </w:p>
        </w:tc>
        <w:tc>
          <w:tcPr>
            <w:tcW w:w="1129" w:type="dxa"/>
            <w:vAlign w:val="center"/>
          </w:tcPr>
          <w:p w14:paraId="3609164C" w14:textId="041D16DC"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510D7A">
              <w:t>394,444</w:t>
            </w:r>
          </w:p>
        </w:tc>
        <w:tc>
          <w:tcPr>
            <w:tcW w:w="1129" w:type="dxa"/>
            <w:vAlign w:val="center"/>
          </w:tcPr>
          <w:p w14:paraId="3609164D" w14:textId="7C4C6D7E"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510D7A">
              <w:t>100.00%</w:t>
            </w:r>
          </w:p>
        </w:tc>
      </w:tr>
    </w:tbl>
    <w:p w14:paraId="03893DC0" w14:textId="23586094" w:rsidR="001975E9" w:rsidRPr="004C2412" w:rsidRDefault="001975E9" w:rsidP="00A609AA">
      <w:pPr>
        <w:ind w:left="0"/>
      </w:pPr>
      <w:r w:rsidRPr="004C2412">
        <w:rPr>
          <w:b/>
        </w:rPr>
        <w:t>^</w:t>
      </w:r>
      <w:r w:rsidRPr="004C2412">
        <w:rPr>
          <w:noProof/>
        </w:rPr>
        <w:t>For example, issue of Employment Contact Certificates and some Job Plan failures (Reconnection).</w:t>
      </w:r>
    </w:p>
    <w:p w14:paraId="36091650" w14:textId="196A36B3" w:rsidR="00CA1CCB" w:rsidRPr="004C2412" w:rsidRDefault="00CA1CCB" w:rsidP="00A609AA">
      <w:pPr>
        <w:ind w:left="0"/>
      </w:pPr>
      <w:r w:rsidRPr="004C2412">
        <w:t>Appointment related failures comprise of financial penalties for non-</w:t>
      </w:r>
      <w:r w:rsidR="00F11BEB" w:rsidRPr="004C2412">
        <w:t xml:space="preserve">attendance at a provider or </w:t>
      </w:r>
      <w:r w:rsidRPr="004C2412">
        <w:t>Department of Human Services (including Comprehensive Compliance Assessment) appointment.</w:t>
      </w:r>
    </w:p>
    <w:p w14:paraId="36091651" w14:textId="0088CA62" w:rsidR="00DA40F4" w:rsidRPr="004C2412" w:rsidRDefault="00CA1CCB" w:rsidP="00A609AA">
      <w:pPr>
        <w:ind w:left="0"/>
        <w:rPr>
          <w:bCs/>
        </w:rPr>
      </w:pPr>
      <w:r w:rsidRPr="004C2412">
        <w:rPr>
          <w:bCs/>
        </w:rPr>
        <w:t xml:space="preserve">Reconnection failures for not entering into a Job Plan </w:t>
      </w:r>
      <w:proofErr w:type="gramStart"/>
      <w:r w:rsidRPr="004C2412">
        <w:rPr>
          <w:bCs/>
        </w:rPr>
        <w:t>can be applied</w:t>
      </w:r>
      <w:proofErr w:type="gramEnd"/>
      <w:r w:rsidRPr="004C2412">
        <w:rPr>
          <w:bCs/>
        </w:rPr>
        <w:t xml:space="preserve"> when a job seeker does not attend an appointment with their Provider then refuses to enter into a Job Plan at their re-engagement appointment. </w:t>
      </w:r>
      <w:r w:rsidR="009D509B" w:rsidRPr="004C2412">
        <w:rPr>
          <w:bCs/>
        </w:rPr>
        <w:t>This refusal represents the job seekers first refusal to enter into a Job Plan.</w:t>
      </w:r>
    </w:p>
    <w:p w14:paraId="6F8FEB77" w14:textId="22951687" w:rsidR="00BF33EB" w:rsidRPr="004C2412" w:rsidRDefault="00BF33EB">
      <w:pPr>
        <w:spacing w:before="0"/>
        <w:ind w:left="0"/>
        <w:rPr>
          <w:b/>
        </w:rPr>
      </w:pPr>
      <w:r w:rsidRPr="004C2412">
        <w:rPr>
          <w:b/>
        </w:rPr>
        <w:br w:type="page"/>
      </w:r>
    </w:p>
    <w:p w14:paraId="36091652" w14:textId="6F470CEE" w:rsidR="00E8387B" w:rsidRPr="004C2412" w:rsidRDefault="00D6515C" w:rsidP="00A609AA">
      <w:pPr>
        <w:pStyle w:val="Heading3"/>
        <w:numPr>
          <w:ilvl w:val="0"/>
          <w:numId w:val="0"/>
        </w:numPr>
      </w:pPr>
      <w:bookmarkStart w:id="55" w:name="_Toc526864461"/>
      <w:r w:rsidRPr="004C2412">
        <w:t xml:space="preserve">14 c </w:t>
      </w:r>
      <w:r w:rsidR="00D616E9" w:rsidRPr="004C2412">
        <w:t>–</w:t>
      </w:r>
      <w:r w:rsidRPr="004C2412">
        <w:t xml:space="preserve"> </w:t>
      </w:r>
      <w:r w:rsidR="006C7CE4" w:rsidRPr="004C2412">
        <w:t>Connection Failures</w:t>
      </w:r>
      <w:r w:rsidR="00606BF5" w:rsidRPr="004C2412">
        <w:t xml:space="preserve"> </w:t>
      </w:r>
      <w:r w:rsidR="00C95ED9" w:rsidRPr="004C2412">
        <w:t>-</w:t>
      </w:r>
      <w:r w:rsidR="00606BF5" w:rsidRPr="004C2412">
        <w:t xml:space="preserve"> 1 </w:t>
      </w:r>
      <w:r w:rsidR="008C5615">
        <w:t>April</w:t>
      </w:r>
      <w:r w:rsidR="008C5615" w:rsidRPr="004C2412">
        <w:t xml:space="preserve"> </w:t>
      </w:r>
      <w:r w:rsidR="00606BF5" w:rsidRPr="004C2412">
        <w:t>to 3</w:t>
      </w:r>
      <w:r w:rsidR="008C5615">
        <w:t>0</w:t>
      </w:r>
      <w:r w:rsidR="00606BF5" w:rsidRPr="004C2412">
        <w:t xml:space="preserve"> </w:t>
      </w:r>
      <w:r w:rsidR="008C5615">
        <w:t>June</w:t>
      </w:r>
      <w:r w:rsidR="00BE2380" w:rsidRPr="004C2412">
        <w:t xml:space="preserve"> </w:t>
      </w:r>
      <w:r w:rsidR="00606BF5" w:rsidRPr="004C2412">
        <w:t>201</w:t>
      </w:r>
      <w:r w:rsidR="00BE2380" w:rsidRPr="004C2412">
        <w:t>8</w:t>
      </w:r>
      <w:bookmarkEnd w:id="55"/>
    </w:p>
    <w:tbl>
      <w:tblPr>
        <w:tblStyle w:val="LeftAlignTable"/>
        <w:tblW w:w="14757" w:type="dxa"/>
        <w:tblInd w:w="-5" w:type="dxa"/>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400"/>
        <w:gridCol w:w="1437"/>
        <w:gridCol w:w="1609"/>
        <w:gridCol w:w="1328"/>
        <w:gridCol w:w="1425"/>
        <w:gridCol w:w="1083"/>
        <w:gridCol w:w="1063"/>
        <w:gridCol w:w="1157"/>
        <w:gridCol w:w="1255"/>
      </w:tblGrid>
      <w:tr w:rsidR="00D9585E" w:rsidRPr="004C2412" w14:paraId="3609165C" w14:textId="4BE83882" w:rsidTr="001C410D">
        <w:trPr>
          <w:cnfStyle w:val="100000000000" w:firstRow="1" w:lastRow="0" w:firstColumn="0" w:lastColumn="0" w:oddVBand="0" w:evenVBand="0" w:oddHBand="0" w:evenHBand="0" w:firstRowFirstColumn="0" w:firstRowLastColumn="0" w:lastRowFirstColumn="0" w:lastRowLastColumn="0"/>
          <w:trHeight w:val="781"/>
          <w:tblHeader/>
        </w:trPr>
        <w:tc>
          <w:tcPr>
            <w:cnfStyle w:val="001000000000" w:firstRow="0" w:lastRow="0" w:firstColumn="1" w:lastColumn="0" w:oddVBand="0" w:evenVBand="0" w:oddHBand="0" w:evenHBand="0" w:firstRowFirstColumn="0" w:firstRowLastColumn="0" w:lastRowFirstColumn="0" w:lastRowLastColumn="0"/>
            <w:tcW w:w="4400" w:type="dxa"/>
            <w:shd w:val="clear" w:color="auto" w:fill="auto"/>
            <w:vAlign w:val="center"/>
          </w:tcPr>
          <w:p w14:paraId="19E6EB24" w14:textId="6F8ABFBE" w:rsidR="00F67E5F" w:rsidRPr="004C2412" w:rsidRDefault="00CF2936" w:rsidP="00910012">
            <w:pPr>
              <w:spacing w:before="0"/>
              <w:ind w:left="0"/>
            </w:pPr>
            <w:r w:rsidRPr="004C2412">
              <w:t xml:space="preserve">Types of </w:t>
            </w:r>
            <w:r w:rsidR="00F67E5F" w:rsidRPr="004C2412">
              <w:t>Connection Failures</w:t>
            </w:r>
          </w:p>
          <w:p w14:paraId="36091653" w14:textId="38EAD75B" w:rsidR="00D9585E" w:rsidRPr="004C2412" w:rsidRDefault="00D9585E" w:rsidP="00910012">
            <w:pPr>
              <w:spacing w:before="0"/>
              <w:ind w:left="0"/>
            </w:pPr>
          </w:p>
        </w:tc>
        <w:tc>
          <w:tcPr>
            <w:tcW w:w="1437" w:type="dxa"/>
            <w:vAlign w:val="center"/>
          </w:tcPr>
          <w:p w14:paraId="36091654" w14:textId="2454974D"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Indigenous</w:t>
            </w:r>
          </w:p>
        </w:tc>
        <w:tc>
          <w:tcPr>
            <w:tcW w:w="1609" w:type="dxa"/>
            <w:vAlign w:val="center"/>
          </w:tcPr>
          <w:p w14:paraId="36091655" w14:textId="5C3D2542"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Indigenous %</w:t>
            </w:r>
          </w:p>
        </w:tc>
        <w:tc>
          <w:tcPr>
            <w:tcW w:w="1328" w:type="dxa"/>
            <w:vAlign w:val="center"/>
          </w:tcPr>
          <w:p w14:paraId="36091656" w14:textId="30CB4F56"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Non Indigenous</w:t>
            </w:r>
          </w:p>
        </w:tc>
        <w:tc>
          <w:tcPr>
            <w:tcW w:w="1425" w:type="dxa"/>
            <w:vAlign w:val="center"/>
          </w:tcPr>
          <w:p w14:paraId="36091657" w14:textId="02AF6179"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Non Indigenous %</w:t>
            </w:r>
          </w:p>
        </w:tc>
        <w:tc>
          <w:tcPr>
            <w:tcW w:w="1083" w:type="dxa"/>
            <w:vAlign w:val="center"/>
          </w:tcPr>
          <w:p w14:paraId="36091658" w14:textId="1D3B2086"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063" w:type="dxa"/>
            <w:vAlign w:val="center"/>
          </w:tcPr>
          <w:p w14:paraId="36091659" w14:textId="005B65B0"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w:t>
            </w:r>
          </w:p>
        </w:tc>
        <w:tc>
          <w:tcPr>
            <w:tcW w:w="1157" w:type="dxa"/>
            <w:vAlign w:val="center"/>
          </w:tcPr>
          <w:p w14:paraId="3609165A" w14:textId="4D58D379"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1255" w:type="dxa"/>
            <w:vAlign w:val="center"/>
          </w:tcPr>
          <w:p w14:paraId="3609165B" w14:textId="63B5AE2F"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8C5615" w:rsidRPr="004C2412" w14:paraId="36091666" w14:textId="08E41C0E" w:rsidTr="00BE2380">
        <w:trPr>
          <w:trHeight w:val="452"/>
        </w:trPr>
        <w:tc>
          <w:tcPr>
            <w:cnfStyle w:val="001000000000" w:firstRow="0" w:lastRow="0" w:firstColumn="1" w:lastColumn="0" w:oddVBand="0" w:evenVBand="0" w:oddHBand="0" w:evenHBand="0" w:firstRowFirstColumn="0" w:firstRowLastColumn="0" w:lastRowFirstColumn="0" w:lastRowLastColumn="0"/>
            <w:tcW w:w="4400" w:type="dxa"/>
            <w:vAlign w:val="center"/>
          </w:tcPr>
          <w:p w14:paraId="3609165D" w14:textId="38B0349E" w:rsidR="008C5615" w:rsidRPr="004C2412" w:rsidRDefault="008C5615" w:rsidP="008C5615">
            <w:pPr>
              <w:spacing w:before="0"/>
              <w:ind w:left="0"/>
            </w:pPr>
            <w:r w:rsidRPr="004C2412">
              <w:t>Failure to attend third party appointment</w:t>
            </w:r>
            <w:r w:rsidRPr="004C2412">
              <w:rPr>
                <w:sz w:val="28"/>
                <w:szCs w:val="28"/>
                <w:vertAlign w:val="superscript"/>
              </w:rPr>
              <w:t xml:space="preserve"> </w:t>
            </w:r>
            <w:r w:rsidRPr="004C2412">
              <w:t>^</w:t>
            </w:r>
          </w:p>
        </w:tc>
        <w:tc>
          <w:tcPr>
            <w:tcW w:w="1437" w:type="dxa"/>
            <w:vAlign w:val="center"/>
          </w:tcPr>
          <w:p w14:paraId="3609165E" w14:textId="7228608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78</w:t>
            </w:r>
          </w:p>
        </w:tc>
        <w:tc>
          <w:tcPr>
            <w:tcW w:w="1609" w:type="dxa"/>
            <w:vAlign w:val="center"/>
          </w:tcPr>
          <w:p w14:paraId="3609165F" w14:textId="09936CE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0.44%</w:t>
            </w:r>
          </w:p>
        </w:tc>
        <w:tc>
          <w:tcPr>
            <w:tcW w:w="1328" w:type="dxa"/>
            <w:vAlign w:val="center"/>
          </w:tcPr>
          <w:p w14:paraId="36091660" w14:textId="58DA778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180</w:t>
            </w:r>
          </w:p>
        </w:tc>
        <w:tc>
          <w:tcPr>
            <w:tcW w:w="1425" w:type="dxa"/>
            <w:vAlign w:val="center"/>
          </w:tcPr>
          <w:p w14:paraId="36091661" w14:textId="4AACA3A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1.01%</w:t>
            </w:r>
          </w:p>
        </w:tc>
        <w:tc>
          <w:tcPr>
            <w:tcW w:w="1083" w:type="dxa"/>
            <w:vAlign w:val="center"/>
          </w:tcPr>
          <w:p w14:paraId="36091662" w14:textId="0BBA0667"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258</w:t>
            </w:r>
          </w:p>
        </w:tc>
        <w:tc>
          <w:tcPr>
            <w:tcW w:w="1063" w:type="dxa"/>
            <w:vAlign w:val="center"/>
          </w:tcPr>
          <w:p w14:paraId="36091663" w14:textId="50C3703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1.45%</w:t>
            </w:r>
          </w:p>
        </w:tc>
        <w:tc>
          <w:tcPr>
            <w:tcW w:w="1157" w:type="dxa"/>
            <w:vAlign w:val="center"/>
          </w:tcPr>
          <w:p w14:paraId="36091664" w14:textId="495C4BC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1,216</w:t>
            </w:r>
          </w:p>
        </w:tc>
        <w:tc>
          <w:tcPr>
            <w:tcW w:w="1255" w:type="dxa"/>
            <w:vAlign w:val="center"/>
          </w:tcPr>
          <w:p w14:paraId="36091665" w14:textId="6ECE553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1.67%</w:t>
            </w:r>
          </w:p>
        </w:tc>
      </w:tr>
      <w:tr w:rsidR="008C5615" w:rsidRPr="004C2412" w14:paraId="36091670" w14:textId="42DDC49B" w:rsidTr="00BE2380">
        <w:trPr>
          <w:trHeight w:val="357"/>
        </w:trPr>
        <w:tc>
          <w:tcPr>
            <w:cnfStyle w:val="001000000000" w:firstRow="0" w:lastRow="0" w:firstColumn="1" w:lastColumn="0" w:oddVBand="0" w:evenVBand="0" w:oddHBand="0" w:evenHBand="0" w:firstRowFirstColumn="0" w:firstRowLastColumn="0" w:lastRowFirstColumn="0" w:lastRowLastColumn="0"/>
            <w:tcW w:w="4400" w:type="dxa"/>
            <w:vAlign w:val="center"/>
          </w:tcPr>
          <w:p w14:paraId="36091667" w14:textId="1D570518" w:rsidR="008C5615" w:rsidRPr="004C2412" w:rsidRDefault="008C5615" w:rsidP="008C5615">
            <w:pPr>
              <w:spacing w:before="0"/>
              <w:ind w:left="0"/>
            </w:pPr>
            <w:r w:rsidRPr="004C2412">
              <w:t>Failure to attend CCA appointment</w:t>
            </w:r>
          </w:p>
        </w:tc>
        <w:tc>
          <w:tcPr>
            <w:tcW w:w="1437" w:type="dxa"/>
            <w:vAlign w:val="center"/>
          </w:tcPr>
          <w:p w14:paraId="36091668" w14:textId="7F96F59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w:t>
            </w:r>
            <w:r>
              <w:t>,</w:t>
            </w:r>
            <w:r w:rsidRPr="007C1FBC">
              <w:t>245</w:t>
            </w:r>
          </w:p>
        </w:tc>
        <w:tc>
          <w:tcPr>
            <w:tcW w:w="1609" w:type="dxa"/>
            <w:vAlign w:val="center"/>
          </w:tcPr>
          <w:p w14:paraId="36091669" w14:textId="0FFEAC3C"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7.01%</w:t>
            </w:r>
          </w:p>
        </w:tc>
        <w:tc>
          <w:tcPr>
            <w:tcW w:w="1328" w:type="dxa"/>
            <w:vAlign w:val="center"/>
          </w:tcPr>
          <w:p w14:paraId="3609166A" w14:textId="2952675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663</w:t>
            </w:r>
          </w:p>
        </w:tc>
        <w:tc>
          <w:tcPr>
            <w:tcW w:w="1425" w:type="dxa"/>
            <w:vAlign w:val="center"/>
          </w:tcPr>
          <w:p w14:paraId="3609166B" w14:textId="7C3D921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3.73%</w:t>
            </w:r>
          </w:p>
        </w:tc>
        <w:tc>
          <w:tcPr>
            <w:tcW w:w="1083" w:type="dxa"/>
            <w:vAlign w:val="center"/>
          </w:tcPr>
          <w:p w14:paraId="3609166C" w14:textId="415DDF3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1,908</w:t>
            </w:r>
          </w:p>
        </w:tc>
        <w:tc>
          <w:tcPr>
            <w:tcW w:w="1063" w:type="dxa"/>
            <w:vAlign w:val="center"/>
          </w:tcPr>
          <w:p w14:paraId="3609166D" w14:textId="4CF6DAB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10.74%</w:t>
            </w:r>
          </w:p>
        </w:tc>
        <w:tc>
          <w:tcPr>
            <w:tcW w:w="1157" w:type="dxa"/>
            <w:vAlign w:val="center"/>
          </w:tcPr>
          <w:p w14:paraId="3609166E" w14:textId="7B85865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10,685</w:t>
            </w:r>
          </w:p>
        </w:tc>
        <w:tc>
          <w:tcPr>
            <w:tcW w:w="1255" w:type="dxa"/>
            <w:vAlign w:val="center"/>
          </w:tcPr>
          <w:p w14:paraId="3609166F" w14:textId="41B497D7"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14.70%</w:t>
            </w:r>
          </w:p>
        </w:tc>
      </w:tr>
      <w:tr w:rsidR="008C5615" w:rsidRPr="004C2412" w14:paraId="3609167A" w14:textId="76FA9954" w:rsidTr="00BE2380">
        <w:trPr>
          <w:trHeight w:val="550"/>
        </w:trPr>
        <w:tc>
          <w:tcPr>
            <w:cnfStyle w:val="001000000000" w:firstRow="0" w:lastRow="0" w:firstColumn="1" w:lastColumn="0" w:oddVBand="0" w:evenVBand="0" w:oddHBand="0" w:evenHBand="0" w:firstRowFirstColumn="0" w:firstRowLastColumn="0" w:lastRowFirstColumn="0" w:lastRowLastColumn="0"/>
            <w:tcW w:w="4400" w:type="dxa"/>
            <w:vAlign w:val="center"/>
          </w:tcPr>
          <w:p w14:paraId="36091671" w14:textId="50CC4812" w:rsidR="008C5615" w:rsidRPr="004C2412" w:rsidRDefault="008C5615" w:rsidP="008C5615">
            <w:pPr>
              <w:spacing w:before="0"/>
              <w:ind w:left="0"/>
            </w:pPr>
            <w:r w:rsidRPr="004C2412">
              <w:t>Failure to comply with Job Search requirement in a Job Plan</w:t>
            </w:r>
          </w:p>
        </w:tc>
        <w:tc>
          <w:tcPr>
            <w:tcW w:w="1437" w:type="dxa"/>
            <w:vAlign w:val="center"/>
          </w:tcPr>
          <w:p w14:paraId="36091672" w14:textId="69F96D3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2</w:t>
            </w:r>
            <w:r>
              <w:t>,</w:t>
            </w:r>
            <w:r w:rsidRPr="007C1FBC">
              <w:t>905</w:t>
            </w:r>
          </w:p>
        </w:tc>
        <w:tc>
          <w:tcPr>
            <w:tcW w:w="1609" w:type="dxa"/>
            <w:vAlign w:val="center"/>
          </w:tcPr>
          <w:p w14:paraId="36091673" w14:textId="4C82485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16.35%</w:t>
            </w:r>
          </w:p>
        </w:tc>
        <w:tc>
          <w:tcPr>
            <w:tcW w:w="1328" w:type="dxa"/>
            <w:vAlign w:val="center"/>
          </w:tcPr>
          <w:p w14:paraId="36091674" w14:textId="160764C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12</w:t>
            </w:r>
            <w:r>
              <w:t>,</w:t>
            </w:r>
            <w:r w:rsidRPr="007C1FBC">
              <w:t>294</w:t>
            </w:r>
          </w:p>
        </w:tc>
        <w:tc>
          <w:tcPr>
            <w:tcW w:w="1425" w:type="dxa"/>
            <w:vAlign w:val="center"/>
          </w:tcPr>
          <w:p w14:paraId="36091675" w14:textId="4B3B623C"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69.18%</w:t>
            </w:r>
          </w:p>
        </w:tc>
        <w:tc>
          <w:tcPr>
            <w:tcW w:w="1083" w:type="dxa"/>
            <w:vAlign w:val="center"/>
          </w:tcPr>
          <w:p w14:paraId="36091676" w14:textId="7E18543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15,199</w:t>
            </w:r>
          </w:p>
        </w:tc>
        <w:tc>
          <w:tcPr>
            <w:tcW w:w="1063" w:type="dxa"/>
            <w:vAlign w:val="center"/>
          </w:tcPr>
          <w:p w14:paraId="36091677" w14:textId="72F5FECC"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85.52%</w:t>
            </w:r>
          </w:p>
        </w:tc>
        <w:tc>
          <w:tcPr>
            <w:tcW w:w="1157" w:type="dxa"/>
            <w:vAlign w:val="center"/>
          </w:tcPr>
          <w:p w14:paraId="36091678" w14:textId="6A9DAEBA"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58,596</w:t>
            </w:r>
          </w:p>
        </w:tc>
        <w:tc>
          <w:tcPr>
            <w:tcW w:w="1255" w:type="dxa"/>
            <w:vAlign w:val="center"/>
          </w:tcPr>
          <w:p w14:paraId="36091679" w14:textId="39062857"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80.61%</w:t>
            </w:r>
          </w:p>
        </w:tc>
      </w:tr>
      <w:tr w:rsidR="008C5615" w:rsidRPr="004C2412" w14:paraId="36091684" w14:textId="3401AEEB" w:rsidTr="00BE2380">
        <w:trPr>
          <w:trHeight w:val="550"/>
        </w:trPr>
        <w:tc>
          <w:tcPr>
            <w:cnfStyle w:val="001000000000" w:firstRow="0" w:lastRow="0" w:firstColumn="1" w:lastColumn="0" w:oddVBand="0" w:evenVBand="0" w:oddHBand="0" w:evenHBand="0" w:firstRowFirstColumn="0" w:firstRowLastColumn="0" w:lastRowFirstColumn="0" w:lastRowLastColumn="0"/>
            <w:tcW w:w="4400" w:type="dxa"/>
            <w:vAlign w:val="center"/>
          </w:tcPr>
          <w:p w14:paraId="3609167B" w14:textId="40988EA0" w:rsidR="008C5615" w:rsidRPr="004C2412" w:rsidRDefault="008C5615" w:rsidP="008C5615">
            <w:pPr>
              <w:spacing w:before="0"/>
              <w:ind w:left="0"/>
            </w:pPr>
            <w:r w:rsidRPr="004C2412">
              <w:t>Failure to enter a Job Plan with provider or the Department of Human Services</w:t>
            </w:r>
          </w:p>
        </w:tc>
        <w:tc>
          <w:tcPr>
            <w:tcW w:w="1437" w:type="dxa"/>
            <w:vAlign w:val="center"/>
          </w:tcPr>
          <w:p w14:paraId="3609167C" w14:textId="3096F7D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16</w:t>
            </w:r>
          </w:p>
        </w:tc>
        <w:tc>
          <w:tcPr>
            <w:tcW w:w="1609" w:type="dxa"/>
            <w:vAlign w:val="center"/>
          </w:tcPr>
          <w:p w14:paraId="3609167D" w14:textId="29E43C4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0.09%</w:t>
            </w:r>
          </w:p>
        </w:tc>
        <w:tc>
          <w:tcPr>
            <w:tcW w:w="1328" w:type="dxa"/>
            <w:vAlign w:val="center"/>
          </w:tcPr>
          <w:p w14:paraId="3609167E" w14:textId="424639E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170</w:t>
            </w:r>
          </w:p>
        </w:tc>
        <w:tc>
          <w:tcPr>
            <w:tcW w:w="1425" w:type="dxa"/>
            <w:vAlign w:val="center"/>
          </w:tcPr>
          <w:p w14:paraId="3609167F" w14:textId="66C7CB8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0.96%</w:t>
            </w:r>
          </w:p>
        </w:tc>
        <w:tc>
          <w:tcPr>
            <w:tcW w:w="1083" w:type="dxa"/>
            <w:vAlign w:val="center"/>
          </w:tcPr>
          <w:p w14:paraId="36091680" w14:textId="74EA365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186</w:t>
            </w:r>
          </w:p>
        </w:tc>
        <w:tc>
          <w:tcPr>
            <w:tcW w:w="1063" w:type="dxa"/>
            <w:vAlign w:val="center"/>
          </w:tcPr>
          <w:p w14:paraId="36091681" w14:textId="679D61D7"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1.05%</w:t>
            </w:r>
          </w:p>
        </w:tc>
        <w:tc>
          <w:tcPr>
            <w:tcW w:w="1157" w:type="dxa"/>
            <w:vAlign w:val="center"/>
          </w:tcPr>
          <w:p w14:paraId="36091682" w14:textId="02F80F8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874</w:t>
            </w:r>
          </w:p>
        </w:tc>
        <w:tc>
          <w:tcPr>
            <w:tcW w:w="1255" w:type="dxa"/>
            <w:vAlign w:val="center"/>
          </w:tcPr>
          <w:p w14:paraId="36091683" w14:textId="6F638DCA"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1.20%</w:t>
            </w:r>
          </w:p>
        </w:tc>
      </w:tr>
      <w:tr w:rsidR="008C5615" w:rsidRPr="004C2412" w14:paraId="3609168E" w14:textId="27BD7125" w:rsidTr="00BE2380">
        <w:trPr>
          <w:trHeight w:val="550"/>
        </w:trPr>
        <w:tc>
          <w:tcPr>
            <w:cnfStyle w:val="001000000000" w:firstRow="0" w:lastRow="0" w:firstColumn="1" w:lastColumn="0" w:oddVBand="0" w:evenVBand="0" w:oddHBand="0" w:evenHBand="0" w:firstRowFirstColumn="0" w:firstRowLastColumn="0" w:lastRowFirstColumn="0" w:lastRowLastColumn="0"/>
            <w:tcW w:w="4400" w:type="dxa"/>
            <w:vAlign w:val="center"/>
          </w:tcPr>
          <w:p w14:paraId="36091685" w14:textId="0611E551" w:rsidR="008C5615" w:rsidRPr="004C2412" w:rsidRDefault="008C5615" w:rsidP="008C5615">
            <w:pPr>
              <w:spacing w:before="0"/>
              <w:ind w:left="0"/>
            </w:pPr>
            <w:r w:rsidRPr="004C2412">
              <w:t>Failure to attend Department of Human Services appointment</w:t>
            </w:r>
          </w:p>
        </w:tc>
        <w:tc>
          <w:tcPr>
            <w:tcW w:w="1437" w:type="dxa"/>
            <w:vAlign w:val="center"/>
          </w:tcPr>
          <w:p w14:paraId="36091686" w14:textId="112D059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24</w:t>
            </w:r>
          </w:p>
        </w:tc>
        <w:tc>
          <w:tcPr>
            <w:tcW w:w="1609" w:type="dxa"/>
            <w:vAlign w:val="center"/>
          </w:tcPr>
          <w:p w14:paraId="36091687" w14:textId="60C1264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0.14%</w:t>
            </w:r>
          </w:p>
        </w:tc>
        <w:tc>
          <w:tcPr>
            <w:tcW w:w="1328" w:type="dxa"/>
            <w:vAlign w:val="center"/>
          </w:tcPr>
          <w:p w14:paraId="36091688" w14:textId="2F77257C"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197</w:t>
            </w:r>
          </w:p>
        </w:tc>
        <w:tc>
          <w:tcPr>
            <w:tcW w:w="1425" w:type="dxa"/>
            <w:vAlign w:val="center"/>
          </w:tcPr>
          <w:p w14:paraId="36091689" w14:textId="695A259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1.11%</w:t>
            </w:r>
          </w:p>
        </w:tc>
        <w:tc>
          <w:tcPr>
            <w:tcW w:w="1083" w:type="dxa"/>
            <w:vAlign w:val="center"/>
          </w:tcPr>
          <w:p w14:paraId="3609168A" w14:textId="0328D0E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221</w:t>
            </w:r>
          </w:p>
        </w:tc>
        <w:tc>
          <w:tcPr>
            <w:tcW w:w="1063" w:type="dxa"/>
            <w:vAlign w:val="center"/>
          </w:tcPr>
          <w:p w14:paraId="3609168B" w14:textId="6D8388D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1.24%</w:t>
            </w:r>
          </w:p>
        </w:tc>
        <w:tc>
          <w:tcPr>
            <w:tcW w:w="1157" w:type="dxa"/>
            <w:vAlign w:val="center"/>
          </w:tcPr>
          <w:p w14:paraId="3609168C" w14:textId="5629923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1,321</w:t>
            </w:r>
          </w:p>
        </w:tc>
        <w:tc>
          <w:tcPr>
            <w:tcW w:w="1255" w:type="dxa"/>
            <w:vAlign w:val="center"/>
          </w:tcPr>
          <w:p w14:paraId="3609168D" w14:textId="26ACFBE7"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C1FBC">
              <w:t>1.82%</w:t>
            </w:r>
          </w:p>
        </w:tc>
      </w:tr>
      <w:tr w:rsidR="008C5615" w:rsidRPr="004C2412" w14:paraId="36091698" w14:textId="07AF202D" w:rsidTr="00BE2380">
        <w:trPr>
          <w:cnfStyle w:val="010000000000" w:firstRow="0" w:lastRow="1"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400" w:type="dxa"/>
            <w:vAlign w:val="center"/>
          </w:tcPr>
          <w:p w14:paraId="3609168F" w14:textId="0B20F676" w:rsidR="008C5615" w:rsidRPr="004C2412" w:rsidRDefault="008C5615" w:rsidP="008C5615">
            <w:pPr>
              <w:spacing w:before="0"/>
              <w:ind w:left="0"/>
            </w:pPr>
            <w:r w:rsidRPr="004C2412">
              <w:t>Total</w:t>
            </w:r>
          </w:p>
        </w:tc>
        <w:tc>
          <w:tcPr>
            <w:tcW w:w="1437" w:type="dxa"/>
            <w:vAlign w:val="center"/>
          </w:tcPr>
          <w:p w14:paraId="36091690" w14:textId="195B6B73"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C1FBC">
              <w:t>4,268</w:t>
            </w:r>
          </w:p>
        </w:tc>
        <w:tc>
          <w:tcPr>
            <w:tcW w:w="1609" w:type="dxa"/>
            <w:vAlign w:val="center"/>
          </w:tcPr>
          <w:p w14:paraId="36091691" w14:textId="021AA605"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C1FBC">
              <w:t>24.02%</w:t>
            </w:r>
          </w:p>
        </w:tc>
        <w:tc>
          <w:tcPr>
            <w:tcW w:w="1328" w:type="dxa"/>
            <w:vAlign w:val="center"/>
          </w:tcPr>
          <w:p w14:paraId="36091692" w14:textId="54A93C59"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C1FBC">
              <w:t>13,504</w:t>
            </w:r>
          </w:p>
        </w:tc>
        <w:tc>
          <w:tcPr>
            <w:tcW w:w="1425" w:type="dxa"/>
            <w:vAlign w:val="center"/>
          </w:tcPr>
          <w:p w14:paraId="36091693" w14:textId="068460E0"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C1FBC">
              <w:t>75.98%</w:t>
            </w:r>
          </w:p>
        </w:tc>
        <w:tc>
          <w:tcPr>
            <w:tcW w:w="1083" w:type="dxa"/>
            <w:vAlign w:val="center"/>
          </w:tcPr>
          <w:p w14:paraId="36091694" w14:textId="37C2FF33"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C1FBC">
              <w:t>17,772</w:t>
            </w:r>
          </w:p>
        </w:tc>
        <w:tc>
          <w:tcPr>
            <w:tcW w:w="1063" w:type="dxa"/>
            <w:vAlign w:val="center"/>
          </w:tcPr>
          <w:p w14:paraId="36091695" w14:textId="77F6901D"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C1FBC">
              <w:t>100.00%</w:t>
            </w:r>
          </w:p>
        </w:tc>
        <w:tc>
          <w:tcPr>
            <w:tcW w:w="1157" w:type="dxa"/>
            <w:vAlign w:val="center"/>
          </w:tcPr>
          <w:p w14:paraId="36091696" w14:textId="7C6B88FF"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C1FBC">
              <w:t>72,692</w:t>
            </w:r>
          </w:p>
        </w:tc>
        <w:tc>
          <w:tcPr>
            <w:tcW w:w="1255" w:type="dxa"/>
            <w:vAlign w:val="center"/>
          </w:tcPr>
          <w:p w14:paraId="36091697" w14:textId="516EA5A4"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C1FBC">
              <w:t>100.00%</w:t>
            </w:r>
          </w:p>
        </w:tc>
      </w:tr>
    </w:tbl>
    <w:p w14:paraId="36091699" w14:textId="0720E901" w:rsidR="00A44E16" w:rsidRPr="004C2412" w:rsidRDefault="00A44E16" w:rsidP="00A609AA">
      <w:pPr>
        <w:ind w:left="0"/>
      </w:pPr>
      <w:r w:rsidRPr="004C2412">
        <w:t>Failure to attend an initial appointment with a third party, such as Work for the Dole host organisation, can result in a Connection Failure.</w:t>
      </w:r>
    </w:p>
    <w:p w14:paraId="06F26C31" w14:textId="50DC0ED4" w:rsidR="00B51AA6" w:rsidRPr="004C2412" w:rsidRDefault="00A44E16" w:rsidP="00A609AA">
      <w:pPr>
        <w:ind w:left="0"/>
        <w:rPr>
          <w:noProof/>
        </w:rPr>
      </w:pPr>
      <w:r w:rsidRPr="004C2412">
        <w:rPr>
          <w:sz w:val="28"/>
          <w:szCs w:val="28"/>
          <w:vertAlign w:val="superscript"/>
        </w:rPr>
        <w:t xml:space="preserve">^ </w:t>
      </w:r>
      <w:r w:rsidRPr="004C2412">
        <w:rPr>
          <w:noProof/>
        </w:rPr>
        <w:t>Non-attendance at employment services provider appointments is reported through a Non-Attendance Report and results in an income support payment suspension rather than a Connection Failure. Providers can recommend to the Department of Human Services that a financial penalty be applied where they consider the job seeker had no reasonable excuse for non</w:t>
      </w:r>
      <w:r w:rsidR="00F67E5F" w:rsidRPr="004C2412">
        <w:rPr>
          <w:noProof/>
        </w:rPr>
        <w:t>-attendance at the appointment.</w:t>
      </w:r>
    </w:p>
    <w:p w14:paraId="3609169D" w14:textId="15E5AC6D" w:rsidR="00E8387B" w:rsidRPr="004C2412" w:rsidRDefault="00D6515C" w:rsidP="00A609AA">
      <w:pPr>
        <w:pStyle w:val="Heading3"/>
        <w:numPr>
          <w:ilvl w:val="0"/>
          <w:numId w:val="0"/>
        </w:numPr>
      </w:pPr>
      <w:bookmarkStart w:id="56" w:name="_Toc526864462"/>
      <w:r w:rsidRPr="004C2412">
        <w:t xml:space="preserve">14 d </w:t>
      </w:r>
      <w:r w:rsidR="00D616E9" w:rsidRPr="004C2412">
        <w:t>–</w:t>
      </w:r>
      <w:r w:rsidRPr="004C2412">
        <w:t xml:space="preserve"> </w:t>
      </w:r>
      <w:r w:rsidR="006C7CE4" w:rsidRPr="004C2412">
        <w:t>Income Support Payment Suspensions</w:t>
      </w:r>
      <w:r w:rsidR="00B02285" w:rsidRPr="004C2412">
        <w:t xml:space="preserve"> </w:t>
      </w:r>
      <w:r w:rsidR="00C95ED9" w:rsidRPr="004C2412">
        <w:t>-</w:t>
      </w:r>
      <w:r w:rsidR="00B02285" w:rsidRPr="004C2412">
        <w:t xml:space="preserve"> 1 </w:t>
      </w:r>
      <w:r w:rsidR="008C5615">
        <w:t>April</w:t>
      </w:r>
      <w:r w:rsidR="008C5615" w:rsidRPr="004C2412">
        <w:t xml:space="preserve"> </w:t>
      </w:r>
      <w:r w:rsidR="00B02285" w:rsidRPr="004C2412">
        <w:t>to 3</w:t>
      </w:r>
      <w:r w:rsidR="008C5615">
        <w:t>0</w:t>
      </w:r>
      <w:r w:rsidR="00B02285" w:rsidRPr="004C2412">
        <w:t xml:space="preserve"> </w:t>
      </w:r>
      <w:r w:rsidR="008C5615">
        <w:t>June</w:t>
      </w:r>
      <w:r w:rsidR="00BE2380" w:rsidRPr="004C2412">
        <w:t xml:space="preserve"> </w:t>
      </w:r>
      <w:r w:rsidR="00B02285" w:rsidRPr="004C2412">
        <w:t>201</w:t>
      </w:r>
      <w:r w:rsidR="00BE2380" w:rsidRPr="004C2412">
        <w:t>8</w:t>
      </w:r>
      <w:bookmarkEnd w:id="56"/>
    </w:p>
    <w:tbl>
      <w:tblPr>
        <w:tblStyle w:val="CenterAlignTable"/>
        <w:tblW w:w="14748" w:type="dxa"/>
        <w:tblInd w:w="-5" w:type="dxa"/>
        <w:tblLook w:val="04A0" w:firstRow="1" w:lastRow="0"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3841"/>
        <w:gridCol w:w="1328"/>
        <w:gridCol w:w="1613"/>
        <w:gridCol w:w="1383"/>
        <w:gridCol w:w="1665"/>
        <w:gridCol w:w="1004"/>
        <w:gridCol w:w="1041"/>
        <w:gridCol w:w="1415"/>
        <w:gridCol w:w="1458"/>
      </w:tblGrid>
      <w:tr w:rsidR="00D9585E" w:rsidRPr="004C2412" w14:paraId="360916A7" w14:textId="1D6EF60C" w:rsidTr="001C410D">
        <w:trPr>
          <w:cnfStyle w:val="100000000000" w:firstRow="1" w:lastRow="0" w:firstColumn="0" w:lastColumn="0" w:oddVBand="0" w:evenVBand="0" w:oddHBand="0" w:evenHBand="0" w:firstRowFirstColumn="0" w:firstRowLastColumn="0" w:lastRowFirstColumn="0" w:lastRowLastColumn="0"/>
          <w:trHeight w:val="858"/>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609169E" w14:textId="3D9BFF69" w:rsidR="00D9585E" w:rsidRPr="004C2412" w:rsidRDefault="00F67E5F" w:rsidP="00910012">
            <w:pPr>
              <w:spacing w:before="0"/>
              <w:ind w:left="0"/>
              <w:jc w:val="left"/>
              <w:rPr>
                <w:noProof/>
              </w:rPr>
            </w:pPr>
            <w:r w:rsidRPr="004C2412">
              <w:rPr>
                <w:noProof/>
              </w:rPr>
              <w:t>Types of Income Support Payment Suspensions</w:t>
            </w:r>
          </w:p>
        </w:tc>
        <w:tc>
          <w:tcPr>
            <w:tcW w:w="0" w:type="auto"/>
            <w:vAlign w:val="center"/>
          </w:tcPr>
          <w:p w14:paraId="3609169F" w14:textId="07BE92F6"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Indigenous</w:t>
            </w:r>
          </w:p>
        </w:tc>
        <w:tc>
          <w:tcPr>
            <w:tcW w:w="1613" w:type="dxa"/>
            <w:vAlign w:val="center"/>
          </w:tcPr>
          <w:p w14:paraId="360916A0" w14:textId="35189320"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Indigenous %</w:t>
            </w:r>
          </w:p>
        </w:tc>
        <w:tc>
          <w:tcPr>
            <w:tcW w:w="1383" w:type="dxa"/>
            <w:vAlign w:val="center"/>
          </w:tcPr>
          <w:p w14:paraId="360916A1" w14:textId="0AD10F77"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Non Indigenous</w:t>
            </w:r>
          </w:p>
        </w:tc>
        <w:tc>
          <w:tcPr>
            <w:tcW w:w="0" w:type="auto"/>
            <w:vAlign w:val="center"/>
          </w:tcPr>
          <w:p w14:paraId="360916A2" w14:textId="114AFDBC"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Non Indigenous %</w:t>
            </w:r>
          </w:p>
        </w:tc>
        <w:tc>
          <w:tcPr>
            <w:tcW w:w="0" w:type="auto"/>
            <w:vAlign w:val="center"/>
          </w:tcPr>
          <w:p w14:paraId="360916A3" w14:textId="04F4BCF0"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Total</w:t>
            </w:r>
          </w:p>
        </w:tc>
        <w:tc>
          <w:tcPr>
            <w:tcW w:w="0" w:type="auto"/>
            <w:vAlign w:val="center"/>
          </w:tcPr>
          <w:p w14:paraId="360916A4" w14:textId="3C00FA09"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Total %</w:t>
            </w:r>
          </w:p>
        </w:tc>
        <w:tc>
          <w:tcPr>
            <w:tcW w:w="0" w:type="auto"/>
            <w:vAlign w:val="center"/>
          </w:tcPr>
          <w:p w14:paraId="360916A5" w14:textId="0C85039D"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Financial YTD</w:t>
            </w:r>
          </w:p>
        </w:tc>
        <w:tc>
          <w:tcPr>
            <w:tcW w:w="0" w:type="auto"/>
            <w:vAlign w:val="center"/>
          </w:tcPr>
          <w:p w14:paraId="360916A6" w14:textId="65E8576E"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Financial YTD%</w:t>
            </w:r>
          </w:p>
        </w:tc>
      </w:tr>
      <w:tr w:rsidR="008C5615" w:rsidRPr="004C2412" w14:paraId="360916B1" w14:textId="2EAFF2CE" w:rsidTr="00F65699">
        <w:trPr>
          <w:trHeight w:val="599"/>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0916A8" w14:textId="3FA90333" w:rsidR="008C5615" w:rsidRPr="004C2412" w:rsidRDefault="008C5615" w:rsidP="008C5615">
            <w:pPr>
              <w:spacing w:before="0"/>
              <w:ind w:left="0"/>
              <w:jc w:val="left"/>
              <w:rPr>
                <w:b w:val="0"/>
                <w:noProof/>
              </w:rPr>
            </w:pPr>
            <w:r w:rsidRPr="004C2412">
              <w:rPr>
                <w:b w:val="0"/>
                <w:bCs/>
              </w:rPr>
              <w:t>Income support payment suspension – non-attendance at appointment</w:t>
            </w:r>
          </w:p>
        </w:tc>
        <w:tc>
          <w:tcPr>
            <w:tcW w:w="0" w:type="auto"/>
            <w:vAlign w:val="center"/>
          </w:tcPr>
          <w:p w14:paraId="360916A9" w14:textId="3875BCD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73,775</w:t>
            </w:r>
          </w:p>
        </w:tc>
        <w:tc>
          <w:tcPr>
            <w:tcW w:w="1613" w:type="dxa"/>
            <w:vAlign w:val="center"/>
          </w:tcPr>
          <w:p w14:paraId="360916AA" w14:textId="1B40044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19.34%</w:t>
            </w:r>
          </w:p>
        </w:tc>
        <w:tc>
          <w:tcPr>
            <w:tcW w:w="1383" w:type="dxa"/>
            <w:vAlign w:val="center"/>
          </w:tcPr>
          <w:p w14:paraId="360916AB" w14:textId="0997D01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283,939</w:t>
            </w:r>
          </w:p>
        </w:tc>
        <w:tc>
          <w:tcPr>
            <w:tcW w:w="0" w:type="auto"/>
            <w:vAlign w:val="center"/>
          </w:tcPr>
          <w:p w14:paraId="360916AC" w14:textId="3F22C9A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74.42%</w:t>
            </w:r>
          </w:p>
        </w:tc>
        <w:tc>
          <w:tcPr>
            <w:tcW w:w="0" w:type="auto"/>
            <w:vAlign w:val="center"/>
          </w:tcPr>
          <w:p w14:paraId="360916AD" w14:textId="6FEEEF7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357,714</w:t>
            </w:r>
          </w:p>
        </w:tc>
        <w:tc>
          <w:tcPr>
            <w:tcW w:w="0" w:type="auto"/>
            <w:vAlign w:val="center"/>
          </w:tcPr>
          <w:p w14:paraId="360916AE" w14:textId="3E268DB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93.76%</w:t>
            </w:r>
          </w:p>
        </w:tc>
        <w:tc>
          <w:tcPr>
            <w:tcW w:w="0" w:type="auto"/>
            <w:vAlign w:val="center"/>
          </w:tcPr>
          <w:p w14:paraId="360916AF" w14:textId="6101B8D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1,505,766</w:t>
            </w:r>
          </w:p>
        </w:tc>
        <w:tc>
          <w:tcPr>
            <w:tcW w:w="0" w:type="auto"/>
            <w:vAlign w:val="center"/>
          </w:tcPr>
          <w:p w14:paraId="360916B0" w14:textId="318B447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93.56%</w:t>
            </w:r>
          </w:p>
        </w:tc>
      </w:tr>
      <w:tr w:rsidR="008C5615" w:rsidRPr="004C2412" w14:paraId="360916BB" w14:textId="1C7AABC4" w:rsidTr="00F65699">
        <w:trPr>
          <w:trHeight w:val="599"/>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0916B2" w14:textId="23C172E7" w:rsidR="008C5615" w:rsidRPr="004C2412" w:rsidRDefault="008C5615" w:rsidP="008C5615">
            <w:pPr>
              <w:spacing w:before="0"/>
              <w:ind w:left="0"/>
              <w:jc w:val="left"/>
              <w:rPr>
                <w:b w:val="0"/>
                <w:noProof/>
              </w:rPr>
            </w:pPr>
            <w:r w:rsidRPr="004C2412">
              <w:rPr>
                <w:b w:val="0"/>
                <w:bCs/>
              </w:rPr>
              <w:t>Income support payment suspension – disengagement from activity</w:t>
            </w:r>
          </w:p>
        </w:tc>
        <w:tc>
          <w:tcPr>
            <w:tcW w:w="0" w:type="auto"/>
            <w:vAlign w:val="center"/>
          </w:tcPr>
          <w:p w14:paraId="360916B3" w14:textId="29935057"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11,821</w:t>
            </w:r>
          </w:p>
        </w:tc>
        <w:tc>
          <w:tcPr>
            <w:tcW w:w="1613" w:type="dxa"/>
            <w:vAlign w:val="center"/>
          </w:tcPr>
          <w:p w14:paraId="360916B4" w14:textId="5B4693B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3.10%</w:t>
            </w:r>
          </w:p>
        </w:tc>
        <w:tc>
          <w:tcPr>
            <w:tcW w:w="1383" w:type="dxa"/>
            <w:vAlign w:val="center"/>
          </w:tcPr>
          <w:p w14:paraId="360916B5" w14:textId="5DC5C62C"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11,989</w:t>
            </w:r>
          </w:p>
        </w:tc>
        <w:tc>
          <w:tcPr>
            <w:tcW w:w="0" w:type="auto"/>
            <w:vAlign w:val="center"/>
          </w:tcPr>
          <w:p w14:paraId="360916B6" w14:textId="46D6368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3.14%</w:t>
            </w:r>
          </w:p>
        </w:tc>
        <w:tc>
          <w:tcPr>
            <w:tcW w:w="0" w:type="auto"/>
            <w:vAlign w:val="center"/>
          </w:tcPr>
          <w:p w14:paraId="360916B7" w14:textId="0A4D310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23,810</w:t>
            </w:r>
          </w:p>
        </w:tc>
        <w:tc>
          <w:tcPr>
            <w:tcW w:w="0" w:type="auto"/>
            <w:vAlign w:val="center"/>
          </w:tcPr>
          <w:p w14:paraId="360916B8" w14:textId="75AB9E4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6.24%</w:t>
            </w:r>
          </w:p>
        </w:tc>
        <w:tc>
          <w:tcPr>
            <w:tcW w:w="0" w:type="auto"/>
            <w:vAlign w:val="center"/>
          </w:tcPr>
          <w:p w14:paraId="360916B9" w14:textId="36AACE9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103,655</w:t>
            </w:r>
          </w:p>
        </w:tc>
        <w:tc>
          <w:tcPr>
            <w:tcW w:w="0" w:type="auto"/>
            <w:vAlign w:val="center"/>
          </w:tcPr>
          <w:p w14:paraId="360916BA" w14:textId="33A76D8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56752">
              <w:t>6.44%</w:t>
            </w:r>
          </w:p>
        </w:tc>
      </w:tr>
      <w:tr w:rsidR="008C5615" w:rsidRPr="004C2412" w14:paraId="360916C5" w14:textId="19EDA9BC" w:rsidTr="00F65699">
        <w:trPr>
          <w:trHeight w:val="582"/>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0916BC" w14:textId="4AFA26A2" w:rsidR="008C5615" w:rsidRPr="004C2412" w:rsidRDefault="008C5615" w:rsidP="008C5615">
            <w:pPr>
              <w:spacing w:before="0"/>
              <w:ind w:left="0"/>
              <w:jc w:val="left"/>
              <w:rPr>
                <w:bCs/>
              </w:rPr>
            </w:pPr>
            <w:r w:rsidRPr="004C2412">
              <w:rPr>
                <w:bCs/>
              </w:rPr>
              <w:t>Total Income Support payment suspensions</w:t>
            </w:r>
          </w:p>
        </w:tc>
        <w:tc>
          <w:tcPr>
            <w:tcW w:w="0" w:type="auto"/>
            <w:vAlign w:val="center"/>
          </w:tcPr>
          <w:p w14:paraId="360916BD" w14:textId="44C465B6" w:rsidR="008C5615" w:rsidRPr="001C410D"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1C410D">
              <w:rPr>
                <w:b/>
              </w:rPr>
              <w:t>85,596</w:t>
            </w:r>
          </w:p>
        </w:tc>
        <w:tc>
          <w:tcPr>
            <w:tcW w:w="1613" w:type="dxa"/>
            <w:vAlign w:val="center"/>
          </w:tcPr>
          <w:p w14:paraId="360916BE" w14:textId="4D7566CB" w:rsidR="008C5615" w:rsidRPr="001C410D"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1C410D">
              <w:rPr>
                <w:b/>
              </w:rPr>
              <w:t>22.44%</w:t>
            </w:r>
          </w:p>
        </w:tc>
        <w:tc>
          <w:tcPr>
            <w:tcW w:w="1383" w:type="dxa"/>
            <w:vAlign w:val="center"/>
          </w:tcPr>
          <w:p w14:paraId="360916BF" w14:textId="0D460DCF" w:rsidR="008C5615" w:rsidRPr="001C410D"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1C410D">
              <w:rPr>
                <w:b/>
              </w:rPr>
              <w:t>295,928</w:t>
            </w:r>
          </w:p>
        </w:tc>
        <w:tc>
          <w:tcPr>
            <w:tcW w:w="0" w:type="auto"/>
            <w:vAlign w:val="center"/>
          </w:tcPr>
          <w:p w14:paraId="360916C0" w14:textId="7718CC28" w:rsidR="008C5615" w:rsidRPr="001C410D"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1C410D">
              <w:rPr>
                <w:b/>
              </w:rPr>
              <w:t>77.56%</w:t>
            </w:r>
          </w:p>
        </w:tc>
        <w:tc>
          <w:tcPr>
            <w:tcW w:w="0" w:type="auto"/>
            <w:vAlign w:val="center"/>
          </w:tcPr>
          <w:p w14:paraId="360916C1" w14:textId="45326E3E" w:rsidR="008C5615" w:rsidRPr="001C410D"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1C410D">
              <w:rPr>
                <w:b/>
              </w:rPr>
              <w:t>381,524</w:t>
            </w:r>
          </w:p>
        </w:tc>
        <w:tc>
          <w:tcPr>
            <w:tcW w:w="0" w:type="auto"/>
            <w:vAlign w:val="center"/>
          </w:tcPr>
          <w:p w14:paraId="360916C2" w14:textId="5F05328E" w:rsidR="008C5615" w:rsidRPr="001C410D"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1C410D">
              <w:rPr>
                <w:b/>
              </w:rPr>
              <w:t>100.00%</w:t>
            </w:r>
          </w:p>
        </w:tc>
        <w:tc>
          <w:tcPr>
            <w:tcW w:w="0" w:type="auto"/>
            <w:vAlign w:val="center"/>
          </w:tcPr>
          <w:p w14:paraId="360916C3" w14:textId="31CBBD76" w:rsidR="008C5615" w:rsidRPr="001C410D"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1C410D">
              <w:rPr>
                <w:b/>
              </w:rPr>
              <w:t>1,609,421</w:t>
            </w:r>
          </w:p>
        </w:tc>
        <w:tc>
          <w:tcPr>
            <w:tcW w:w="0" w:type="auto"/>
            <w:vAlign w:val="center"/>
          </w:tcPr>
          <w:p w14:paraId="360916C4" w14:textId="5EB8BA47" w:rsidR="008C5615" w:rsidRPr="001C410D"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1C410D">
              <w:rPr>
                <w:b/>
              </w:rPr>
              <w:t>100.00%</w:t>
            </w:r>
          </w:p>
        </w:tc>
      </w:tr>
    </w:tbl>
    <w:p w14:paraId="44903E55" w14:textId="26DCACF5" w:rsidR="00BF33EB" w:rsidRPr="004C2412" w:rsidRDefault="00BF54B3" w:rsidP="008A2A10">
      <w:pPr>
        <w:ind w:left="0"/>
      </w:pPr>
      <w:r w:rsidRPr="004C2412">
        <w:rPr>
          <w:noProof/>
        </w:rPr>
        <w:t>Income support payment suspensions are applied when a job seeker fails to attend an appointment with their employment services provider and a Non-Attendance Report is submitted, or when a job seeker disengages from an activity and their provider indicates on a No Show No Pay Participation Report that they wish to discuss this with the job seeker.</w:t>
      </w:r>
      <w:r w:rsidR="00BF33EB" w:rsidRPr="004C2412">
        <w:rPr>
          <w:b/>
        </w:rPr>
        <w:br w:type="page"/>
      </w:r>
    </w:p>
    <w:p w14:paraId="360916C8" w14:textId="3E4D1DC9" w:rsidR="00E8387B" w:rsidRPr="004C2412" w:rsidRDefault="00D6515C" w:rsidP="00A609AA">
      <w:pPr>
        <w:pStyle w:val="Heading3"/>
        <w:numPr>
          <w:ilvl w:val="0"/>
          <w:numId w:val="0"/>
        </w:numPr>
      </w:pPr>
      <w:bookmarkStart w:id="57" w:name="_Toc526864463"/>
      <w:r w:rsidRPr="004C2412">
        <w:t xml:space="preserve">14 e </w:t>
      </w:r>
      <w:r w:rsidR="00D616E9" w:rsidRPr="004C2412">
        <w:t>–</w:t>
      </w:r>
      <w:r w:rsidRPr="004C2412">
        <w:t xml:space="preserve"> </w:t>
      </w:r>
      <w:r w:rsidR="00422B96" w:rsidRPr="004C2412">
        <w:t>Compr</w:t>
      </w:r>
      <w:r w:rsidR="00244CB0" w:rsidRPr="004C2412">
        <w:t>ehensive Compliance Assessments</w:t>
      </w:r>
      <w:r w:rsidR="00D616E9" w:rsidRPr="004C2412">
        <w:t xml:space="preserve"> </w:t>
      </w:r>
      <w:r w:rsidR="00C95ED9" w:rsidRPr="004C2412">
        <w:t>-</w:t>
      </w:r>
      <w:r w:rsidR="00D616E9" w:rsidRPr="004C2412">
        <w:t xml:space="preserve"> 1 </w:t>
      </w:r>
      <w:r w:rsidR="008C5615">
        <w:t>April</w:t>
      </w:r>
      <w:r w:rsidR="008C5615" w:rsidRPr="004C2412">
        <w:t xml:space="preserve"> </w:t>
      </w:r>
      <w:r w:rsidR="00D616E9" w:rsidRPr="004C2412">
        <w:t>to 3</w:t>
      </w:r>
      <w:r w:rsidR="008C5615">
        <w:t>0 June</w:t>
      </w:r>
      <w:r w:rsidR="00BE2380" w:rsidRPr="004C2412">
        <w:t xml:space="preserve"> </w:t>
      </w:r>
      <w:r w:rsidR="00D616E9" w:rsidRPr="004C2412">
        <w:t>201</w:t>
      </w:r>
      <w:r w:rsidR="00BE2380" w:rsidRPr="004C2412">
        <w:t>8</w:t>
      </w:r>
      <w:bookmarkEnd w:id="57"/>
    </w:p>
    <w:tbl>
      <w:tblPr>
        <w:tblStyle w:val="LeftAlignTable"/>
        <w:tblW w:w="0" w:type="auto"/>
        <w:tblInd w:w="-5" w:type="dxa"/>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3773"/>
        <w:gridCol w:w="1400"/>
        <w:gridCol w:w="1405"/>
        <w:gridCol w:w="1328"/>
        <w:gridCol w:w="1328"/>
        <w:gridCol w:w="1140"/>
        <w:gridCol w:w="1371"/>
        <w:gridCol w:w="1370"/>
        <w:gridCol w:w="1370"/>
      </w:tblGrid>
      <w:tr w:rsidR="00D9585E" w:rsidRPr="004C2412" w14:paraId="360916D2" w14:textId="5EFE7F10" w:rsidTr="001C410D">
        <w:trPr>
          <w:cnfStyle w:val="100000000000" w:firstRow="1" w:lastRow="0" w:firstColumn="0" w:lastColumn="0" w:oddVBand="0" w:evenVBand="0" w:oddHBand="0" w:evenHBand="0" w:firstRowFirstColumn="0" w:firstRowLastColumn="0" w:lastRowFirstColumn="0" w:lastRowLastColumn="0"/>
          <w:trHeight w:val="937"/>
          <w:tblHeader/>
        </w:trPr>
        <w:tc>
          <w:tcPr>
            <w:cnfStyle w:val="001000000000" w:firstRow="0" w:lastRow="0" w:firstColumn="1" w:lastColumn="0" w:oddVBand="0" w:evenVBand="0" w:oddHBand="0" w:evenHBand="0" w:firstRowFirstColumn="0" w:firstRowLastColumn="0" w:lastRowFirstColumn="0" w:lastRowLastColumn="0"/>
            <w:tcW w:w="3773" w:type="dxa"/>
            <w:shd w:val="clear" w:color="auto" w:fill="auto"/>
            <w:vAlign w:val="center"/>
          </w:tcPr>
          <w:p w14:paraId="360916C9" w14:textId="013FD82D" w:rsidR="00D9585E" w:rsidRPr="004C2412" w:rsidRDefault="00D9585E" w:rsidP="00910012">
            <w:pPr>
              <w:spacing w:before="0"/>
              <w:ind w:left="0"/>
            </w:pPr>
            <w:r w:rsidRPr="004C2412">
              <w:t>Finalised CCA Outcome</w:t>
            </w:r>
          </w:p>
        </w:tc>
        <w:tc>
          <w:tcPr>
            <w:tcW w:w="1400" w:type="dxa"/>
            <w:vAlign w:val="center"/>
          </w:tcPr>
          <w:p w14:paraId="360916CA" w14:textId="0954DAB1"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Indigenous</w:t>
            </w:r>
          </w:p>
        </w:tc>
        <w:tc>
          <w:tcPr>
            <w:tcW w:w="1405" w:type="dxa"/>
            <w:vAlign w:val="center"/>
          </w:tcPr>
          <w:p w14:paraId="360916CB" w14:textId="17566F74"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Indigenous %</w:t>
            </w:r>
          </w:p>
        </w:tc>
        <w:tc>
          <w:tcPr>
            <w:tcW w:w="1328" w:type="dxa"/>
            <w:vAlign w:val="center"/>
          </w:tcPr>
          <w:p w14:paraId="360916CC" w14:textId="5FED97E9"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Non Indigenous</w:t>
            </w:r>
          </w:p>
        </w:tc>
        <w:tc>
          <w:tcPr>
            <w:tcW w:w="1328" w:type="dxa"/>
            <w:vAlign w:val="center"/>
          </w:tcPr>
          <w:p w14:paraId="360916CD" w14:textId="38E9A69A"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Non Indigenous %</w:t>
            </w:r>
          </w:p>
        </w:tc>
        <w:tc>
          <w:tcPr>
            <w:tcW w:w="1140" w:type="dxa"/>
            <w:vAlign w:val="center"/>
          </w:tcPr>
          <w:p w14:paraId="360916CE" w14:textId="76A93D6E"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371" w:type="dxa"/>
            <w:vAlign w:val="center"/>
          </w:tcPr>
          <w:p w14:paraId="360916CF" w14:textId="55A69CD8"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 %</w:t>
            </w:r>
          </w:p>
        </w:tc>
        <w:tc>
          <w:tcPr>
            <w:tcW w:w="1370" w:type="dxa"/>
            <w:vAlign w:val="center"/>
          </w:tcPr>
          <w:p w14:paraId="360916D0" w14:textId="73DBFC48"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1370" w:type="dxa"/>
            <w:vAlign w:val="center"/>
          </w:tcPr>
          <w:p w14:paraId="360916D1" w14:textId="596A52FC" w:rsidR="00D9585E" w:rsidRPr="004C2412" w:rsidRDefault="00D9585E"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8C5615" w:rsidRPr="004C2412" w14:paraId="360916DC" w14:textId="37FF2879" w:rsidTr="00092B18">
        <w:trPr>
          <w:trHeight w:val="294"/>
        </w:trPr>
        <w:tc>
          <w:tcPr>
            <w:cnfStyle w:val="001000000000" w:firstRow="0" w:lastRow="0" w:firstColumn="1" w:lastColumn="0" w:oddVBand="0" w:evenVBand="0" w:oddHBand="0" w:evenHBand="0" w:firstRowFirstColumn="0" w:firstRowLastColumn="0" w:lastRowFirstColumn="0" w:lastRowLastColumn="0"/>
            <w:tcW w:w="3773" w:type="dxa"/>
            <w:vAlign w:val="center"/>
          </w:tcPr>
          <w:p w14:paraId="360916D3" w14:textId="2EB7C1B9" w:rsidR="008C5615" w:rsidRPr="004C2412" w:rsidRDefault="008C5615" w:rsidP="008C5615">
            <w:pPr>
              <w:spacing w:before="0"/>
              <w:ind w:left="0"/>
            </w:pPr>
            <w:r w:rsidRPr="004C2412">
              <w:t xml:space="preserve">JSCI updated – referral for </w:t>
            </w:r>
            <w:proofErr w:type="spellStart"/>
            <w:r w:rsidRPr="004C2412">
              <w:t>ESAt</w:t>
            </w:r>
            <w:proofErr w:type="spellEnd"/>
          </w:p>
        </w:tc>
        <w:tc>
          <w:tcPr>
            <w:tcW w:w="1400" w:type="dxa"/>
            <w:vAlign w:val="center"/>
          </w:tcPr>
          <w:p w14:paraId="360916D4" w14:textId="4AE6AE5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164</w:t>
            </w:r>
          </w:p>
        </w:tc>
        <w:tc>
          <w:tcPr>
            <w:tcW w:w="1405" w:type="dxa"/>
            <w:vAlign w:val="center"/>
          </w:tcPr>
          <w:p w14:paraId="360916D5" w14:textId="0AA869D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0.71%</w:t>
            </w:r>
          </w:p>
        </w:tc>
        <w:tc>
          <w:tcPr>
            <w:tcW w:w="1328" w:type="dxa"/>
            <w:vAlign w:val="center"/>
          </w:tcPr>
          <w:p w14:paraId="360916D6" w14:textId="67026B9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433</w:t>
            </w:r>
          </w:p>
        </w:tc>
        <w:tc>
          <w:tcPr>
            <w:tcW w:w="1328" w:type="dxa"/>
            <w:vAlign w:val="center"/>
          </w:tcPr>
          <w:p w14:paraId="360916D7" w14:textId="0310D07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1.88%</w:t>
            </w:r>
          </w:p>
        </w:tc>
        <w:tc>
          <w:tcPr>
            <w:tcW w:w="1140" w:type="dxa"/>
            <w:vAlign w:val="center"/>
          </w:tcPr>
          <w:p w14:paraId="360916D8" w14:textId="1DEFA4E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597</w:t>
            </w:r>
          </w:p>
        </w:tc>
        <w:tc>
          <w:tcPr>
            <w:tcW w:w="1371" w:type="dxa"/>
            <w:vAlign w:val="center"/>
          </w:tcPr>
          <w:p w14:paraId="360916D9" w14:textId="1B20CFE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2.60%</w:t>
            </w:r>
          </w:p>
        </w:tc>
        <w:tc>
          <w:tcPr>
            <w:tcW w:w="1370" w:type="dxa"/>
            <w:vAlign w:val="center"/>
          </w:tcPr>
          <w:p w14:paraId="360916DA" w14:textId="4EC8728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2,510</w:t>
            </w:r>
          </w:p>
        </w:tc>
        <w:tc>
          <w:tcPr>
            <w:tcW w:w="1370" w:type="dxa"/>
            <w:vAlign w:val="center"/>
          </w:tcPr>
          <w:p w14:paraId="360916DB" w14:textId="590CF3E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2.76%</w:t>
            </w:r>
          </w:p>
        </w:tc>
      </w:tr>
      <w:tr w:rsidR="008C5615" w:rsidRPr="004C2412" w14:paraId="360916E6" w14:textId="297A3752" w:rsidTr="00092B18">
        <w:trPr>
          <w:trHeight w:val="624"/>
        </w:trPr>
        <w:tc>
          <w:tcPr>
            <w:cnfStyle w:val="001000000000" w:firstRow="0" w:lastRow="0" w:firstColumn="1" w:lastColumn="0" w:oddVBand="0" w:evenVBand="0" w:oddHBand="0" w:evenHBand="0" w:firstRowFirstColumn="0" w:firstRowLastColumn="0" w:lastRowFirstColumn="0" w:lastRowLastColumn="0"/>
            <w:tcW w:w="3773" w:type="dxa"/>
            <w:vAlign w:val="center"/>
          </w:tcPr>
          <w:p w14:paraId="360916DD" w14:textId="630502FE" w:rsidR="008C5615" w:rsidRPr="004C2412" w:rsidRDefault="008C5615" w:rsidP="008C5615">
            <w:pPr>
              <w:spacing w:before="0"/>
              <w:ind w:left="0"/>
            </w:pPr>
            <w:r w:rsidRPr="004C2412">
              <w:t>JSCI updated – eligible for higher stream</w:t>
            </w:r>
          </w:p>
        </w:tc>
        <w:tc>
          <w:tcPr>
            <w:tcW w:w="1400" w:type="dxa"/>
            <w:vAlign w:val="center"/>
          </w:tcPr>
          <w:p w14:paraId="360916DE" w14:textId="1045150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8</w:t>
            </w:r>
          </w:p>
        </w:tc>
        <w:tc>
          <w:tcPr>
            <w:tcW w:w="1405" w:type="dxa"/>
            <w:vAlign w:val="center"/>
          </w:tcPr>
          <w:p w14:paraId="360916DF" w14:textId="55AB2BFC"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0.03%</w:t>
            </w:r>
          </w:p>
        </w:tc>
        <w:tc>
          <w:tcPr>
            <w:tcW w:w="1328" w:type="dxa"/>
            <w:vAlign w:val="center"/>
          </w:tcPr>
          <w:p w14:paraId="360916E0" w14:textId="71F0C6EA"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38</w:t>
            </w:r>
          </w:p>
        </w:tc>
        <w:tc>
          <w:tcPr>
            <w:tcW w:w="1328" w:type="dxa"/>
            <w:vAlign w:val="center"/>
          </w:tcPr>
          <w:p w14:paraId="360916E1" w14:textId="3D5EEC3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0.17%</w:t>
            </w:r>
          </w:p>
        </w:tc>
        <w:tc>
          <w:tcPr>
            <w:tcW w:w="1140" w:type="dxa"/>
            <w:vAlign w:val="center"/>
          </w:tcPr>
          <w:p w14:paraId="360916E2" w14:textId="7AB9D73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46</w:t>
            </w:r>
          </w:p>
        </w:tc>
        <w:tc>
          <w:tcPr>
            <w:tcW w:w="1371" w:type="dxa"/>
            <w:vAlign w:val="center"/>
          </w:tcPr>
          <w:p w14:paraId="360916E3" w14:textId="5F6A689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0.20%</w:t>
            </w:r>
          </w:p>
        </w:tc>
        <w:tc>
          <w:tcPr>
            <w:tcW w:w="1370" w:type="dxa"/>
            <w:vAlign w:val="center"/>
          </w:tcPr>
          <w:p w14:paraId="360916E4" w14:textId="2F8DFA5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149</w:t>
            </w:r>
          </w:p>
        </w:tc>
        <w:tc>
          <w:tcPr>
            <w:tcW w:w="1370" w:type="dxa"/>
            <w:vAlign w:val="center"/>
          </w:tcPr>
          <w:p w14:paraId="360916E5" w14:textId="2093789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0.16%</w:t>
            </w:r>
          </w:p>
        </w:tc>
      </w:tr>
      <w:tr w:rsidR="008C5615" w:rsidRPr="004C2412" w14:paraId="360916F0" w14:textId="528EA67A" w:rsidTr="00092B18">
        <w:trPr>
          <w:trHeight w:val="624"/>
        </w:trPr>
        <w:tc>
          <w:tcPr>
            <w:cnfStyle w:val="001000000000" w:firstRow="0" w:lastRow="0" w:firstColumn="1" w:lastColumn="0" w:oddVBand="0" w:evenVBand="0" w:oddHBand="0" w:evenHBand="0" w:firstRowFirstColumn="0" w:firstRowLastColumn="0" w:lastRowFirstColumn="0" w:lastRowLastColumn="0"/>
            <w:tcW w:w="3773" w:type="dxa"/>
            <w:vAlign w:val="center"/>
          </w:tcPr>
          <w:p w14:paraId="360916E7" w14:textId="37CCD13C" w:rsidR="008C5615" w:rsidRPr="004C2412" w:rsidRDefault="008C5615" w:rsidP="008C5615">
            <w:pPr>
              <w:spacing w:before="0"/>
              <w:ind w:left="0"/>
            </w:pPr>
            <w:r w:rsidRPr="004C2412">
              <w:t xml:space="preserve">Persistent non-compliance </w:t>
            </w:r>
            <w:r w:rsidRPr="004C2412">
              <w:br/>
              <w:t>(Serious Failure)</w:t>
            </w:r>
          </w:p>
        </w:tc>
        <w:tc>
          <w:tcPr>
            <w:tcW w:w="1400" w:type="dxa"/>
            <w:vAlign w:val="center"/>
          </w:tcPr>
          <w:p w14:paraId="360916E8" w14:textId="1080DD0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7,893</w:t>
            </w:r>
          </w:p>
        </w:tc>
        <w:tc>
          <w:tcPr>
            <w:tcW w:w="1405" w:type="dxa"/>
            <w:vAlign w:val="center"/>
          </w:tcPr>
          <w:p w14:paraId="360916E9" w14:textId="5DBAC22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34.34%</w:t>
            </w:r>
          </w:p>
        </w:tc>
        <w:tc>
          <w:tcPr>
            <w:tcW w:w="1328" w:type="dxa"/>
            <w:vAlign w:val="center"/>
          </w:tcPr>
          <w:p w14:paraId="360916EA" w14:textId="1643348C"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2,363</w:t>
            </w:r>
          </w:p>
        </w:tc>
        <w:tc>
          <w:tcPr>
            <w:tcW w:w="1328" w:type="dxa"/>
            <w:vAlign w:val="center"/>
          </w:tcPr>
          <w:p w14:paraId="360916EB" w14:textId="6A350CE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10.28%</w:t>
            </w:r>
          </w:p>
        </w:tc>
        <w:tc>
          <w:tcPr>
            <w:tcW w:w="1140" w:type="dxa"/>
            <w:vAlign w:val="center"/>
          </w:tcPr>
          <w:p w14:paraId="360916EC" w14:textId="6263F02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10,256</w:t>
            </w:r>
          </w:p>
        </w:tc>
        <w:tc>
          <w:tcPr>
            <w:tcW w:w="1371" w:type="dxa"/>
            <w:vAlign w:val="center"/>
          </w:tcPr>
          <w:p w14:paraId="360916ED" w14:textId="60531A4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44.61%</w:t>
            </w:r>
          </w:p>
        </w:tc>
        <w:tc>
          <w:tcPr>
            <w:tcW w:w="1370" w:type="dxa"/>
            <w:vAlign w:val="center"/>
          </w:tcPr>
          <w:p w14:paraId="360916EE" w14:textId="18A1DA6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40,049</w:t>
            </w:r>
          </w:p>
        </w:tc>
        <w:tc>
          <w:tcPr>
            <w:tcW w:w="1370" w:type="dxa"/>
            <w:vAlign w:val="center"/>
          </w:tcPr>
          <w:p w14:paraId="360916EF" w14:textId="5216E33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44.09%</w:t>
            </w:r>
          </w:p>
        </w:tc>
      </w:tr>
      <w:tr w:rsidR="008C5615" w:rsidRPr="004C2412" w14:paraId="360916FA" w14:textId="01B49560" w:rsidTr="00092B18">
        <w:trPr>
          <w:trHeight w:val="340"/>
        </w:trPr>
        <w:tc>
          <w:tcPr>
            <w:cnfStyle w:val="001000000000" w:firstRow="0" w:lastRow="0" w:firstColumn="1" w:lastColumn="0" w:oddVBand="0" w:evenVBand="0" w:oddHBand="0" w:evenHBand="0" w:firstRowFirstColumn="0" w:firstRowLastColumn="0" w:lastRowFirstColumn="0" w:lastRowLastColumn="0"/>
            <w:tcW w:w="3773" w:type="dxa"/>
            <w:vAlign w:val="center"/>
          </w:tcPr>
          <w:p w14:paraId="360916F1" w14:textId="06F1894C" w:rsidR="008C5615" w:rsidRPr="004C2412" w:rsidRDefault="008C5615" w:rsidP="008C5615">
            <w:pPr>
              <w:spacing w:before="0"/>
              <w:ind w:left="0"/>
            </w:pPr>
            <w:r w:rsidRPr="004C2412">
              <w:t>Other outcomes</w:t>
            </w:r>
          </w:p>
        </w:tc>
        <w:tc>
          <w:tcPr>
            <w:tcW w:w="1400" w:type="dxa"/>
            <w:vAlign w:val="center"/>
          </w:tcPr>
          <w:p w14:paraId="360916F2" w14:textId="5229BD4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6,190</w:t>
            </w:r>
          </w:p>
        </w:tc>
        <w:tc>
          <w:tcPr>
            <w:tcW w:w="1405" w:type="dxa"/>
            <w:vAlign w:val="center"/>
          </w:tcPr>
          <w:p w14:paraId="360916F3" w14:textId="1D89479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26.93%</w:t>
            </w:r>
          </w:p>
        </w:tc>
        <w:tc>
          <w:tcPr>
            <w:tcW w:w="1328" w:type="dxa"/>
            <w:vAlign w:val="center"/>
          </w:tcPr>
          <w:p w14:paraId="360916F4" w14:textId="50F59F1C"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4,356</w:t>
            </w:r>
          </w:p>
        </w:tc>
        <w:tc>
          <w:tcPr>
            <w:tcW w:w="1328" w:type="dxa"/>
            <w:vAlign w:val="center"/>
          </w:tcPr>
          <w:p w14:paraId="360916F5" w14:textId="38CAB80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18.95%</w:t>
            </w:r>
          </w:p>
        </w:tc>
        <w:tc>
          <w:tcPr>
            <w:tcW w:w="1140" w:type="dxa"/>
            <w:vAlign w:val="center"/>
          </w:tcPr>
          <w:p w14:paraId="360916F6" w14:textId="75796BF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10,546</w:t>
            </w:r>
          </w:p>
        </w:tc>
        <w:tc>
          <w:tcPr>
            <w:tcW w:w="1371" w:type="dxa"/>
            <w:vAlign w:val="center"/>
          </w:tcPr>
          <w:p w14:paraId="360916F7" w14:textId="2A8AC4B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45.88%</w:t>
            </w:r>
          </w:p>
        </w:tc>
        <w:tc>
          <w:tcPr>
            <w:tcW w:w="1370" w:type="dxa"/>
            <w:vAlign w:val="center"/>
          </w:tcPr>
          <w:p w14:paraId="360916F8" w14:textId="78DAC13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41,934</w:t>
            </w:r>
          </w:p>
        </w:tc>
        <w:tc>
          <w:tcPr>
            <w:tcW w:w="1370" w:type="dxa"/>
            <w:vAlign w:val="center"/>
          </w:tcPr>
          <w:p w14:paraId="360916F9" w14:textId="2F8C5B0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46.16%</w:t>
            </w:r>
          </w:p>
        </w:tc>
      </w:tr>
      <w:tr w:rsidR="008C5615" w:rsidRPr="004C2412" w14:paraId="36091704" w14:textId="5AEE05B9" w:rsidTr="00092B18">
        <w:trPr>
          <w:trHeight w:val="340"/>
        </w:trPr>
        <w:tc>
          <w:tcPr>
            <w:cnfStyle w:val="001000000000" w:firstRow="0" w:lastRow="0" w:firstColumn="1" w:lastColumn="0" w:oddVBand="0" w:evenVBand="0" w:oddHBand="0" w:evenHBand="0" w:firstRowFirstColumn="0" w:firstRowLastColumn="0" w:lastRowFirstColumn="0" w:lastRowLastColumn="0"/>
            <w:tcW w:w="3773" w:type="dxa"/>
            <w:vAlign w:val="center"/>
          </w:tcPr>
          <w:p w14:paraId="360916FB" w14:textId="2956696B" w:rsidR="008C5615" w:rsidRPr="004C2412" w:rsidRDefault="008C5615" w:rsidP="008C5615">
            <w:pPr>
              <w:spacing w:before="0"/>
              <w:ind w:left="0"/>
            </w:pPr>
            <w:r w:rsidRPr="004C2412">
              <w:t>No outcomes</w:t>
            </w:r>
          </w:p>
        </w:tc>
        <w:tc>
          <w:tcPr>
            <w:tcW w:w="1400" w:type="dxa"/>
            <w:vAlign w:val="center"/>
          </w:tcPr>
          <w:p w14:paraId="360916FC" w14:textId="37D3CB2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909</w:t>
            </w:r>
          </w:p>
        </w:tc>
        <w:tc>
          <w:tcPr>
            <w:tcW w:w="1405" w:type="dxa"/>
            <w:vAlign w:val="center"/>
          </w:tcPr>
          <w:p w14:paraId="360916FD" w14:textId="6228AC6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3.95%</w:t>
            </w:r>
          </w:p>
        </w:tc>
        <w:tc>
          <w:tcPr>
            <w:tcW w:w="1328" w:type="dxa"/>
            <w:vAlign w:val="center"/>
          </w:tcPr>
          <w:p w14:paraId="360916FE" w14:textId="1EA974E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634</w:t>
            </w:r>
          </w:p>
        </w:tc>
        <w:tc>
          <w:tcPr>
            <w:tcW w:w="1328" w:type="dxa"/>
            <w:vAlign w:val="center"/>
          </w:tcPr>
          <w:p w14:paraId="360916FF" w14:textId="37DB2DD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2.76%</w:t>
            </w:r>
          </w:p>
        </w:tc>
        <w:tc>
          <w:tcPr>
            <w:tcW w:w="1140" w:type="dxa"/>
            <w:vAlign w:val="center"/>
          </w:tcPr>
          <w:p w14:paraId="36091700" w14:textId="072FEE2C"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1,543</w:t>
            </w:r>
          </w:p>
        </w:tc>
        <w:tc>
          <w:tcPr>
            <w:tcW w:w="1371" w:type="dxa"/>
            <w:vAlign w:val="center"/>
          </w:tcPr>
          <w:p w14:paraId="36091701" w14:textId="2307B1A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6.71%</w:t>
            </w:r>
          </w:p>
        </w:tc>
        <w:tc>
          <w:tcPr>
            <w:tcW w:w="1370" w:type="dxa"/>
            <w:vAlign w:val="center"/>
          </w:tcPr>
          <w:p w14:paraId="36091702" w14:textId="7D43DE5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6,200</w:t>
            </w:r>
          </w:p>
        </w:tc>
        <w:tc>
          <w:tcPr>
            <w:tcW w:w="1370" w:type="dxa"/>
            <w:vAlign w:val="center"/>
          </w:tcPr>
          <w:p w14:paraId="36091703" w14:textId="4DF3817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8496D">
              <w:t>6.83%</w:t>
            </w:r>
          </w:p>
        </w:tc>
      </w:tr>
      <w:tr w:rsidR="008C5615" w:rsidRPr="004C2412" w14:paraId="3609170E" w14:textId="66FA9277" w:rsidTr="00092B18">
        <w:trPr>
          <w:cnfStyle w:val="010000000000" w:firstRow="0" w:lastRow="1"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773" w:type="dxa"/>
            <w:vAlign w:val="center"/>
          </w:tcPr>
          <w:p w14:paraId="36091705" w14:textId="03ABE813" w:rsidR="008C5615" w:rsidRPr="004C2412" w:rsidRDefault="008C5615" w:rsidP="008C5615">
            <w:pPr>
              <w:spacing w:before="0"/>
              <w:ind w:left="0"/>
            </w:pPr>
            <w:r w:rsidRPr="004C2412">
              <w:t>Total</w:t>
            </w:r>
          </w:p>
        </w:tc>
        <w:tc>
          <w:tcPr>
            <w:tcW w:w="1400" w:type="dxa"/>
            <w:vAlign w:val="center"/>
          </w:tcPr>
          <w:p w14:paraId="36091706" w14:textId="00EBC29D"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78496D">
              <w:t>15,164</w:t>
            </w:r>
          </w:p>
        </w:tc>
        <w:tc>
          <w:tcPr>
            <w:tcW w:w="1405" w:type="dxa"/>
            <w:vAlign w:val="center"/>
          </w:tcPr>
          <w:p w14:paraId="36091707" w14:textId="07BB511C"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78496D">
              <w:t>65.96%</w:t>
            </w:r>
          </w:p>
        </w:tc>
        <w:tc>
          <w:tcPr>
            <w:tcW w:w="1328" w:type="dxa"/>
            <w:vAlign w:val="center"/>
          </w:tcPr>
          <w:p w14:paraId="36091708" w14:textId="160EB1C5"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78496D">
              <w:t>7,824</w:t>
            </w:r>
          </w:p>
        </w:tc>
        <w:tc>
          <w:tcPr>
            <w:tcW w:w="1328" w:type="dxa"/>
            <w:vAlign w:val="center"/>
          </w:tcPr>
          <w:p w14:paraId="36091709" w14:textId="7D52F7B0"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78496D">
              <w:t>34.04%</w:t>
            </w:r>
          </w:p>
        </w:tc>
        <w:tc>
          <w:tcPr>
            <w:tcW w:w="1140" w:type="dxa"/>
            <w:vAlign w:val="center"/>
          </w:tcPr>
          <w:p w14:paraId="3609170A" w14:textId="782C2911"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78496D">
              <w:t>22,988</w:t>
            </w:r>
          </w:p>
        </w:tc>
        <w:tc>
          <w:tcPr>
            <w:tcW w:w="1371" w:type="dxa"/>
            <w:vAlign w:val="center"/>
          </w:tcPr>
          <w:p w14:paraId="3609170B" w14:textId="2D2E64A7"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78496D">
              <w:t>100.00%</w:t>
            </w:r>
          </w:p>
        </w:tc>
        <w:tc>
          <w:tcPr>
            <w:tcW w:w="1370" w:type="dxa"/>
            <w:vAlign w:val="center"/>
          </w:tcPr>
          <w:p w14:paraId="3609170C" w14:textId="7BA5FF72"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78496D">
              <w:t>90,842</w:t>
            </w:r>
          </w:p>
        </w:tc>
        <w:tc>
          <w:tcPr>
            <w:tcW w:w="1370" w:type="dxa"/>
            <w:vAlign w:val="center"/>
          </w:tcPr>
          <w:p w14:paraId="3609170D" w14:textId="67993B73"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78496D">
              <w:t>100.00%</w:t>
            </w:r>
          </w:p>
        </w:tc>
      </w:tr>
    </w:tbl>
    <w:p w14:paraId="36091710" w14:textId="31FE61BC" w:rsidR="005B5D91" w:rsidRPr="004C2412" w:rsidRDefault="001112BC" w:rsidP="00A609AA">
      <w:pPr>
        <w:pStyle w:val="Heading2"/>
        <w:numPr>
          <w:ilvl w:val="0"/>
          <w:numId w:val="0"/>
        </w:numPr>
      </w:pPr>
      <w:bookmarkStart w:id="58" w:name="_Toc526864464"/>
      <w:r w:rsidRPr="004C2412">
        <w:t xml:space="preserve">15 </w:t>
      </w:r>
      <w:r w:rsidR="00663AE9" w:rsidRPr="004C2412">
        <w:rPr>
          <w:szCs w:val="22"/>
        </w:rPr>
        <w:t>–</w:t>
      </w:r>
      <w:r w:rsidRPr="004C2412">
        <w:t xml:space="preserve"> </w:t>
      </w:r>
      <w:r w:rsidR="00ED4EF2" w:rsidRPr="004C2412">
        <w:t>Financial P</w:t>
      </w:r>
      <w:r w:rsidR="005A3646" w:rsidRPr="004C2412">
        <w:t xml:space="preserve">enalties, Connection Failures, </w:t>
      </w:r>
      <w:r w:rsidR="00EE4D0A" w:rsidRPr="004C2412">
        <w:t xml:space="preserve">Income Support </w:t>
      </w:r>
      <w:r w:rsidR="005A3646" w:rsidRPr="004C2412">
        <w:t xml:space="preserve">Payment Suspensions and </w:t>
      </w:r>
      <w:r w:rsidR="000770FC" w:rsidRPr="004C2412">
        <w:t>CCAs</w:t>
      </w:r>
      <w:r w:rsidR="005A3646" w:rsidRPr="004C2412">
        <w:t xml:space="preserve"> by Age Group</w:t>
      </w:r>
      <w:r w:rsidR="006C7CE4" w:rsidRPr="004C2412">
        <w:t xml:space="preserve"> </w:t>
      </w:r>
      <w:r w:rsidR="00613DC2" w:rsidRPr="004C2412">
        <w:t xml:space="preserve">- </w:t>
      </w:r>
      <w:r w:rsidR="006C7CE4" w:rsidRPr="004C2412">
        <w:t xml:space="preserve">1 </w:t>
      </w:r>
      <w:r w:rsidR="008C5615">
        <w:t xml:space="preserve">April </w:t>
      </w:r>
      <w:r w:rsidR="006C7CE4" w:rsidRPr="004C2412">
        <w:t>to 3</w:t>
      </w:r>
      <w:r w:rsidR="008C5615">
        <w:t>0</w:t>
      </w:r>
      <w:r w:rsidR="006C7CE4" w:rsidRPr="004C2412">
        <w:t xml:space="preserve"> </w:t>
      </w:r>
      <w:r w:rsidR="008C5615">
        <w:t>June</w:t>
      </w:r>
      <w:r w:rsidR="00092B18" w:rsidRPr="004C2412">
        <w:t xml:space="preserve"> </w:t>
      </w:r>
      <w:r w:rsidR="006C7CE4" w:rsidRPr="004C2412">
        <w:t>201</w:t>
      </w:r>
      <w:r w:rsidR="00092B18" w:rsidRPr="004C2412">
        <w:t>8</w:t>
      </w:r>
      <w:bookmarkEnd w:id="58"/>
    </w:p>
    <w:p w14:paraId="36091711" w14:textId="1689A4CD" w:rsidR="002C51D8" w:rsidRPr="004C2412" w:rsidRDefault="00D6515C" w:rsidP="00A609AA">
      <w:pPr>
        <w:pStyle w:val="Heading3"/>
        <w:numPr>
          <w:ilvl w:val="0"/>
          <w:numId w:val="0"/>
        </w:numPr>
      </w:pPr>
      <w:bookmarkStart w:id="59" w:name="_Toc526864465"/>
      <w:r w:rsidRPr="004C2412">
        <w:t xml:space="preserve">15 a </w:t>
      </w:r>
      <w:r w:rsidR="00613DC2" w:rsidRPr="004C2412">
        <w:t>–</w:t>
      </w:r>
      <w:r w:rsidRPr="004C2412">
        <w:t xml:space="preserve"> </w:t>
      </w:r>
      <w:r w:rsidR="00613DC2" w:rsidRPr="004C2412">
        <w:t xml:space="preserve">Non-Payment Periods (NPPs) </w:t>
      </w:r>
      <w:r w:rsidR="00C95ED9" w:rsidRPr="004C2412">
        <w:t>-</w:t>
      </w:r>
      <w:r w:rsidR="00613DC2" w:rsidRPr="004C2412">
        <w:t xml:space="preserve"> 1 </w:t>
      </w:r>
      <w:r w:rsidR="008C5615">
        <w:t>April</w:t>
      </w:r>
      <w:r w:rsidR="008C5615" w:rsidRPr="004C2412">
        <w:t xml:space="preserve"> </w:t>
      </w:r>
      <w:r w:rsidR="00613DC2" w:rsidRPr="004C2412">
        <w:t>to 3</w:t>
      </w:r>
      <w:r w:rsidR="008C5615">
        <w:t>0</w:t>
      </w:r>
      <w:r w:rsidR="00613DC2" w:rsidRPr="004C2412">
        <w:t xml:space="preserve"> </w:t>
      </w:r>
      <w:r w:rsidR="008C5615">
        <w:t>June</w:t>
      </w:r>
      <w:r w:rsidR="00092B18" w:rsidRPr="004C2412">
        <w:t xml:space="preserve"> </w:t>
      </w:r>
      <w:r w:rsidR="00613DC2" w:rsidRPr="004C2412">
        <w:t>201</w:t>
      </w:r>
      <w:r w:rsidR="00092B18" w:rsidRPr="004C2412">
        <w:t>8</w:t>
      </w:r>
      <w:bookmarkEnd w:id="59"/>
    </w:p>
    <w:tbl>
      <w:tblPr>
        <w:tblStyle w:val="LeftAlignTable"/>
        <w:tblW w:w="0" w:type="auto"/>
        <w:tblInd w:w="-5" w:type="dxa"/>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458"/>
        <w:gridCol w:w="1212"/>
        <w:gridCol w:w="1134"/>
        <w:gridCol w:w="1276"/>
        <w:gridCol w:w="1041"/>
        <w:gridCol w:w="1150"/>
        <w:gridCol w:w="1436"/>
        <w:gridCol w:w="1442"/>
        <w:gridCol w:w="1442"/>
      </w:tblGrid>
      <w:tr w:rsidR="00BB1E9F" w:rsidRPr="004C2412" w14:paraId="3609171B" w14:textId="12F6AF92" w:rsidTr="001C410D">
        <w:trPr>
          <w:cnfStyle w:val="100000000000" w:firstRow="1" w:lastRow="0" w:firstColumn="0" w:lastColumn="0" w:oddVBand="0" w:evenVBand="0" w:oddHBand="0" w:evenHBand="0" w:firstRowFirstColumn="0" w:firstRowLastColumn="0" w:lastRowFirstColumn="0" w:lastRowLastColumn="0"/>
          <w:trHeight w:val="623"/>
          <w:tblHeader/>
        </w:trPr>
        <w:tc>
          <w:tcPr>
            <w:cnfStyle w:val="001000000000" w:firstRow="0" w:lastRow="0" w:firstColumn="1" w:lastColumn="0" w:oddVBand="0" w:evenVBand="0" w:oddHBand="0" w:evenHBand="0" w:firstRowFirstColumn="0" w:firstRowLastColumn="0" w:lastRowFirstColumn="0" w:lastRowLastColumn="0"/>
            <w:tcW w:w="4458" w:type="dxa"/>
            <w:shd w:val="clear" w:color="auto" w:fill="auto"/>
            <w:vAlign w:val="center"/>
          </w:tcPr>
          <w:p w14:paraId="36091712" w14:textId="43870DDB" w:rsidR="00BB1E9F" w:rsidRPr="004C2412" w:rsidRDefault="00613DC2" w:rsidP="00F65699">
            <w:pPr>
              <w:spacing w:before="0"/>
              <w:ind w:left="0"/>
            </w:pPr>
            <w:r w:rsidRPr="004C2412">
              <w:t>Type of NPP (</w:t>
            </w:r>
            <w:r w:rsidR="00F67E5F" w:rsidRPr="004C2412">
              <w:t xml:space="preserve">Serious </w:t>
            </w:r>
            <w:r w:rsidRPr="004C2412">
              <w:t>or Unemployment Non Payment Period)</w:t>
            </w:r>
          </w:p>
        </w:tc>
        <w:tc>
          <w:tcPr>
            <w:tcW w:w="1212" w:type="dxa"/>
            <w:vAlign w:val="center"/>
          </w:tcPr>
          <w:p w14:paraId="36091713" w14:textId="5D7D04DA" w:rsidR="00BB1E9F" w:rsidRPr="004C2412" w:rsidRDefault="00BB1E9F" w:rsidP="00F65699">
            <w:pPr>
              <w:spacing w:before="0"/>
              <w:ind w:left="0"/>
              <w:cnfStyle w:val="100000000000" w:firstRow="1" w:lastRow="0" w:firstColumn="0" w:lastColumn="0" w:oddVBand="0" w:evenVBand="0" w:oddHBand="0" w:evenHBand="0" w:firstRowFirstColumn="0" w:firstRowLastColumn="0" w:lastRowFirstColumn="0" w:lastRowLastColumn="0"/>
            </w:pPr>
            <w:r w:rsidRPr="004C2412">
              <w:t>Under 21</w:t>
            </w:r>
          </w:p>
        </w:tc>
        <w:tc>
          <w:tcPr>
            <w:tcW w:w="1134" w:type="dxa"/>
            <w:vAlign w:val="center"/>
          </w:tcPr>
          <w:p w14:paraId="36091714" w14:textId="203018BB" w:rsidR="00BB1E9F" w:rsidRPr="004C2412" w:rsidRDefault="00BB1E9F" w:rsidP="00F65699">
            <w:pPr>
              <w:spacing w:before="0"/>
              <w:ind w:left="0"/>
              <w:cnfStyle w:val="100000000000" w:firstRow="1" w:lastRow="0" w:firstColumn="0" w:lastColumn="0" w:oddVBand="0" w:evenVBand="0" w:oddHBand="0" w:evenHBand="0" w:firstRowFirstColumn="0" w:firstRowLastColumn="0" w:lastRowFirstColumn="0" w:lastRowLastColumn="0"/>
            </w:pPr>
            <w:r w:rsidRPr="004C2412">
              <w:t>21 - 30</w:t>
            </w:r>
          </w:p>
        </w:tc>
        <w:tc>
          <w:tcPr>
            <w:tcW w:w="1276" w:type="dxa"/>
            <w:vAlign w:val="center"/>
          </w:tcPr>
          <w:p w14:paraId="36091715" w14:textId="7031893C" w:rsidR="00BB1E9F" w:rsidRPr="004C2412" w:rsidRDefault="00BB1E9F" w:rsidP="00F65699">
            <w:pPr>
              <w:spacing w:before="0"/>
              <w:ind w:left="0"/>
              <w:cnfStyle w:val="100000000000" w:firstRow="1" w:lastRow="0" w:firstColumn="0" w:lastColumn="0" w:oddVBand="0" w:evenVBand="0" w:oddHBand="0" w:evenHBand="0" w:firstRowFirstColumn="0" w:firstRowLastColumn="0" w:lastRowFirstColumn="0" w:lastRowLastColumn="0"/>
            </w:pPr>
            <w:r w:rsidRPr="004C2412">
              <w:t>31 - 40</w:t>
            </w:r>
          </w:p>
        </w:tc>
        <w:tc>
          <w:tcPr>
            <w:tcW w:w="1041" w:type="dxa"/>
            <w:vAlign w:val="center"/>
          </w:tcPr>
          <w:p w14:paraId="36091716" w14:textId="376AB1B1" w:rsidR="00BB1E9F" w:rsidRPr="004C2412" w:rsidRDefault="00BB1E9F" w:rsidP="00F65699">
            <w:pPr>
              <w:spacing w:before="0"/>
              <w:ind w:left="0"/>
              <w:cnfStyle w:val="100000000000" w:firstRow="1" w:lastRow="0" w:firstColumn="0" w:lastColumn="0" w:oddVBand="0" w:evenVBand="0" w:oddHBand="0" w:evenHBand="0" w:firstRowFirstColumn="0" w:firstRowLastColumn="0" w:lastRowFirstColumn="0" w:lastRowLastColumn="0"/>
            </w:pPr>
            <w:r w:rsidRPr="004C2412">
              <w:t>41 - 54</w:t>
            </w:r>
          </w:p>
        </w:tc>
        <w:tc>
          <w:tcPr>
            <w:tcW w:w="1150" w:type="dxa"/>
            <w:vAlign w:val="center"/>
          </w:tcPr>
          <w:p w14:paraId="36091717" w14:textId="132FA68D" w:rsidR="00BB1E9F" w:rsidRPr="004C2412" w:rsidRDefault="00BB1E9F" w:rsidP="00F65699">
            <w:pPr>
              <w:spacing w:before="0"/>
              <w:ind w:left="0"/>
              <w:cnfStyle w:val="100000000000" w:firstRow="1" w:lastRow="0" w:firstColumn="0" w:lastColumn="0" w:oddVBand="0" w:evenVBand="0" w:oddHBand="0" w:evenHBand="0" w:firstRowFirstColumn="0" w:firstRowLastColumn="0" w:lastRowFirstColumn="0" w:lastRowLastColumn="0"/>
            </w:pPr>
            <w:r w:rsidRPr="004C2412">
              <w:t>55 +</w:t>
            </w:r>
          </w:p>
        </w:tc>
        <w:tc>
          <w:tcPr>
            <w:tcW w:w="1436" w:type="dxa"/>
            <w:vAlign w:val="center"/>
          </w:tcPr>
          <w:p w14:paraId="36091718" w14:textId="26151B22" w:rsidR="00BB1E9F" w:rsidRPr="004C2412" w:rsidRDefault="00BB1E9F" w:rsidP="00F65699">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442" w:type="dxa"/>
            <w:vAlign w:val="center"/>
          </w:tcPr>
          <w:p w14:paraId="36091719" w14:textId="12BEABC4" w:rsidR="00BB1E9F" w:rsidRPr="004C2412" w:rsidRDefault="00BB1E9F" w:rsidP="00F65699">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1442" w:type="dxa"/>
            <w:vAlign w:val="center"/>
          </w:tcPr>
          <w:p w14:paraId="3609171A" w14:textId="48201C9E" w:rsidR="00BB1E9F" w:rsidRPr="004C2412" w:rsidRDefault="00BB1E9F" w:rsidP="00F65699">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8C5615" w:rsidRPr="004C2412" w14:paraId="36091725" w14:textId="654AE80D" w:rsidTr="00F65699">
        <w:trPr>
          <w:trHeight w:val="578"/>
        </w:trPr>
        <w:tc>
          <w:tcPr>
            <w:cnfStyle w:val="001000000000" w:firstRow="0" w:lastRow="0" w:firstColumn="1" w:lastColumn="0" w:oddVBand="0" w:evenVBand="0" w:oddHBand="0" w:evenHBand="0" w:firstRowFirstColumn="0" w:firstRowLastColumn="0" w:lastRowFirstColumn="0" w:lastRowLastColumn="0"/>
            <w:tcW w:w="4458" w:type="dxa"/>
            <w:vAlign w:val="center"/>
          </w:tcPr>
          <w:p w14:paraId="3609171C" w14:textId="234451A3" w:rsidR="008C5615" w:rsidRPr="004C2412" w:rsidRDefault="008C5615" w:rsidP="008C5615">
            <w:pPr>
              <w:spacing w:before="0"/>
              <w:ind w:left="0"/>
            </w:pPr>
            <w:r w:rsidRPr="004C2412">
              <w:t>Voluntary unemployment – UNPP</w:t>
            </w:r>
          </w:p>
        </w:tc>
        <w:tc>
          <w:tcPr>
            <w:tcW w:w="1212" w:type="dxa"/>
            <w:vAlign w:val="center"/>
          </w:tcPr>
          <w:p w14:paraId="3609171D" w14:textId="5D94F5C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125</w:t>
            </w:r>
          </w:p>
        </w:tc>
        <w:tc>
          <w:tcPr>
            <w:tcW w:w="1134" w:type="dxa"/>
            <w:vAlign w:val="center"/>
          </w:tcPr>
          <w:p w14:paraId="3609171E" w14:textId="6FB44A7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561</w:t>
            </w:r>
          </w:p>
        </w:tc>
        <w:tc>
          <w:tcPr>
            <w:tcW w:w="1276" w:type="dxa"/>
            <w:vAlign w:val="center"/>
          </w:tcPr>
          <w:p w14:paraId="3609171F" w14:textId="20CA238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323</w:t>
            </w:r>
          </w:p>
        </w:tc>
        <w:tc>
          <w:tcPr>
            <w:tcW w:w="1041" w:type="dxa"/>
            <w:vAlign w:val="center"/>
          </w:tcPr>
          <w:p w14:paraId="36091720" w14:textId="35538C47"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315</w:t>
            </w:r>
          </w:p>
        </w:tc>
        <w:tc>
          <w:tcPr>
            <w:tcW w:w="1150" w:type="dxa"/>
            <w:vAlign w:val="center"/>
          </w:tcPr>
          <w:p w14:paraId="36091721" w14:textId="576AB85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114</w:t>
            </w:r>
          </w:p>
        </w:tc>
        <w:tc>
          <w:tcPr>
            <w:tcW w:w="1436" w:type="dxa"/>
            <w:vAlign w:val="center"/>
          </w:tcPr>
          <w:p w14:paraId="36091722" w14:textId="5FFE1F6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1,438</w:t>
            </w:r>
          </w:p>
        </w:tc>
        <w:tc>
          <w:tcPr>
            <w:tcW w:w="1442" w:type="dxa"/>
            <w:vAlign w:val="center"/>
          </w:tcPr>
          <w:p w14:paraId="36091723" w14:textId="6F29021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6,684</w:t>
            </w:r>
          </w:p>
        </w:tc>
        <w:tc>
          <w:tcPr>
            <w:tcW w:w="1442" w:type="dxa"/>
            <w:vAlign w:val="center"/>
          </w:tcPr>
          <w:p w14:paraId="36091724" w14:textId="05150AA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12.76%</w:t>
            </w:r>
          </w:p>
        </w:tc>
      </w:tr>
      <w:tr w:rsidR="008C5615" w:rsidRPr="004C2412" w14:paraId="3609172F" w14:textId="0501686E" w:rsidTr="00F65699">
        <w:trPr>
          <w:trHeight w:val="311"/>
        </w:trPr>
        <w:tc>
          <w:tcPr>
            <w:cnfStyle w:val="001000000000" w:firstRow="0" w:lastRow="0" w:firstColumn="1" w:lastColumn="0" w:oddVBand="0" w:evenVBand="0" w:oddHBand="0" w:evenHBand="0" w:firstRowFirstColumn="0" w:firstRowLastColumn="0" w:lastRowFirstColumn="0" w:lastRowLastColumn="0"/>
            <w:tcW w:w="4458" w:type="dxa"/>
            <w:vAlign w:val="center"/>
          </w:tcPr>
          <w:p w14:paraId="36091726" w14:textId="7C7CAA81" w:rsidR="008C5615" w:rsidRPr="004C2412" w:rsidRDefault="008C5615" w:rsidP="008C5615">
            <w:pPr>
              <w:spacing w:before="0"/>
              <w:ind w:left="0"/>
            </w:pPr>
            <w:r w:rsidRPr="004C2412">
              <w:t>Unemployment due to misconduct – UNPP</w:t>
            </w:r>
          </w:p>
        </w:tc>
        <w:tc>
          <w:tcPr>
            <w:tcW w:w="1212" w:type="dxa"/>
            <w:vAlign w:val="center"/>
          </w:tcPr>
          <w:p w14:paraId="36091727" w14:textId="134633B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68</w:t>
            </w:r>
          </w:p>
        </w:tc>
        <w:tc>
          <w:tcPr>
            <w:tcW w:w="1134" w:type="dxa"/>
            <w:vAlign w:val="center"/>
          </w:tcPr>
          <w:p w14:paraId="36091728" w14:textId="2115E10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348</w:t>
            </w:r>
          </w:p>
        </w:tc>
        <w:tc>
          <w:tcPr>
            <w:tcW w:w="1276" w:type="dxa"/>
            <w:vAlign w:val="center"/>
          </w:tcPr>
          <w:p w14:paraId="36091729" w14:textId="6D808D3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265</w:t>
            </w:r>
          </w:p>
        </w:tc>
        <w:tc>
          <w:tcPr>
            <w:tcW w:w="1041" w:type="dxa"/>
            <w:vAlign w:val="center"/>
          </w:tcPr>
          <w:p w14:paraId="3609172A" w14:textId="60E40AC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231</w:t>
            </w:r>
          </w:p>
        </w:tc>
        <w:tc>
          <w:tcPr>
            <w:tcW w:w="1150" w:type="dxa"/>
            <w:vAlign w:val="center"/>
          </w:tcPr>
          <w:p w14:paraId="3609172B" w14:textId="0F13442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69</w:t>
            </w:r>
          </w:p>
        </w:tc>
        <w:tc>
          <w:tcPr>
            <w:tcW w:w="1436" w:type="dxa"/>
            <w:vAlign w:val="center"/>
          </w:tcPr>
          <w:p w14:paraId="3609172C" w14:textId="337AD44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981</w:t>
            </w:r>
          </w:p>
        </w:tc>
        <w:tc>
          <w:tcPr>
            <w:tcW w:w="1442" w:type="dxa"/>
            <w:vAlign w:val="center"/>
          </w:tcPr>
          <w:p w14:paraId="3609172D" w14:textId="6C1AA54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4,130</w:t>
            </w:r>
          </w:p>
        </w:tc>
        <w:tc>
          <w:tcPr>
            <w:tcW w:w="1442" w:type="dxa"/>
            <w:vAlign w:val="center"/>
          </w:tcPr>
          <w:p w14:paraId="3609172E" w14:textId="47C56E6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7.88%</w:t>
            </w:r>
          </w:p>
        </w:tc>
      </w:tr>
      <w:tr w:rsidR="008C5615" w:rsidRPr="004C2412" w14:paraId="36091739" w14:textId="419A950D" w:rsidTr="00F65699">
        <w:trPr>
          <w:trHeight w:val="541"/>
        </w:trPr>
        <w:tc>
          <w:tcPr>
            <w:cnfStyle w:val="001000000000" w:firstRow="0" w:lastRow="0" w:firstColumn="1" w:lastColumn="0" w:oddVBand="0" w:evenVBand="0" w:oddHBand="0" w:evenHBand="0" w:firstRowFirstColumn="0" w:firstRowLastColumn="0" w:lastRowFirstColumn="0" w:lastRowLastColumn="0"/>
            <w:tcW w:w="4458" w:type="dxa"/>
            <w:vAlign w:val="center"/>
          </w:tcPr>
          <w:p w14:paraId="36091730" w14:textId="5442BB8F" w:rsidR="008C5615" w:rsidRPr="004C2412" w:rsidRDefault="008C5615" w:rsidP="008C5615">
            <w:pPr>
              <w:spacing w:before="0"/>
              <w:ind w:left="0"/>
            </w:pPr>
            <w:r w:rsidRPr="004C2412">
              <w:t>Persistent non-compliance – Serious</w:t>
            </w:r>
          </w:p>
        </w:tc>
        <w:tc>
          <w:tcPr>
            <w:tcW w:w="1212" w:type="dxa"/>
            <w:vAlign w:val="center"/>
          </w:tcPr>
          <w:p w14:paraId="36091731" w14:textId="183B616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987</w:t>
            </w:r>
          </w:p>
        </w:tc>
        <w:tc>
          <w:tcPr>
            <w:tcW w:w="1134" w:type="dxa"/>
            <w:vAlign w:val="center"/>
          </w:tcPr>
          <w:p w14:paraId="36091732" w14:textId="0DB72C6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4,541</w:t>
            </w:r>
          </w:p>
        </w:tc>
        <w:tc>
          <w:tcPr>
            <w:tcW w:w="1276" w:type="dxa"/>
            <w:vAlign w:val="center"/>
          </w:tcPr>
          <w:p w14:paraId="36091733" w14:textId="610A196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2,943</w:t>
            </w:r>
          </w:p>
        </w:tc>
        <w:tc>
          <w:tcPr>
            <w:tcW w:w="1041" w:type="dxa"/>
            <w:vAlign w:val="center"/>
          </w:tcPr>
          <w:p w14:paraId="36091734" w14:textId="32C74FF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1,713</w:t>
            </w:r>
          </w:p>
        </w:tc>
        <w:tc>
          <w:tcPr>
            <w:tcW w:w="1150" w:type="dxa"/>
            <w:vAlign w:val="center"/>
          </w:tcPr>
          <w:p w14:paraId="36091735" w14:textId="1AFF83E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72</w:t>
            </w:r>
          </w:p>
        </w:tc>
        <w:tc>
          <w:tcPr>
            <w:tcW w:w="1436" w:type="dxa"/>
            <w:vAlign w:val="center"/>
          </w:tcPr>
          <w:p w14:paraId="36091736" w14:textId="684360D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10,256</w:t>
            </w:r>
          </w:p>
        </w:tc>
        <w:tc>
          <w:tcPr>
            <w:tcW w:w="1442" w:type="dxa"/>
            <w:vAlign w:val="center"/>
          </w:tcPr>
          <w:p w14:paraId="36091737" w14:textId="6E0765C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40,049</w:t>
            </w:r>
          </w:p>
        </w:tc>
        <w:tc>
          <w:tcPr>
            <w:tcW w:w="1442" w:type="dxa"/>
            <w:vAlign w:val="center"/>
          </w:tcPr>
          <w:p w14:paraId="36091738" w14:textId="59E20D7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76.45%</w:t>
            </w:r>
          </w:p>
        </w:tc>
      </w:tr>
      <w:tr w:rsidR="008C5615" w:rsidRPr="004C2412" w14:paraId="36091743" w14:textId="4AD9D3A9" w:rsidTr="00F65699">
        <w:trPr>
          <w:trHeight w:val="340"/>
        </w:trPr>
        <w:tc>
          <w:tcPr>
            <w:cnfStyle w:val="001000000000" w:firstRow="0" w:lastRow="0" w:firstColumn="1" w:lastColumn="0" w:oddVBand="0" w:evenVBand="0" w:oddHBand="0" w:evenHBand="0" w:firstRowFirstColumn="0" w:firstRowLastColumn="0" w:lastRowFirstColumn="0" w:lastRowLastColumn="0"/>
            <w:tcW w:w="4458" w:type="dxa"/>
            <w:vAlign w:val="center"/>
          </w:tcPr>
          <w:p w14:paraId="3609173A" w14:textId="51999221" w:rsidR="008C5615" w:rsidRPr="0034330C" w:rsidRDefault="008C5615" w:rsidP="008C5615">
            <w:pPr>
              <w:spacing w:before="0"/>
              <w:ind w:left="0"/>
            </w:pPr>
            <w:r w:rsidRPr="0034330C">
              <w:t>Did not commence suitable work – Serious</w:t>
            </w:r>
          </w:p>
        </w:tc>
        <w:tc>
          <w:tcPr>
            <w:tcW w:w="1212" w:type="dxa"/>
            <w:vAlign w:val="center"/>
          </w:tcPr>
          <w:p w14:paraId="3609173B" w14:textId="30FF7006" w:rsidR="008C5615" w:rsidRPr="0034330C"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330C">
              <w:t>5</w:t>
            </w:r>
          </w:p>
        </w:tc>
        <w:tc>
          <w:tcPr>
            <w:tcW w:w="1134" w:type="dxa"/>
            <w:vAlign w:val="center"/>
          </w:tcPr>
          <w:p w14:paraId="3609173C" w14:textId="75292900" w:rsidR="008C5615" w:rsidRPr="0034330C"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330C">
              <w:t>42</w:t>
            </w:r>
          </w:p>
        </w:tc>
        <w:tc>
          <w:tcPr>
            <w:tcW w:w="1276" w:type="dxa"/>
            <w:vAlign w:val="center"/>
          </w:tcPr>
          <w:p w14:paraId="3609173D" w14:textId="5089C60D" w:rsidR="008C5615" w:rsidRPr="0034330C"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330C">
              <w:t>40</w:t>
            </w:r>
          </w:p>
        </w:tc>
        <w:tc>
          <w:tcPr>
            <w:tcW w:w="1041" w:type="dxa"/>
            <w:vAlign w:val="center"/>
          </w:tcPr>
          <w:p w14:paraId="3609173E" w14:textId="58C7C265" w:rsidR="008C5615" w:rsidRPr="0034330C"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330C">
              <w:t>35</w:t>
            </w:r>
          </w:p>
        </w:tc>
        <w:tc>
          <w:tcPr>
            <w:tcW w:w="1150" w:type="dxa"/>
            <w:vAlign w:val="center"/>
          </w:tcPr>
          <w:p w14:paraId="3609173F" w14:textId="4787A4EF" w:rsidR="008C5615" w:rsidRPr="0034330C"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330C">
              <w:t>5</w:t>
            </w:r>
          </w:p>
        </w:tc>
        <w:tc>
          <w:tcPr>
            <w:tcW w:w="1436" w:type="dxa"/>
            <w:vAlign w:val="center"/>
          </w:tcPr>
          <w:p w14:paraId="36091740" w14:textId="39CFF16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127</w:t>
            </w:r>
          </w:p>
        </w:tc>
        <w:tc>
          <w:tcPr>
            <w:tcW w:w="1442" w:type="dxa"/>
            <w:vAlign w:val="center"/>
          </w:tcPr>
          <w:p w14:paraId="36091741" w14:textId="05D66227"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576</w:t>
            </w:r>
          </w:p>
        </w:tc>
        <w:tc>
          <w:tcPr>
            <w:tcW w:w="1442" w:type="dxa"/>
            <w:vAlign w:val="center"/>
          </w:tcPr>
          <w:p w14:paraId="36091742" w14:textId="751E427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1.10%</w:t>
            </w:r>
          </w:p>
        </w:tc>
      </w:tr>
      <w:tr w:rsidR="008C5615" w:rsidRPr="004C2412" w14:paraId="3609174D" w14:textId="2CB1764F" w:rsidTr="00F65699">
        <w:trPr>
          <w:trHeight w:val="340"/>
        </w:trPr>
        <w:tc>
          <w:tcPr>
            <w:cnfStyle w:val="001000000000" w:firstRow="0" w:lastRow="0" w:firstColumn="1" w:lastColumn="0" w:oddVBand="0" w:evenVBand="0" w:oddHBand="0" w:evenHBand="0" w:firstRowFirstColumn="0" w:firstRowLastColumn="0" w:lastRowFirstColumn="0" w:lastRowLastColumn="0"/>
            <w:tcW w:w="4458" w:type="dxa"/>
            <w:vAlign w:val="center"/>
          </w:tcPr>
          <w:p w14:paraId="36091744" w14:textId="4B149257" w:rsidR="008C5615" w:rsidRPr="004C2412" w:rsidRDefault="008C5615" w:rsidP="008C5615">
            <w:pPr>
              <w:spacing w:before="0"/>
              <w:ind w:left="0"/>
            </w:pPr>
            <w:r w:rsidRPr="004C2412">
              <w:t>Refused a suitable job – Serious</w:t>
            </w:r>
          </w:p>
        </w:tc>
        <w:tc>
          <w:tcPr>
            <w:tcW w:w="1212" w:type="dxa"/>
            <w:vAlign w:val="center"/>
          </w:tcPr>
          <w:p w14:paraId="36091745" w14:textId="6AA51F9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23</w:t>
            </w:r>
          </w:p>
        </w:tc>
        <w:tc>
          <w:tcPr>
            <w:tcW w:w="1134" w:type="dxa"/>
            <w:vAlign w:val="center"/>
          </w:tcPr>
          <w:p w14:paraId="36091746" w14:textId="7F89E0B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81</w:t>
            </w:r>
          </w:p>
        </w:tc>
        <w:tc>
          <w:tcPr>
            <w:tcW w:w="1276" w:type="dxa"/>
            <w:vAlign w:val="center"/>
          </w:tcPr>
          <w:p w14:paraId="36091747" w14:textId="4DE4426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47</w:t>
            </w:r>
          </w:p>
        </w:tc>
        <w:tc>
          <w:tcPr>
            <w:tcW w:w="1041" w:type="dxa"/>
            <w:vAlign w:val="center"/>
          </w:tcPr>
          <w:p w14:paraId="36091748" w14:textId="5CE7231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36</w:t>
            </w:r>
          </w:p>
        </w:tc>
        <w:tc>
          <w:tcPr>
            <w:tcW w:w="1150" w:type="dxa"/>
            <w:vAlign w:val="center"/>
          </w:tcPr>
          <w:p w14:paraId="36091749" w14:textId="379FC437"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18</w:t>
            </w:r>
          </w:p>
        </w:tc>
        <w:tc>
          <w:tcPr>
            <w:tcW w:w="1436" w:type="dxa"/>
            <w:vAlign w:val="center"/>
          </w:tcPr>
          <w:p w14:paraId="3609174A" w14:textId="1424D2D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205</w:t>
            </w:r>
          </w:p>
        </w:tc>
        <w:tc>
          <w:tcPr>
            <w:tcW w:w="1442" w:type="dxa"/>
            <w:vAlign w:val="center"/>
          </w:tcPr>
          <w:p w14:paraId="3609174B" w14:textId="2F25838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945</w:t>
            </w:r>
          </w:p>
        </w:tc>
        <w:tc>
          <w:tcPr>
            <w:tcW w:w="1442" w:type="dxa"/>
            <w:vAlign w:val="center"/>
          </w:tcPr>
          <w:p w14:paraId="3609174C" w14:textId="1E05EA2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5E1450">
              <w:t>1.80%</w:t>
            </w:r>
          </w:p>
        </w:tc>
      </w:tr>
      <w:tr w:rsidR="008C5615" w:rsidRPr="004C2412" w14:paraId="36091757" w14:textId="6D85E179" w:rsidTr="00F65699">
        <w:trPr>
          <w:cnfStyle w:val="010000000000" w:firstRow="0" w:lastRow="1"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458" w:type="dxa"/>
            <w:vAlign w:val="center"/>
          </w:tcPr>
          <w:p w14:paraId="3609174E" w14:textId="204765B6" w:rsidR="008C5615" w:rsidRPr="004C2412" w:rsidRDefault="008C5615" w:rsidP="008C5615">
            <w:pPr>
              <w:spacing w:before="0"/>
              <w:ind w:left="0"/>
            </w:pPr>
            <w:r w:rsidRPr="004C2412">
              <w:t>Sub Total - NPPs</w:t>
            </w:r>
          </w:p>
        </w:tc>
        <w:tc>
          <w:tcPr>
            <w:tcW w:w="1212" w:type="dxa"/>
            <w:vAlign w:val="center"/>
          </w:tcPr>
          <w:p w14:paraId="3609174F" w14:textId="0115A856"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5E1450">
              <w:t>1,208</w:t>
            </w:r>
          </w:p>
        </w:tc>
        <w:tc>
          <w:tcPr>
            <w:tcW w:w="1134" w:type="dxa"/>
            <w:vAlign w:val="center"/>
          </w:tcPr>
          <w:p w14:paraId="36091750" w14:textId="084622CF"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5E1450">
              <w:t>5,573</w:t>
            </w:r>
          </w:p>
        </w:tc>
        <w:tc>
          <w:tcPr>
            <w:tcW w:w="1276" w:type="dxa"/>
            <w:vAlign w:val="center"/>
          </w:tcPr>
          <w:p w14:paraId="36091751" w14:textId="4A9958A0"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5E1450">
              <w:t>3,618</w:t>
            </w:r>
          </w:p>
        </w:tc>
        <w:tc>
          <w:tcPr>
            <w:tcW w:w="1041" w:type="dxa"/>
            <w:vAlign w:val="center"/>
          </w:tcPr>
          <w:p w14:paraId="36091752" w14:textId="75F10F90"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5E1450">
              <w:t>2,330</w:t>
            </w:r>
          </w:p>
        </w:tc>
        <w:tc>
          <w:tcPr>
            <w:tcW w:w="1150" w:type="dxa"/>
            <w:vAlign w:val="center"/>
          </w:tcPr>
          <w:p w14:paraId="36091753" w14:textId="59FAC308"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5E1450">
              <w:t>278</w:t>
            </w:r>
          </w:p>
        </w:tc>
        <w:tc>
          <w:tcPr>
            <w:tcW w:w="1436" w:type="dxa"/>
            <w:vAlign w:val="center"/>
          </w:tcPr>
          <w:p w14:paraId="36091754" w14:textId="3EEBDAD2"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5E1450">
              <w:t>13,007</w:t>
            </w:r>
          </w:p>
        </w:tc>
        <w:tc>
          <w:tcPr>
            <w:tcW w:w="1442" w:type="dxa"/>
            <w:vAlign w:val="center"/>
          </w:tcPr>
          <w:p w14:paraId="36091755" w14:textId="150D9C56"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5E1450">
              <w:t>52,384</w:t>
            </w:r>
          </w:p>
        </w:tc>
        <w:tc>
          <w:tcPr>
            <w:tcW w:w="1442" w:type="dxa"/>
            <w:vAlign w:val="center"/>
          </w:tcPr>
          <w:p w14:paraId="36091756" w14:textId="567035DC"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5E1450">
              <w:t>100.00%</w:t>
            </w:r>
          </w:p>
        </w:tc>
      </w:tr>
    </w:tbl>
    <w:p w14:paraId="465276ED" w14:textId="77777777" w:rsidR="00613DC2" w:rsidRPr="004C2412" w:rsidRDefault="00613DC2" w:rsidP="00A609AA">
      <w:pPr>
        <w:ind w:left="0"/>
      </w:pPr>
      <w:r w:rsidRPr="004C2412">
        <w:t xml:space="preserve">Unemployment non-payment periods are generally for eight weeks. However, a person who has received </w:t>
      </w:r>
      <w:r w:rsidRPr="004C2412">
        <w:rPr>
          <w:noProof/>
        </w:rPr>
        <w:t xml:space="preserve">Relocation Assistance to take up a job and </w:t>
      </w:r>
      <w:r w:rsidRPr="004C2412">
        <w:t xml:space="preserve">voluntarily leaves this job without a reasonable excuse, or </w:t>
      </w:r>
      <w:proofErr w:type="gramStart"/>
      <w:r w:rsidRPr="004C2412">
        <w:t>is dismissed</w:t>
      </w:r>
      <w:proofErr w:type="gramEnd"/>
      <w:r w:rsidRPr="004C2412">
        <w:t xml:space="preserve"> for misconduct within the first six months, may be subject to a non-payment penalty period of 12 weeks. This penalty </w:t>
      </w:r>
      <w:proofErr w:type="gramStart"/>
      <w:r w:rsidRPr="004C2412">
        <w:t>may also be applied</w:t>
      </w:r>
      <w:proofErr w:type="gramEnd"/>
      <w:r w:rsidRPr="004C2412">
        <w:t xml:space="preserve"> if the job seeker accepts the job and relocates but does not commence employment.</w:t>
      </w:r>
    </w:p>
    <w:p w14:paraId="6378BE9E" w14:textId="11D17F79" w:rsidR="00BF33EB" w:rsidRPr="004C2412" w:rsidRDefault="00BF33EB">
      <w:pPr>
        <w:spacing w:before="0"/>
        <w:ind w:left="0"/>
      </w:pPr>
      <w:r w:rsidRPr="004C2412">
        <w:rPr>
          <w:b/>
        </w:rPr>
        <w:br w:type="page"/>
      </w:r>
    </w:p>
    <w:p w14:paraId="36091758" w14:textId="17908F43" w:rsidR="002567EB" w:rsidRPr="004C2412" w:rsidRDefault="00D6515C" w:rsidP="00A609AA">
      <w:pPr>
        <w:pStyle w:val="Heading3"/>
        <w:numPr>
          <w:ilvl w:val="0"/>
          <w:numId w:val="0"/>
        </w:numPr>
      </w:pPr>
      <w:bookmarkStart w:id="60" w:name="_Toc526864466"/>
      <w:r w:rsidRPr="004C2412">
        <w:t xml:space="preserve">15 b </w:t>
      </w:r>
      <w:r w:rsidR="00C95ED9" w:rsidRPr="004C2412">
        <w:t>–</w:t>
      </w:r>
      <w:r w:rsidRPr="004C2412">
        <w:t xml:space="preserve"> </w:t>
      </w:r>
      <w:r w:rsidR="006C7CE4" w:rsidRPr="004C2412">
        <w:t>Short Term Financial Penalties</w:t>
      </w:r>
      <w:r w:rsidR="00613DC2" w:rsidRPr="004C2412">
        <w:t xml:space="preserve"> and Total Financial Penalty Summary - 1 </w:t>
      </w:r>
      <w:r w:rsidR="008C5615">
        <w:t>April</w:t>
      </w:r>
      <w:r w:rsidR="008C5615" w:rsidRPr="004C2412">
        <w:t xml:space="preserve"> </w:t>
      </w:r>
      <w:r w:rsidR="00613DC2" w:rsidRPr="004C2412">
        <w:t>to 3</w:t>
      </w:r>
      <w:r w:rsidR="008C5615">
        <w:t>0</w:t>
      </w:r>
      <w:r w:rsidR="00613DC2" w:rsidRPr="004C2412">
        <w:t xml:space="preserve"> </w:t>
      </w:r>
      <w:r w:rsidR="008C5615">
        <w:t>June</w:t>
      </w:r>
      <w:r w:rsidR="00092B18" w:rsidRPr="004C2412">
        <w:t xml:space="preserve"> </w:t>
      </w:r>
      <w:r w:rsidR="00613DC2" w:rsidRPr="004C2412">
        <w:t>201</w:t>
      </w:r>
      <w:r w:rsidR="00092B18" w:rsidRPr="004C2412">
        <w:t>8</w:t>
      </w:r>
      <w:bookmarkEnd w:id="60"/>
    </w:p>
    <w:tbl>
      <w:tblPr>
        <w:tblStyle w:val="LeftAlignTable"/>
        <w:tblW w:w="14459" w:type="dxa"/>
        <w:tblInd w:w="-5" w:type="dxa"/>
        <w:tblLayout w:type="fixed"/>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2977"/>
        <w:gridCol w:w="1276"/>
        <w:gridCol w:w="1276"/>
        <w:gridCol w:w="1417"/>
        <w:gridCol w:w="1843"/>
        <w:gridCol w:w="1276"/>
        <w:gridCol w:w="1275"/>
        <w:gridCol w:w="1560"/>
        <w:gridCol w:w="1559"/>
      </w:tblGrid>
      <w:tr w:rsidR="00BB1E9F" w:rsidRPr="004C2412" w14:paraId="36091762" w14:textId="5DE746BF" w:rsidTr="001C410D">
        <w:trPr>
          <w:cnfStyle w:val="100000000000" w:firstRow="1" w:lastRow="0" w:firstColumn="0" w:lastColumn="0" w:oddVBand="0" w:evenVBand="0" w:oddHBand="0" w:evenHBand="0" w:firstRowFirstColumn="0" w:firstRowLastColumn="0" w:lastRowFirstColumn="0" w:lastRowLastColumn="0"/>
          <w:trHeight w:val="612"/>
          <w:tblHead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vAlign w:val="center"/>
          </w:tcPr>
          <w:p w14:paraId="36091759" w14:textId="47B95DCA" w:rsidR="00BB1E9F" w:rsidRPr="004C2412" w:rsidRDefault="00613DC2" w:rsidP="00910012">
            <w:pPr>
              <w:spacing w:before="0"/>
              <w:ind w:left="0"/>
            </w:pPr>
            <w:r w:rsidRPr="004C2412">
              <w:t xml:space="preserve">Type of Short Term Penalty: </w:t>
            </w:r>
            <w:r w:rsidR="00DE65F3" w:rsidRPr="004C2412">
              <w:t>Non-At</w:t>
            </w:r>
            <w:r w:rsidR="00CF2936" w:rsidRPr="004C2412">
              <w:t>tendance</w:t>
            </w:r>
            <w:r w:rsidRPr="004C2412">
              <w:t xml:space="preserve"> (NAF)</w:t>
            </w:r>
            <w:r w:rsidR="00CF2936" w:rsidRPr="004C2412">
              <w:t>, Reconnection and N</w:t>
            </w:r>
            <w:r w:rsidRPr="004C2412">
              <w:t xml:space="preserve">o </w:t>
            </w:r>
            <w:r w:rsidR="00CF2936" w:rsidRPr="004C2412">
              <w:t>S</w:t>
            </w:r>
            <w:r w:rsidRPr="004C2412">
              <w:t xml:space="preserve">how </w:t>
            </w:r>
            <w:r w:rsidR="00CF2936" w:rsidRPr="004C2412">
              <w:t>N</w:t>
            </w:r>
            <w:r w:rsidRPr="004C2412">
              <w:t xml:space="preserve">o </w:t>
            </w:r>
            <w:r w:rsidR="00CF2936" w:rsidRPr="004C2412">
              <w:t>P</w:t>
            </w:r>
            <w:r w:rsidRPr="004C2412">
              <w:t>ay (NSNP)</w:t>
            </w:r>
          </w:p>
        </w:tc>
        <w:tc>
          <w:tcPr>
            <w:tcW w:w="1276" w:type="dxa"/>
            <w:vAlign w:val="center"/>
          </w:tcPr>
          <w:p w14:paraId="3609175A" w14:textId="2EB23CE6"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Under 21</w:t>
            </w:r>
          </w:p>
        </w:tc>
        <w:tc>
          <w:tcPr>
            <w:tcW w:w="1276" w:type="dxa"/>
            <w:vAlign w:val="center"/>
          </w:tcPr>
          <w:p w14:paraId="3609175B" w14:textId="06D70618"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21 - 30</w:t>
            </w:r>
          </w:p>
        </w:tc>
        <w:tc>
          <w:tcPr>
            <w:tcW w:w="1417" w:type="dxa"/>
            <w:vAlign w:val="center"/>
          </w:tcPr>
          <w:p w14:paraId="3609175C" w14:textId="02118596"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31 - 40</w:t>
            </w:r>
          </w:p>
        </w:tc>
        <w:tc>
          <w:tcPr>
            <w:tcW w:w="1843" w:type="dxa"/>
            <w:vAlign w:val="center"/>
          </w:tcPr>
          <w:p w14:paraId="3609175D" w14:textId="753E8E2D"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41 - 54</w:t>
            </w:r>
          </w:p>
        </w:tc>
        <w:tc>
          <w:tcPr>
            <w:tcW w:w="1276" w:type="dxa"/>
            <w:vAlign w:val="center"/>
          </w:tcPr>
          <w:p w14:paraId="3609175E" w14:textId="7BE14783"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55 +</w:t>
            </w:r>
          </w:p>
        </w:tc>
        <w:tc>
          <w:tcPr>
            <w:tcW w:w="1275" w:type="dxa"/>
            <w:vAlign w:val="center"/>
          </w:tcPr>
          <w:p w14:paraId="3609175F" w14:textId="0C816467"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560" w:type="dxa"/>
            <w:vAlign w:val="center"/>
          </w:tcPr>
          <w:p w14:paraId="36091760" w14:textId="5AF587FA"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1559" w:type="dxa"/>
            <w:vAlign w:val="center"/>
          </w:tcPr>
          <w:p w14:paraId="36091761" w14:textId="186E6361"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8C5615" w:rsidRPr="004C2412" w14:paraId="3609176C" w14:textId="6B42334C" w:rsidTr="00BC483C">
        <w:trPr>
          <w:trHeight w:val="635"/>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36091763" w14:textId="23E934C8" w:rsidR="008C5615" w:rsidRPr="004C2412" w:rsidRDefault="008C5615" w:rsidP="008C5615">
            <w:pPr>
              <w:spacing w:before="0"/>
              <w:ind w:left="0"/>
              <w:rPr>
                <w:noProof/>
              </w:rPr>
            </w:pPr>
            <w:r w:rsidRPr="004C2412">
              <w:rPr>
                <w:noProof/>
              </w:rPr>
              <w:t>Appointment related failures – Provider (NAF and Reconnection) and DHS (Reconnection)</w:t>
            </w:r>
          </w:p>
        </w:tc>
        <w:tc>
          <w:tcPr>
            <w:tcW w:w="1276" w:type="dxa"/>
            <w:vAlign w:val="center"/>
          </w:tcPr>
          <w:p w14:paraId="36091764" w14:textId="2AA18BF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2,137</w:t>
            </w:r>
          </w:p>
        </w:tc>
        <w:tc>
          <w:tcPr>
            <w:tcW w:w="1276" w:type="dxa"/>
            <w:vAlign w:val="center"/>
          </w:tcPr>
          <w:p w14:paraId="36091765" w14:textId="0CB5672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5,791</w:t>
            </w:r>
          </w:p>
        </w:tc>
        <w:tc>
          <w:tcPr>
            <w:tcW w:w="1417" w:type="dxa"/>
            <w:vAlign w:val="center"/>
          </w:tcPr>
          <w:p w14:paraId="36091766" w14:textId="257DC02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3,358</w:t>
            </w:r>
          </w:p>
        </w:tc>
        <w:tc>
          <w:tcPr>
            <w:tcW w:w="1843" w:type="dxa"/>
            <w:vAlign w:val="center"/>
          </w:tcPr>
          <w:p w14:paraId="36091767" w14:textId="27FCD33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1,985</w:t>
            </w:r>
          </w:p>
        </w:tc>
        <w:tc>
          <w:tcPr>
            <w:tcW w:w="1276" w:type="dxa"/>
            <w:vAlign w:val="center"/>
          </w:tcPr>
          <w:p w14:paraId="36091768" w14:textId="00BEE2C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209</w:t>
            </w:r>
          </w:p>
        </w:tc>
        <w:tc>
          <w:tcPr>
            <w:tcW w:w="1275" w:type="dxa"/>
            <w:vAlign w:val="center"/>
          </w:tcPr>
          <w:p w14:paraId="36091769" w14:textId="092D07E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13,480</w:t>
            </w:r>
          </w:p>
        </w:tc>
        <w:tc>
          <w:tcPr>
            <w:tcW w:w="1560" w:type="dxa"/>
            <w:vAlign w:val="center"/>
          </w:tcPr>
          <w:p w14:paraId="3609176A" w14:textId="232C218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57,410</w:t>
            </w:r>
          </w:p>
        </w:tc>
        <w:tc>
          <w:tcPr>
            <w:tcW w:w="1559" w:type="dxa"/>
            <w:vAlign w:val="center"/>
          </w:tcPr>
          <w:p w14:paraId="3609176B" w14:textId="094AE72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16.78%</w:t>
            </w:r>
          </w:p>
        </w:tc>
      </w:tr>
      <w:tr w:rsidR="008C5615" w:rsidRPr="004C2412" w14:paraId="36091776" w14:textId="71A22200" w:rsidTr="00BC483C">
        <w:trPr>
          <w:trHeight w:val="612"/>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3609176D" w14:textId="3B0CF518" w:rsidR="008C5615" w:rsidRPr="004C2412" w:rsidRDefault="008C5615" w:rsidP="008C5615">
            <w:pPr>
              <w:spacing w:before="0"/>
              <w:ind w:left="0"/>
              <w:rPr>
                <w:noProof/>
              </w:rPr>
            </w:pPr>
            <w:r w:rsidRPr="004C2412">
              <w:rPr>
                <w:noProof/>
              </w:rPr>
              <w:t>Other failures to comply with a reconnection requirement that resulted in a financial penalty</w:t>
            </w:r>
            <w:r w:rsidRPr="004C2412">
              <w:rPr>
                <w:noProof/>
                <w:sz w:val="32"/>
                <w:szCs w:val="32"/>
                <w:vertAlign w:val="superscript"/>
              </w:rPr>
              <w:t xml:space="preserve"> </w:t>
            </w:r>
            <w:r w:rsidRPr="004C2412">
              <w:rPr>
                <w:noProof/>
              </w:rPr>
              <w:t>^</w:t>
            </w:r>
          </w:p>
        </w:tc>
        <w:tc>
          <w:tcPr>
            <w:tcW w:w="1276" w:type="dxa"/>
            <w:vAlign w:val="center"/>
          </w:tcPr>
          <w:p w14:paraId="3609176E" w14:textId="0DE3C6D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112</w:t>
            </w:r>
          </w:p>
        </w:tc>
        <w:tc>
          <w:tcPr>
            <w:tcW w:w="1276" w:type="dxa"/>
            <w:vAlign w:val="center"/>
          </w:tcPr>
          <w:p w14:paraId="3609176F" w14:textId="18111BC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316</w:t>
            </w:r>
          </w:p>
        </w:tc>
        <w:tc>
          <w:tcPr>
            <w:tcW w:w="1417" w:type="dxa"/>
            <w:vAlign w:val="center"/>
          </w:tcPr>
          <w:p w14:paraId="36091770" w14:textId="1FCE5F2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143</w:t>
            </w:r>
          </w:p>
        </w:tc>
        <w:tc>
          <w:tcPr>
            <w:tcW w:w="1843" w:type="dxa"/>
            <w:vAlign w:val="center"/>
          </w:tcPr>
          <w:p w14:paraId="36091771" w14:textId="20A400C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94</w:t>
            </w:r>
          </w:p>
        </w:tc>
        <w:tc>
          <w:tcPr>
            <w:tcW w:w="1276" w:type="dxa"/>
            <w:vAlign w:val="center"/>
          </w:tcPr>
          <w:p w14:paraId="36091772" w14:textId="72B7150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24</w:t>
            </w:r>
          </w:p>
        </w:tc>
        <w:tc>
          <w:tcPr>
            <w:tcW w:w="1275" w:type="dxa"/>
            <w:vAlign w:val="center"/>
          </w:tcPr>
          <w:p w14:paraId="36091773" w14:textId="04D11C8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689</w:t>
            </w:r>
          </w:p>
        </w:tc>
        <w:tc>
          <w:tcPr>
            <w:tcW w:w="1560" w:type="dxa"/>
            <w:vAlign w:val="center"/>
          </w:tcPr>
          <w:p w14:paraId="36091774" w14:textId="6BD4898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2,310</w:t>
            </w:r>
          </w:p>
        </w:tc>
        <w:tc>
          <w:tcPr>
            <w:tcW w:w="1559" w:type="dxa"/>
            <w:vAlign w:val="center"/>
          </w:tcPr>
          <w:p w14:paraId="36091775" w14:textId="23F7A9D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0.68%</w:t>
            </w:r>
          </w:p>
        </w:tc>
      </w:tr>
      <w:tr w:rsidR="008C5615" w:rsidRPr="004C2412" w14:paraId="36091780" w14:textId="7AB1F610" w:rsidTr="00BC483C">
        <w:trPr>
          <w:trHeight w:val="47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36091777" w14:textId="542CBF92" w:rsidR="008C5615" w:rsidRPr="004C2412" w:rsidRDefault="008C5615" w:rsidP="008C5615">
            <w:pPr>
              <w:spacing w:before="0"/>
              <w:ind w:left="0"/>
            </w:pPr>
            <w:r w:rsidRPr="004C2412">
              <w:t>Failure to attend activity specified in a Job Plan (NSNP)</w:t>
            </w:r>
          </w:p>
        </w:tc>
        <w:tc>
          <w:tcPr>
            <w:tcW w:w="1276" w:type="dxa"/>
            <w:vAlign w:val="center"/>
          </w:tcPr>
          <w:p w14:paraId="36091778" w14:textId="6C3EE93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7,871</w:t>
            </w:r>
          </w:p>
        </w:tc>
        <w:tc>
          <w:tcPr>
            <w:tcW w:w="1276" w:type="dxa"/>
            <w:vAlign w:val="center"/>
          </w:tcPr>
          <w:p w14:paraId="36091779" w14:textId="546CF5F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27,428</w:t>
            </w:r>
          </w:p>
        </w:tc>
        <w:tc>
          <w:tcPr>
            <w:tcW w:w="1417" w:type="dxa"/>
            <w:vAlign w:val="center"/>
          </w:tcPr>
          <w:p w14:paraId="3609177A" w14:textId="7611F76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17,724</w:t>
            </w:r>
          </w:p>
        </w:tc>
        <w:tc>
          <w:tcPr>
            <w:tcW w:w="1843" w:type="dxa"/>
            <w:vAlign w:val="center"/>
          </w:tcPr>
          <w:p w14:paraId="3609177B" w14:textId="6F8FC2FA"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12,478</w:t>
            </w:r>
          </w:p>
        </w:tc>
        <w:tc>
          <w:tcPr>
            <w:tcW w:w="1276" w:type="dxa"/>
            <w:vAlign w:val="center"/>
          </w:tcPr>
          <w:p w14:paraId="3609177C" w14:textId="10626578"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1,002</w:t>
            </w:r>
          </w:p>
        </w:tc>
        <w:tc>
          <w:tcPr>
            <w:tcW w:w="1275" w:type="dxa"/>
            <w:vAlign w:val="center"/>
          </w:tcPr>
          <w:p w14:paraId="3609177D" w14:textId="02EE0BC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66,503</w:t>
            </w:r>
          </w:p>
        </w:tc>
        <w:tc>
          <w:tcPr>
            <w:tcW w:w="1560" w:type="dxa"/>
            <w:vAlign w:val="center"/>
          </w:tcPr>
          <w:p w14:paraId="3609177E" w14:textId="608C3420"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277,465</w:t>
            </w:r>
          </w:p>
        </w:tc>
        <w:tc>
          <w:tcPr>
            <w:tcW w:w="1559" w:type="dxa"/>
            <w:vAlign w:val="center"/>
          </w:tcPr>
          <w:p w14:paraId="3609177F" w14:textId="190099C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81.12%</w:t>
            </w:r>
          </w:p>
        </w:tc>
      </w:tr>
      <w:tr w:rsidR="008C5615" w:rsidRPr="004C2412" w14:paraId="3609178A" w14:textId="3F5D67FD" w:rsidTr="00BC483C">
        <w:trPr>
          <w:trHeight w:val="504"/>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36091781" w14:textId="5DCD1B5F" w:rsidR="008C5615" w:rsidRPr="004C2412" w:rsidRDefault="008C5615" w:rsidP="008C5615">
            <w:pPr>
              <w:spacing w:before="0"/>
              <w:ind w:left="0"/>
            </w:pPr>
            <w:r w:rsidRPr="004C2412">
              <w:t>Failure to attend job interview (NSNP)</w:t>
            </w:r>
          </w:p>
        </w:tc>
        <w:tc>
          <w:tcPr>
            <w:tcW w:w="1276" w:type="dxa"/>
            <w:vAlign w:val="center"/>
          </w:tcPr>
          <w:p w14:paraId="36091782" w14:textId="32A9320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106</w:t>
            </w:r>
          </w:p>
        </w:tc>
        <w:tc>
          <w:tcPr>
            <w:tcW w:w="1276" w:type="dxa"/>
            <w:vAlign w:val="center"/>
          </w:tcPr>
          <w:p w14:paraId="36091783" w14:textId="470C79F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301</w:t>
            </w:r>
          </w:p>
        </w:tc>
        <w:tc>
          <w:tcPr>
            <w:tcW w:w="1417" w:type="dxa"/>
            <w:vAlign w:val="center"/>
          </w:tcPr>
          <w:p w14:paraId="36091784" w14:textId="2033579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163</w:t>
            </w:r>
          </w:p>
        </w:tc>
        <w:tc>
          <w:tcPr>
            <w:tcW w:w="1843" w:type="dxa"/>
            <w:vAlign w:val="center"/>
          </w:tcPr>
          <w:p w14:paraId="36091785" w14:textId="17C3D78A"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126</w:t>
            </w:r>
          </w:p>
        </w:tc>
        <w:tc>
          <w:tcPr>
            <w:tcW w:w="1276" w:type="dxa"/>
            <w:vAlign w:val="center"/>
          </w:tcPr>
          <w:p w14:paraId="36091786" w14:textId="0199B9E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20</w:t>
            </w:r>
          </w:p>
        </w:tc>
        <w:tc>
          <w:tcPr>
            <w:tcW w:w="1275" w:type="dxa"/>
            <w:vAlign w:val="center"/>
          </w:tcPr>
          <w:p w14:paraId="36091787" w14:textId="03BED88F"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716</w:t>
            </w:r>
          </w:p>
        </w:tc>
        <w:tc>
          <w:tcPr>
            <w:tcW w:w="1560" w:type="dxa"/>
            <w:vAlign w:val="center"/>
          </w:tcPr>
          <w:p w14:paraId="36091788" w14:textId="6572407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2,956</w:t>
            </w:r>
          </w:p>
        </w:tc>
        <w:tc>
          <w:tcPr>
            <w:tcW w:w="1559" w:type="dxa"/>
            <w:vAlign w:val="center"/>
          </w:tcPr>
          <w:p w14:paraId="36091789" w14:textId="42306D14"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0.86%</w:t>
            </w:r>
          </w:p>
        </w:tc>
      </w:tr>
      <w:tr w:rsidR="008C5615" w:rsidRPr="004C2412" w14:paraId="36091794" w14:textId="3B568BE5" w:rsidTr="00BC483C">
        <w:trPr>
          <w:trHeight w:val="537"/>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3609178B" w14:textId="40E797E3" w:rsidR="008C5615" w:rsidRPr="004C2412" w:rsidRDefault="008C5615" w:rsidP="008C5615">
            <w:pPr>
              <w:spacing w:before="0"/>
              <w:ind w:left="0"/>
            </w:pPr>
            <w:r w:rsidRPr="004C2412">
              <w:t>Inappropriate conduct in a Job Plan activity (NSNP)</w:t>
            </w:r>
          </w:p>
        </w:tc>
        <w:tc>
          <w:tcPr>
            <w:tcW w:w="1276" w:type="dxa"/>
            <w:vAlign w:val="center"/>
          </w:tcPr>
          <w:p w14:paraId="3609178C" w14:textId="56D0F1DA"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45</w:t>
            </w:r>
          </w:p>
        </w:tc>
        <w:tc>
          <w:tcPr>
            <w:tcW w:w="1276" w:type="dxa"/>
            <w:vAlign w:val="center"/>
          </w:tcPr>
          <w:p w14:paraId="3609178D" w14:textId="7B91ED73"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115</w:t>
            </w:r>
          </w:p>
        </w:tc>
        <w:tc>
          <w:tcPr>
            <w:tcW w:w="1417" w:type="dxa"/>
            <w:vAlign w:val="center"/>
          </w:tcPr>
          <w:p w14:paraId="3609178E" w14:textId="35C3225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45</w:t>
            </w:r>
          </w:p>
        </w:tc>
        <w:tc>
          <w:tcPr>
            <w:tcW w:w="1843" w:type="dxa"/>
            <w:vAlign w:val="center"/>
          </w:tcPr>
          <w:p w14:paraId="3609178F" w14:textId="6E5B758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94</w:t>
            </w:r>
          </w:p>
        </w:tc>
        <w:tc>
          <w:tcPr>
            <w:tcW w:w="1276" w:type="dxa"/>
            <w:vAlign w:val="center"/>
          </w:tcPr>
          <w:p w14:paraId="36091790" w14:textId="341F273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20</w:t>
            </w:r>
          </w:p>
        </w:tc>
        <w:tc>
          <w:tcPr>
            <w:tcW w:w="1275" w:type="dxa"/>
            <w:vAlign w:val="center"/>
          </w:tcPr>
          <w:p w14:paraId="36091791" w14:textId="4D1DDF4E"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319</w:t>
            </w:r>
          </w:p>
        </w:tc>
        <w:tc>
          <w:tcPr>
            <w:tcW w:w="1560" w:type="dxa"/>
            <w:vAlign w:val="center"/>
          </w:tcPr>
          <w:p w14:paraId="36091792" w14:textId="598C4AB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1,313</w:t>
            </w:r>
          </w:p>
        </w:tc>
        <w:tc>
          <w:tcPr>
            <w:tcW w:w="1559" w:type="dxa"/>
            <w:vAlign w:val="center"/>
          </w:tcPr>
          <w:p w14:paraId="36091793" w14:textId="48F9CC6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0.38%</w:t>
            </w:r>
          </w:p>
        </w:tc>
      </w:tr>
      <w:tr w:rsidR="008C5615" w:rsidRPr="004C2412" w14:paraId="3609179E" w14:textId="69D5EBB2" w:rsidTr="00BC483C">
        <w:trPr>
          <w:trHeight w:val="612"/>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36091795" w14:textId="09C4DD9A" w:rsidR="008C5615" w:rsidRPr="004C2412" w:rsidRDefault="008C5615" w:rsidP="008C5615">
            <w:pPr>
              <w:spacing w:before="0"/>
              <w:ind w:left="0"/>
            </w:pPr>
            <w:r w:rsidRPr="004C2412">
              <w:t>Inappropriate presentation or conduct at job interview (NSNP)</w:t>
            </w:r>
          </w:p>
        </w:tc>
        <w:tc>
          <w:tcPr>
            <w:tcW w:w="1276" w:type="dxa"/>
            <w:vAlign w:val="center"/>
          </w:tcPr>
          <w:p w14:paraId="36091796" w14:textId="52F42142"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13</w:t>
            </w:r>
          </w:p>
        </w:tc>
        <w:tc>
          <w:tcPr>
            <w:tcW w:w="1276" w:type="dxa"/>
            <w:vAlign w:val="center"/>
          </w:tcPr>
          <w:p w14:paraId="36091797" w14:textId="2CA8715D"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54</w:t>
            </w:r>
          </w:p>
        </w:tc>
        <w:tc>
          <w:tcPr>
            <w:tcW w:w="1417" w:type="dxa"/>
            <w:vAlign w:val="center"/>
          </w:tcPr>
          <w:p w14:paraId="36091798" w14:textId="3C31A6B6"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25</w:t>
            </w:r>
          </w:p>
        </w:tc>
        <w:tc>
          <w:tcPr>
            <w:tcW w:w="1843" w:type="dxa"/>
            <w:vAlign w:val="center"/>
          </w:tcPr>
          <w:p w14:paraId="36091799" w14:textId="4D6920D1"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43</w:t>
            </w:r>
          </w:p>
        </w:tc>
        <w:tc>
          <w:tcPr>
            <w:tcW w:w="1276" w:type="dxa"/>
            <w:vAlign w:val="center"/>
          </w:tcPr>
          <w:p w14:paraId="3609179A" w14:textId="2D846DDB"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24</w:t>
            </w:r>
          </w:p>
        </w:tc>
        <w:tc>
          <w:tcPr>
            <w:tcW w:w="1275" w:type="dxa"/>
            <w:vAlign w:val="center"/>
          </w:tcPr>
          <w:p w14:paraId="3609179B" w14:textId="2E69C1D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159</w:t>
            </w:r>
          </w:p>
        </w:tc>
        <w:tc>
          <w:tcPr>
            <w:tcW w:w="1560" w:type="dxa"/>
            <w:vAlign w:val="center"/>
          </w:tcPr>
          <w:p w14:paraId="3609179C" w14:textId="4D6124D5"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606</w:t>
            </w:r>
          </w:p>
        </w:tc>
        <w:tc>
          <w:tcPr>
            <w:tcW w:w="1559" w:type="dxa"/>
            <w:vAlign w:val="center"/>
          </w:tcPr>
          <w:p w14:paraId="3609179D" w14:textId="15CDB8D9" w:rsidR="008C5615" w:rsidRPr="004C2412"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157CC">
              <w:t>0.18%</w:t>
            </w:r>
          </w:p>
        </w:tc>
      </w:tr>
      <w:tr w:rsidR="008C5615" w:rsidRPr="004C2412" w14:paraId="360917A8" w14:textId="4DF731BB" w:rsidTr="00BC483C">
        <w:trPr>
          <w:trHeight w:val="482"/>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3609179F" w14:textId="54CCCACB" w:rsidR="008C5615" w:rsidRPr="004C2412" w:rsidRDefault="008C5615" w:rsidP="008C5615">
            <w:pPr>
              <w:spacing w:before="0"/>
              <w:ind w:left="0"/>
              <w:rPr>
                <w:b/>
              </w:rPr>
            </w:pPr>
            <w:r w:rsidRPr="004C2412">
              <w:rPr>
                <w:b/>
              </w:rPr>
              <w:t>Sub Total Short Term Financial Penalties</w:t>
            </w:r>
          </w:p>
        </w:tc>
        <w:tc>
          <w:tcPr>
            <w:tcW w:w="1276" w:type="dxa"/>
            <w:vAlign w:val="center"/>
          </w:tcPr>
          <w:p w14:paraId="360917A0" w14:textId="4D6F4C42"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10,284</w:t>
            </w:r>
          </w:p>
        </w:tc>
        <w:tc>
          <w:tcPr>
            <w:tcW w:w="1276" w:type="dxa"/>
            <w:vAlign w:val="center"/>
          </w:tcPr>
          <w:p w14:paraId="360917A1" w14:textId="30E18044"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34,005</w:t>
            </w:r>
          </w:p>
        </w:tc>
        <w:tc>
          <w:tcPr>
            <w:tcW w:w="1417" w:type="dxa"/>
            <w:vAlign w:val="center"/>
          </w:tcPr>
          <w:p w14:paraId="360917A2" w14:textId="5DF35C1A"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21,458</w:t>
            </w:r>
          </w:p>
        </w:tc>
        <w:tc>
          <w:tcPr>
            <w:tcW w:w="1843" w:type="dxa"/>
            <w:vAlign w:val="center"/>
          </w:tcPr>
          <w:p w14:paraId="360917A3" w14:textId="322D937A"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14,820</w:t>
            </w:r>
          </w:p>
        </w:tc>
        <w:tc>
          <w:tcPr>
            <w:tcW w:w="1276" w:type="dxa"/>
            <w:vAlign w:val="center"/>
          </w:tcPr>
          <w:p w14:paraId="360917A4" w14:textId="43CF7E69"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1,299</w:t>
            </w:r>
          </w:p>
        </w:tc>
        <w:tc>
          <w:tcPr>
            <w:tcW w:w="1275" w:type="dxa"/>
            <w:vAlign w:val="center"/>
          </w:tcPr>
          <w:p w14:paraId="360917A5" w14:textId="12CA29B7"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81,866</w:t>
            </w:r>
          </w:p>
        </w:tc>
        <w:tc>
          <w:tcPr>
            <w:tcW w:w="1560" w:type="dxa"/>
            <w:vAlign w:val="center"/>
          </w:tcPr>
          <w:p w14:paraId="360917A6" w14:textId="603EB650"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342,060</w:t>
            </w:r>
          </w:p>
        </w:tc>
        <w:tc>
          <w:tcPr>
            <w:tcW w:w="1559" w:type="dxa"/>
            <w:vAlign w:val="center"/>
          </w:tcPr>
          <w:p w14:paraId="360917A7" w14:textId="2F9C9D02" w:rsidR="008C5615" w:rsidRPr="00443621" w:rsidRDefault="008C5615" w:rsidP="008C561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100.00%</w:t>
            </w:r>
          </w:p>
        </w:tc>
      </w:tr>
      <w:tr w:rsidR="008C5615" w:rsidRPr="004C2412" w14:paraId="360917BF" w14:textId="01757A94" w:rsidTr="00BC483C">
        <w:trPr>
          <w:cnfStyle w:val="010000000000" w:firstRow="0" w:lastRow="1"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360917B6" w14:textId="59C44F49" w:rsidR="008C5615" w:rsidRPr="004C2412" w:rsidRDefault="008C5615" w:rsidP="008C5615">
            <w:pPr>
              <w:spacing w:before="0"/>
              <w:ind w:left="0"/>
            </w:pPr>
            <w:r w:rsidRPr="004C2412">
              <w:t>Total Financial Penalties</w:t>
            </w:r>
          </w:p>
        </w:tc>
        <w:tc>
          <w:tcPr>
            <w:tcW w:w="1276" w:type="dxa"/>
            <w:vAlign w:val="center"/>
          </w:tcPr>
          <w:p w14:paraId="360917B7" w14:textId="0A27D9CC"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96A0B">
              <w:t>11,492</w:t>
            </w:r>
          </w:p>
        </w:tc>
        <w:tc>
          <w:tcPr>
            <w:tcW w:w="1276" w:type="dxa"/>
            <w:vAlign w:val="center"/>
          </w:tcPr>
          <w:p w14:paraId="360917B8" w14:textId="5EB5A424"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96A0B">
              <w:t>39,578</w:t>
            </w:r>
          </w:p>
        </w:tc>
        <w:tc>
          <w:tcPr>
            <w:tcW w:w="1417" w:type="dxa"/>
            <w:vAlign w:val="center"/>
          </w:tcPr>
          <w:p w14:paraId="360917B9" w14:textId="3F9F2045"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96A0B">
              <w:t>25,076</w:t>
            </w:r>
          </w:p>
        </w:tc>
        <w:tc>
          <w:tcPr>
            <w:tcW w:w="1843" w:type="dxa"/>
            <w:vAlign w:val="center"/>
          </w:tcPr>
          <w:p w14:paraId="360917BA" w14:textId="670B71E2"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96A0B">
              <w:t>17,150</w:t>
            </w:r>
          </w:p>
        </w:tc>
        <w:tc>
          <w:tcPr>
            <w:tcW w:w="1276" w:type="dxa"/>
            <w:vAlign w:val="center"/>
          </w:tcPr>
          <w:p w14:paraId="360917BB" w14:textId="287CDDBD"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96A0B">
              <w:t>1,577</w:t>
            </w:r>
          </w:p>
        </w:tc>
        <w:tc>
          <w:tcPr>
            <w:tcW w:w="1275" w:type="dxa"/>
            <w:vAlign w:val="center"/>
          </w:tcPr>
          <w:p w14:paraId="360917BC" w14:textId="071D6F5C"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96A0B">
              <w:t>94,873</w:t>
            </w:r>
          </w:p>
        </w:tc>
        <w:tc>
          <w:tcPr>
            <w:tcW w:w="1560" w:type="dxa"/>
            <w:vAlign w:val="center"/>
          </w:tcPr>
          <w:p w14:paraId="360917BD" w14:textId="47B938D4"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96A0B">
              <w:t>394,444</w:t>
            </w:r>
          </w:p>
        </w:tc>
        <w:tc>
          <w:tcPr>
            <w:tcW w:w="1559" w:type="dxa"/>
            <w:vAlign w:val="center"/>
          </w:tcPr>
          <w:p w14:paraId="360917BE" w14:textId="6BD6ACC4" w:rsidR="008C5615" w:rsidRPr="004C2412" w:rsidRDefault="008C5615" w:rsidP="008C561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96A0B">
              <w:t>100.00%</w:t>
            </w:r>
          </w:p>
        </w:tc>
      </w:tr>
    </w:tbl>
    <w:p w14:paraId="73C5DE5A" w14:textId="6DA3DA58" w:rsidR="00F67E5F" w:rsidRPr="004C2412" w:rsidRDefault="00F67E5F" w:rsidP="00A609AA">
      <w:pPr>
        <w:ind w:left="0"/>
        <w:rPr>
          <w:noProof/>
        </w:rPr>
      </w:pPr>
      <w:r w:rsidRPr="004C2412">
        <w:rPr>
          <w:b/>
        </w:rPr>
        <w:t>^</w:t>
      </w:r>
      <w:r w:rsidRPr="004C2412">
        <w:rPr>
          <w:noProof/>
        </w:rPr>
        <w:t>For example, issue of Employment Contact Certificates and some Job Plan failures (Reconnection).</w:t>
      </w:r>
    </w:p>
    <w:p w14:paraId="360917C1" w14:textId="7C05D9B2" w:rsidR="000D7376" w:rsidRPr="004C2412" w:rsidRDefault="000D7376" w:rsidP="00A609AA">
      <w:pPr>
        <w:ind w:left="0"/>
      </w:pPr>
      <w:r w:rsidRPr="004C2412">
        <w:t>Appointment related failures comprise of financial penalties for non-attendance at a provider or Department of Human Services (including Comprehensive Compliance Assessment) appointment.</w:t>
      </w:r>
    </w:p>
    <w:p w14:paraId="360917C2" w14:textId="02D8D1F7" w:rsidR="000D7376" w:rsidRPr="004C2412" w:rsidRDefault="000D7376" w:rsidP="00A609AA">
      <w:pPr>
        <w:ind w:left="0"/>
        <w:rPr>
          <w:bCs/>
        </w:rPr>
      </w:pPr>
      <w:r w:rsidRPr="004C2412">
        <w:rPr>
          <w:bCs/>
        </w:rPr>
        <w:t xml:space="preserve">Reconnection failures for not entering into a Job Plan </w:t>
      </w:r>
      <w:proofErr w:type="gramStart"/>
      <w:r w:rsidRPr="004C2412">
        <w:rPr>
          <w:bCs/>
        </w:rPr>
        <w:t>can be applied</w:t>
      </w:r>
      <w:proofErr w:type="gramEnd"/>
      <w:r w:rsidRPr="004C2412">
        <w:rPr>
          <w:bCs/>
        </w:rPr>
        <w:t xml:space="preserve"> when a job seeker does not attend an appointment with their Provider then refuses to enter into a Job Plan at their re-engagement appointment. This refusal represents the job seekers first refusal to enter into a Job Plan.</w:t>
      </w:r>
    </w:p>
    <w:p w14:paraId="6AEA6D5D" w14:textId="77777777" w:rsidR="00910012" w:rsidRPr="004C2412" w:rsidRDefault="00910012">
      <w:pPr>
        <w:spacing w:before="0"/>
        <w:ind w:left="0"/>
        <w:rPr>
          <w:rFonts w:ascii="Arial" w:eastAsiaTheme="majorEastAsia" w:hAnsi="Arial" w:cstheme="majorBidi"/>
          <w:b/>
          <w:bCs/>
          <w:sz w:val="20"/>
        </w:rPr>
      </w:pPr>
      <w:r w:rsidRPr="004C2412">
        <w:br w:type="page"/>
      </w:r>
    </w:p>
    <w:p w14:paraId="360917C4" w14:textId="71D0D8D2" w:rsidR="002567EB" w:rsidRPr="004C2412" w:rsidRDefault="00D6515C" w:rsidP="00A609AA">
      <w:pPr>
        <w:pStyle w:val="Heading3"/>
        <w:numPr>
          <w:ilvl w:val="0"/>
          <w:numId w:val="0"/>
        </w:numPr>
      </w:pPr>
      <w:bookmarkStart w:id="61" w:name="_Toc526864467"/>
      <w:r w:rsidRPr="004C2412">
        <w:t xml:space="preserve">15 c </w:t>
      </w:r>
      <w:r w:rsidR="00C95ED9" w:rsidRPr="004C2412">
        <w:t>–</w:t>
      </w:r>
      <w:r w:rsidRPr="004C2412">
        <w:t xml:space="preserve"> </w:t>
      </w:r>
      <w:r w:rsidR="006C7CE4" w:rsidRPr="004C2412">
        <w:t xml:space="preserve">Connection </w:t>
      </w:r>
      <w:r w:rsidR="00C95ED9" w:rsidRPr="004C2412">
        <w:t xml:space="preserve">Failures - 1 </w:t>
      </w:r>
      <w:r w:rsidR="00BC483C">
        <w:t>April</w:t>
      </w:r>
      <w:r w:rsidR="00BC483C" w:rsidRPr="004C2412">
        <w:t xml:space="preserve"> </w:t>
      </w:r>
      <w:r w:rsidR="00C95ED9" w:rsidRPr="004C2412">
        <w:t>to 3</w:t>
      </w:r>
      <w:r w:rsidR="00BC483C">
        <w:t>0</w:t>
      </w:r>
      <w:r w:rsidR="00C95ED9" w:rsidRPr="004C2412">
        <w:t xml:space="preserve"> </w:t>
      </w:r>
      <w:r w:rsidR="00BC483C">
        <w:t>June</w:t>
      </w:r>
      <w:r w:rsidR="00C95ED9" w:rsidRPr="004C2412">
        <w:t xml:space="preserve"> 201</w:t>
      </w:r>
      <w:r w:rsidR="00092B18" w:rsidRPr="004C2412">
        <w:t>8</w:t>
      </w:r>
      <w:bookmarkEnd w:id="61"/>
    </w:p>
    <w:tbl>
      <w:tblPr>
        <w:tblStyle w:val="LeftAlignTable"/>
        <w:tblW w:w="0" w:type="auto"/>
        <w:tblInd w:w="-5" w:type="dxa"/>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250"/>
        <w:gridCol w:w="1307"/>
        <w:gridCol w:w="1307"/>
        <w:gridCol w:w="1307"/>
        <w:gridCol w:w="909"/>
        <w:gridCol w:w="1343"/>
        <w:gridCol w:w="1898"/>
        <w:gridCol w:w="1635"/>
        <w:gridCol w:w="1781"/>
      </w:tblGrid>
      <w:tr w:rsidR="00BB1E9F" w:rsidRPr="004C2412" w14:paraId="360917CE" w14:textId="4326525F" w:rsidTr="001C410D">
        <w:trPr>
          <w:cnfStyle w:val="100000000000" w:firstRow="1" w:lastRow="0" w:firstColumn="0" w:lastColumn="0" w:oddVBand="0" w:evenVBand="0" w:oddHBand="0" w:evenHBand="0" w:firstRowFirstColumn="0" w:firstRowLastColumn="0" w:lastRowFirstColumn="0" w:lastRowLastColumn="0"/>
          <w:trHeight w:val="507"/>
          <w:tblHeader/>
        </w:trPr>
        <w:tc>
          <w:tcPr>
            <w:cnfStyle w:val="001000000000" w:firstRow="0" w:lastRow="0" w:firstColumn="1" w:lastColumn="0" w:oddVBand="0" w:evenVBand="0" w:oddHBand="0" w:evenHBand="0" w:firstRowFirstColumn="0" w:firstRowLastColumn="0" w:lastRowFirstColumn="0" w:lastRowLastColumn="0"/>
            <w:tcW w:w="3250" w:type="dxa"/>
            <w:shd w:val="clear" w:color="auto" w:fill="auto"/>
            <w:vAlign w:val="center"/>
          </w:tcPr>
          <w:p w14:paraId="360917C5" w14:textId="7DDE3B89" w:rsidR="00BB1E9F" w:rsidRPr="004C2412" w:rsidRDefault="00CF2936" w:rsidP="00910012">
            <w:pPr>
              <w:spacing w:before="0"/>
              <w:ind w:left="0"/>
            </w:pPr>
            <w:r w:rsidRPr="004C2412">
              <w:t xml:space="preserve">Types of </w:t>
            </w:r>
            <w:r w:rsidR="00BB1E9F" w:rsidRPr="004C2412">
              <w:t>Connection Failures</w:t>
            </w:r>
          </w:p>
        </w:tc>
        <w:tc>
          <w:tcPr>
            <w:tcW w:w="1307" w:type="dxa"/>
            <w:vAlign w:val="center"/>
          </w:tcPr>
          <w:p w14:paraId="360917C6" w14:textId="519EFE2A"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Under 21</w:t>
            </w:r>
          </w:p>
        </w:tc>
        <w:tc>
          <w:tcPr>
            <w:tcW w:w="1307" w:type="dxa"/>
            <w:vAlign w:val="center"/>
          </w:tcPr>
          <w:p w14:paraId="360917C7" w14:textId="5B8973CA"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21 - 30</w:t>
            </w:r>
          </w:p>
        </w:tc>
        <w:tc>
          <w:tcPr>
            <w:tcW w:w="1307" w:type="dxa"/>
            <w:vAlign w:val="center"/>
          </w:tcPr>
          <w:p w14:paraId="360917C8" w14:textId="432BE0C1"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31 - 40</w:t>
            </w:r>
          </w:p>
        </w:tc>
        <w:tc>
          <w:tcPr>
            <w:tcW w:w="909" w:type="dxa"/>
            <w:vAlign w:val="center"/>
          </w:tcPr>
          <w:p w14:paraId="360917C9" w14:textId="055A13D3"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41 - 54</w:t>
            </w:r>
          </w:p>
        </w:tc>
        <w:tc>
          <w:tcPr>
            <w:tcW w:w="1343" w:type="dxa"/>
            <w:vAlign w:val="center"/>
          </w:tcPr>
          <w:p w14:paraId="360917CA" w14:textId="6BB7329B"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55 +</w:t>
            </w:r>
          </w:p>
        </w:tc>
        <w:tc>
          <w:tcPr>
            <w:tcW w:w="1898" w:type="dxa"/>
            <w:vAlign w:val="center"/>
          </w:tcPr>
          <w:p w14:paraId="360917CB" w14:textId="6E1D63E9"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0" w:type="auto"/>
            <w:vAlign w:val="center"/>
          </w:tcPr>
          <w:p w14:paraId="360917CC" w14:textId="788EC85E"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c>
          <w:tcPr>
            <w:tcW w:w="0" w:type="auto"/>
            <w:vAlign w:val="center"/>
          </w:tcPr>
          <w:p w14:paraId="360917CD" w14:textId="18A9BF8D"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Financial YTD%</w:t>
            </w:r>
          </w:p>
        </w:tc>
      </w:tr>
      <w:tr w:rsidR="00BC483C" w:rsidRPr="004C2412" w14:paraId="360917D8" w14:textId="54EBC30A" w:rsidTr="00BC483C">
        <w:trPr>
          <w:trHeight w:val="397"/>
        </w:trPr>
        <w:tc>
          <w:tcPr>
            <w:cnfStyle w:val="001000000000" w:firstRow="0" w:lastRow="0" w:firstColumn="1" w:lastColumn="0" w:oddVBand="0" w:evenVBand="0" w:oddHBand="0" w:evenHBand="0" w:firstRowFirstColumn="0" w:firstRowLastColumn="0" w:lastRowFirstColumn="0" w:lastRowLastColumn="0"/>
            <w:tcW w:w="3250" w:type="dxa"/>
            <w:vAlign w:val="center"/>
          </w:tcPr>
          <w:p w14:paraId="360917CF" w14:textId="0D8F74B8" w:rsidR="00BC483C" w:rsidRPr="004C2412" w:rsidRDefault="00BC483C" w:rsidP="00BC483C">
            <w:pPr>
              <w:spacing w:before="0"/>
              <w:ind w:left="0"/>
            </w:pPr>
            <w:r w:rsidRPr="004C2412">
              <w:t>Failure to attend third party appointment^</w:t>
            </w:r>
          </w:p>
        </w:tc>
        <w:tc>
          <w:tcPr>
            <w:tcW w:w="1307" w:type="dxa"/>
            <w:vAlign w:val="center"/>
          </w:tcPr>
          <w:p w14:paraId="360917D0" w14:textId="25618E9C"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37</w:t>
            </w:r>
          </w:p>
        </w:tc>
        <w:tc>
          <w:tcPr>
            <w:tcW w:w="1307" w:type="dxa"/>
            <w:vAlign w:val="center"/>
          </w:tcPr>
          <w:p w14:paraId="360917D1" w14:textId="1F57E1FB"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103</w:t>
            </w:r>
          </w:p>
        </w:tc>
        <w:tc>
          <w:tcPr>
            <w:tcW w:w="1307" w:type="dxa"/>
            <w:vAlign w:val="center"/>
          </w:tcPr>
          <w:p w14:paraId="360917D2" w14:textId="485BC5E0"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69</w:t>
            </w:r>
          </w:p>
        </w:tc>
        <w:tc>
          <w:tcPr>
            <w:tcW w:w="909" w:type="dxa"/>
            <w:vAlign w:val="center"/>
          </w:tcPr>
          <w:p w14:paraId="360917D3" w14:textId="26A2F701"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40</w:t>
            </w:r>
          </w:p>
        </w:tc>
        <w:tc>
          <w:tcPr>
            <w:tcW w:w="1343" w:type="dxa"/>
            <w:vAlign w:val="center"/>
          </w:tcPr>
          <w:p w14:paraId="360917D4" w14:textId="3EFCD9BA"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9</w:t>
            </w:r>
          </w:p>
        </w:tc>
        <w:tc>
          <w:tcPr>
            <w:tcW w:w="1898" w:type="dxa"/>
            <w:vAlign w:val="center"/>
          </w:tcPr>
          <w:p w14:paraId="360917D5" w14:textId="282D2A46"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258</w:t>
            </w:r>
          </w:p>
        </w:tc>
        <w:tc>
          <w:tcPr>
            <w:tcW w:w="0" w:type="auto"/>
            <w:vAlign w:val="center"/>
          </w:tcPr>
          <w:p w14:paraId="360917D6" w14:textId="4EA3E3FF"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1,216</w:t>
            </w:r>
          </w:p>
        </w:tc>
        <w:tc>
          <w:tcPr>
            <w:tcW w:w="0" w:type="auto"/>
            <w:vAlign w:val="center"/>
          </w:tcPr>
          <w:p w14:paraId="360917D7" w14:textId="48FC64A4"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1.67%</w:t>
            </w:r>
          </w:p>
        </w:tc>
      </w:tr>
      <w:tr w:rsidR="00BC483C" w:rsidRPr="004C2412" w14:paraId="360917E2" w14:textId="7FEE82EB" w:rsidTr="00BC483C">
        <w:trPr>
          <w:trHeight w:val="397"/>
        </w:trPr>
        <w:tc>
          <w:tcPr>
            <w:cnfStyle w:val="001000000000" w:firstRow="0" w:lastRow="0" w:firstColumn="1" w:lastColumn="0" w:oddVBand="0" w:evenVBand="0" w:oddHBand="0" w:evenHBand="0" w:firstRowFirstColumn="0" w:firstRowLastColumn="0" w:lastRowFirstColumn="0" w:lastRowLastColumn="0"/>
            <w:tcW w:w="3250" w:type="dxa"/>
            <w:vAlign w:val="center"/>
          </w:tcPr>
          <w:p w14:paraId="360917D9" w14:textId="7BBA6DBF" w:rsidR="00BC483C" w:rsidRPr="004C2412" w:rsidRDefault="00BC483C" w:rsidP="00BC483C">
            <w:pPr>
              <w:spacing w:before="0"/>
              <w:ind w:left="0"/>
            </w:pPr>
            <w:r w:rsidRPr="004C2412">
              <w:t>Failure to attend CCA appointment</w:t>
            </w:r>
          </w:p>
        </w:tc>
        <w:tc>
          <w:tcPr>
            <w:tcW w:w="1307" w:type="dxa"/>
            <w:vAlign w:val="center"/>
          </w:tcPr>
          <w:p w14:paraId="360917DA" w14:textId="0C58DA80"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242</w:t>
            </w:r>
          </w:p>
        </w:tc>
        <w:tc>
          <w:tcPr>
            <w:tcW w:w="1307" w:type="dxa"/>
            <w:vAlign w:val="center"/>
          </w:tcPr>
          <w:p w14:paraId="360917DB" w14:textId="52CB1EBE"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776</w:t>
            </w:r>
          </w:p>
        </w:tc>
        <w:tc>
          <w:tcPr>
            <w:tcW w:w="1307" w:type="dxa"/>
            <w:vAlign w:val="center"/>
          </w:tcPr>
          <w:p w14:paraId="360917DC" w14:textId="02534EB5"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544</w:t>
            </w:r>
          </w:p>
        </w:tc>
        <w:tc>
          <w:tcPr>
            <w:tcW w:w="909" w:type="dxa"/>
            <w:vAlign w:val="center"/>
          </w:tcPr>
          <w:p w14:paraId="360917DD" w14:textId="6E491957"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322</w:t>
            </w:r>
          </w:p>
        </w:tc>
        <w:tc>
          <w:tcPr>
            <w:tcW w:w="1343" w:type="dxa"/>
            <w:vAlign w:val="center"/>
          </w:tcPr>
          <w:p w14:paraId="360917DE" w14:textId="33A93A03"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24</w:t>
            </w:r>
          </w:p>
        </w:tc>
        <w:tc>
          <w:tcPr>
            <w:tcW w:w="1898" w:type="dxa"/>
            <w:vAlign w:val="center"/>
          </w:tcPr>
          <w:p w14:paraId="360917DF" w14:textId="5F18F16D"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1,908</w:t>
            </w:r>
          </w:p>
        </w:tc>
        <w:tc>
          <w:tcPr>
            <w:tcW w:w="0" w:type="auto"/>
            <w:vAlign w:val="center"/>
          </w:tcPr>
          <w:p w14:paraId="360917E0" w14:textId="18D520EF"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10,685</w:t>
            </w:r>
          </w:p>
        </w:tc>
        <w:tc>
          <w:tcPr>
            <w:tcW w:w="0" w:type="auto"/>
            <w:vAlign w:val="center"/>
          </w:tcPr>
          <w:p w14:paraId="360917E1" w14:textId="6EECF25C"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14.70%</w:t>
            </w:r>
          </w:p>
        </w:tc>
      </w:tr>
      <w:tr w:rsidR="00BC483C" w:rsidRPr="004C2412" w14:paraId="360917EC" w14:textId="653ABAFF" w:rsidTr="00BC483C">
        <w:trPr>
          <w:trHeight w:val="507"/>
        </w:trPr>
        <w:tc>
          <w:tcPr>
            <w:cnfStyle w:val="001000000000" w:firstRow="0" w:lastRow="0" w:firstColumn="1" w:lastColumn="0" w:oddVBand="0" w:evenVBand="0" w:oddHBand="0" w:evenHBand="0" w:firstRowFirstColumn="0" w:firstRowLastColumn="0" w:lastRowFirstColumn="0" w:lastRowLastColumn="0"/>
            <w:tcW w:w="3250" w:type="dxa"/>
            <w:vAlign w:val="center"/>
          </w:tcPr>
          <w:p w14:paraId="360917E3" w14:textId="7C2161FC" w:rsidR="00BC483C" w:rsidRPr="004C2412" w:rsidRDefault="00BC483C" w:rsidP="00BC483C">
            <w:pPr>
              <w:spacing w:before="0"/>
              <w:ind w:left="0"/>
            </w:pPr>
            <w:r w:rsidRPr="004C2412">
              <w:t>Failure to comply with Job Search requirement in a Job Plan</w:t>
            </w:r>
          </w:p>
        </w:tc>
        <w:tc>
          <w:tcPr>
            <w:tcW w:w="1307" w:type="dxa"/>
            <w:vAlign w:val="center"/>
          </w:tcPr>
          <w:p w14:paraId="360917E4" w14:textId="6A9F73CC"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1,637</w:t>
            </w:r>
          </w:p>
        </w:tc>
        <w:tc>
          <w:tcPr>
            <w:tcW w:w="1307" w:type="dxa"/>
            <w:vAlign w:val="center"/>
          </w:tcPr>
          <w:p w14:paraId="360917E5" w14:textId="54E0000E"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6,223</w:t>
            </w:r>
          </w:p>
        </w:tc>
        <w:tc>
          <w:tcPr>
            <w:tcW w:w="1307" w:type="dxa"/>
            <w:vAlign w:val="center"/>
          </w:tcPr>
          <w:p w14:paraId="360917E6" w14:textId="16E71854"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3,623</w:t>
            </w:r>
          </w:p>
        </w:tc>
        <w:tc>
          <w:tcPr>
            <w:tcW w:w="909" w:type="dxa"/>
            <w:vAlign w:val="center"/>
          </w:tcPr>
          <w:p w14:paraId="360917E7" w14:textId="32F2886F"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2,961</w:t>
            </w:r>
          </w:p>
        </w:tc>
        <w:tc>
          <w:tcPr>
            <w:tcW w:w="1343" w:type="dxa"/>
            <w:vAlign w:val="center"/>
          </w:tcPr>
          <w:p w14:paraId="360917E8" w14:textId="57B6963D"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755</w:t>
            </w:r>
          </w:p>
        </w:tc>
        <w:tc>
          <w:tcPr>
            <w:tcW w:w="1898" w:type="dxa"/>
            <w:vAlign w:val="center"/>
          </w:tcPr>
          <w:p w14:paraId="360917E9" w14:textId="3E635652"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15,199</w:t>
            </w:r>
          </w:p>
        </w:tc>
        <w:tc>
          <w:tcPr>
            <w:tcW w:w="0" w:type="auto"/>
            <w:vAlign w:val="center"/>
          </w:tcPr>
          <w:p w14:paraId="360917EA" w14:textId="4C8B520D"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58,596</w:t>
            </w:r>
          </w:p>
        </w:tc>
        <w:tc>
          <w:tcPr>
            <w:tcW w:w="0" w:type="auto"/>
            <w:vAlign w:val="center"/>
          </w:tcPr>
          <w:p w14:paraId="360917EB" w14:textId="52B7421E"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80.61%</w:t>
            </w:r>
          </w:p>
        </w:tc>
      </w:tr>
      <w:tr w:rsidR="00BC483C" w:rsidRPr="004C2412" w14:paraId="360917F6" w14:textId="393FCBB3" w:rsidTr="00BC483C">
        <w:trPr>
          <w:trHeight w:val="507"/>
        </w:trPr>
        <w:tc>
          <w:tcPr>
            <w:cnfStyle w:val="001000000000" w:firstRow="0" w:lastRow="0" w:firstColumn="1" w:lastColumn="0" w:oddVBand="0" w:evenVBand="0" w:oddHBand="0" w:evenHBand="0" w:firstRowFirstColumn="0" w:firstRowLastColumn="0" w:lastRowFirstColumn="0" w:lastRowLastColumn="0"/>
            <w:tcW w:w="3250" w:type="dxa"/>
            <w:vAlign w:val="center"/>
          </w:tcPr>
          <w:p w14:paraId="360917ED" w14:textId="0AA48CC8" w:rsidR="00BC483C" w:rsidRPr="004C2412" w:rsidRDefault="00BC483C" w:rsidP="00BC483C">
            <w:pPr>
              <w:spacing w:before="0"/>
              <w:ind w:left="0"/>
            </w:pPr>
            <w:r w:rsidRPr="004C2412">
              <w:t>Failure to enter a Job Plan with provider or the Department of Human Services</w:t>
            </w:r>
          </w:p>
        </w:tc>
        <w:tc>
          <w:tcPr>
            <w:tcW w:w="1307" w:type="dxa"/>
            <w:vAlign w:val="center"/>
          </w:tcPr>
          <w:p w14:paraId="360917EE" w14:textId="3773DDC1"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11</w:t>
            </w:r>
          </w:p>
        </w:tc>
        <w:tc>
          <w:tcPr>
            <w:tcW w:w="1307" w:type="dxa"/>
            <w:vAlign w:val="center"/>
          </w:tcPr>
          <w:p w14:paraId="360917EF" w14:textId="477FC15A"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54</w:t>
            </w:r>
          </w:p>
        </w:tc>
        <w:tc>
          <w:tcPr>
            <w:tcW w:w="1307" w:type="dxa"/>
            <w:vAlign w:val="center"/>
          </w:tcPr>
          <w:p w14:paraId="360917F0" w14:textId="52D94B9D"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42</w:t>
            </w:r>
          </w:p>
        </w:tc>
        <w:tc>
          <w:tcPr>
            <w:tcW w:w="909" w:type="dxa"/>
            <w:vAlign w:val="center"/>
          </w:tcPr>
          <w:p w14:paraId="360917F1" w14:textId="64505E8D"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53</w:t>
            </w:r>
          </w:p>
        </w:tc>
        <w:tc>
          <w:tcPr>
            <w:tcW w:w="1343" w:type="dxa"/>
            <w:vAlign w:val="center"/>
          </w:tcPr>
          <w:p w14:paraId="360917F2" w14:textId="3BCB75DE"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26</w:t>
            </w:r>
          </w:p>
        </w:tc>
        <w:tc>
          <w:tcPr>
            <w:tcW w:w="1898" w:type="dxa"/>
            <w:vAlign w:val="center"/>
          </w:tcPr>
          <w:p w14:paraId="360917F3" w14:textId="45BAA9E8"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186</w:t>
            </w:r>
          </w:p>
        </w:tc>
        <w:tc>
          <w:tcPr>
            <w:tcW w:w="0" w:type="auto"/>
            <w:vAlign w:val="center"/>
          </w:tcPr>
          <w:p w14:paraId="360917F4" w14:textId="43C234B1"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874</w:t>
            </w:r>
          </w:p>
        </w:tc>
        <w:tc>
          <w:tcPr>
            <w:tcW w:w="0" w:type="auto"/>
            <w:vAlign w:val="center"/>
          </w:tcPr>
          <w:p w14:paraId="360917F5" w14:textId="1A17DC62"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1.20%</w:t>
            </w:r>
          </w:p>
        </w:tc>
      </w:tr>
      <w:tr w:rsidR="00BC483C" w:rsidRPr="004C2412" w14:paraId="36091800" w14:textId="7277FEDB" w:rsidTr="00BC483C">
        <w:trPr>
          <w:trHeight w:val="507"/>
        </w:trPr>
        <w:tc>
          <w:tcPr>
            <w:cnfStyle w:val="001000000000" w:firstRow="0" w:lastRow="0" w:firstColumn="1" w:lastColumn="0" w:oddVBand="0" w:evenVBand="0" w:oddHBand="0" w:evenHBand="0" w:firstRowFirstColumn="0" w:firstRowLastColumn="0" w:lastRowFirstColumn="0" w:lastRowLastColumn="0"/>
            <w:tcW w:w="3250" w:type="dxa"/>
            <w:vAlign w:val="center"/>
          </w:tcPr>
          <w:p w14:paraId="360917F7" w14:textId="0FADAD33" w:rsidR="00BC483C" w:rsidRPr="004C2412" w:rsidRDefault="00BC483C" w:rsidP="00BC483C">
            <w:pPr>
              <w:spacing w:before="0"/>
              <w:ind w:left="0"/>
            </w:pPr>
            <w:r w:rsidRPr="004C2412">
              <w:t>Failure to attend Department of Human Services appointment</w:t>
            </w:r>
          </w:p>
        </w:tc>
        <w:tc>
          <w:tcPr>
            <w:tcW w:w="1307" w:type="dxa"/>
            <w:vAlign w:val="center"/>
          </w:tcPr>
          <w:p w14:paraId="360917F8" w14:textId="12C2FC26"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6</w:t>
            </w:r>
          </w:p>
        </w:tc>
        <w:tc>
          <w:tcPr>
            <w:tcW w:w="1307" w:type="dxa"/>
            <w:vAlign w:val="center"/>
          </w:tcPr>
          <w:p w14:paraId="360917F9" w14:textId="78015B56"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50</w:t>
            </w:r>
          </w:p>
        </w:tc>
        <w:tc>
          <w:tcPr>
            <w:tcW w:w="1307" w:type="dxa"/>
            <w:vAlign w:val="center"/>
          </w:tcPr>
          <w:p w14:paraId="360917FA" w14:textId="7D05DC2B"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56</w:t>
            </w:r>
          </w:p>
        </w:tc>
        <w:tc>
          <w:tcPr>
            <w:tcW w:w="909" w:type="dxa"/>
            <w:vAlign w:val="center"/>
          </w:tcPr>
          <w:p w14:paraId="360917FB" w14:textId="282A5B79"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78</w:t>
            </w:r>
          </w:p>
        </w:tc>
        <w:tc>
          <w:tcPr>
            <w:tcW w:w="1343" w:type="dxa"/>
            <w:vAlign w:val="center"/>
          </w:tcPr>
          <w:p w14:paraId="360917FC" w14:textId="1FB8FA9D"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31</w:t>
            </w:r>
          </w:p>
        </w:tc>
        <w:tc>
          <w:tcPr>
            <w:tcW w:w="1898" w:type="dxa"/>
            <w:vAlign w:val="center"/>
          </w:tcPr>
          <w:p w14:paraId="360917FD" w14:textId="06B30FD2"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221</w:t>
            </w:r>
          </w:p>
        </w:tc>
        <w:tc>
          <w:tcPr>
            <w:tcW w:w="0" w:type="auto"/>
            <w:vAlign w:val="center"/>
          </w:tcPr>
          <w:p w14:paraId="360917FE" w14:textId="08C24A07"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1,321</w:t>
            </w:r>
          </w:p>
        </w:tc>
        <w:tc>
          <w:tcPr>
            <w:tcW w:w="0" w:type="auto"/>
            <w:vAlign w:val="center"/>
          </w:tcPr>
          <w:p w14:paraId="360917FF" w14:textId="0F4D5357"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37C74">
              <w:t>1.82%</w:t>
            </w:r>
          </w:p>
        </w:tc>
      </w:tr>
      <w:tr w:rsidR="00BC483C" w:rsidRPr="004C2412" w14:paraId="3609180A" w14:textId="279048F2" w:rsidTr="00BC483C">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50" w:type="dxa"/>
            <w:vAlign w:val="center"/>
          </w:tcPr>
          <w:p w14:paraId="36091801" w14:textId="057EEEF0" w:rsidR="00BC483C" w:rsidRPr="004C2412" w:rsidRDefault="00BC483C" w:rsidP="00BC483C">
            <w:pPr>
              <w:spacing w:before="0"/>
              <w:ind w:left="0"/>
            </w:pPr>
            <w:r w:rsidRPr="004C2412">
              <w:t>Total</w:t>
            </w:r>
          </w:p>
        </w:tc>
        <w:tc>
          <w:tcPr>
            <w:tcW w:w="1307" w:type="dxa"/>
            <w:vAlign w:val="center"/>
          </w:tcPr>
          <w:p w14:paraId="36091802" w14:textId="2308EAF3" w:rsidR="00BC483C" w:rsidRPr="004C2412" w:rsidRDefault="00BC483C" w:rsidP="00BC483C">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37C74">
              <w:t>1,933</w:t>
            </w:r>
          </w:p>
        </w:tc>
        <w:tc>
          <w:tcPr>
            <w:tcW w:w="1307" w:type="dxa"/>
            <w:vAlign w:val="center"/>
          </w:tcPr>
          <w:p w14:paraId="36091803" w14:textId="0F78E45F" w:rsidR="00BC483C" w:rsidRPr="004C2412" w:rsidRDefault="00BC483C" w:rsidP="00BC483C">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37C74">
              <w:t>7,206</w:t>
            </w:r>
          </w:p>
        </w:tc>
        <w:tc>
          <w:tcPr>
            <w:tcW w:w="1307" w:type="dxa"/>
            <w:vAlign w:val="center"/>
          </w:tcPr>
          <w:p w14:paraId="36091804" w14:textId="2855E619" w:rsidR="00BC483C" w:rsidRPr="004C2412" w:rsidRDefault="00BC483C" w:rsidP="00BC483C">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37C74">
              <w:t>4,334</w:t>
            </w:r>
          </w:p>
        </w:tc>
        <w:tc>
          <w:tcPr>
            <w:tcW w:w="909" w:type="dxa"/>
            <w:vAlign w:val="center"/>
          </w:tcPr>
          <w:p w14:paraId="36091805" w14:textId="501E18D0" w:rsidR="00BC483C" w:rsidRPr="004C2412" w:rsidRDefault="00BC483C" w:rsidP="00BC483C">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37C74">
              <w:t>3,454</w:t>
            </w:r>
          </w:p>
        </w:tc>
        <w:tc>
          <w:tcPr>
            <w:tcW w:w="1343" w:type="dxa"/>
            <w:vAlign w:val="center"/>
          </w:tcPr>
          <w:p w14:paraId="36091806" w14:textId="0AD70BA1" w:rsidR="00BC483C" w:rsidRPr="004C2412" w:rsidRDefault="00BC483C" w:rsidP="00BC483C">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37C74">
              <w:t>845</w:t>
            </w:r>
          </w:p>
        </w:tc>
        <w:tc>
          <w:tcPr>
            <w:tcW w:w="1898" w:type="dxa"/>
            <w:vAlign w:val="center"/>
          </w:tcPr>
          <w:p w14:paraId="36091807" w14:textId="51421C67" w:rsidR="00BC483C" w:rsidRPr="004C2412" w:rsidRDefault="00BC483C" w:rsidP="00BC483C">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37C74">
              <w:t>17,772</w:t>
            </w:r>
          </w:p>
        </w:tc>
        <w:tc>
          <w:tcPr>
            <w:tcW w:w="0" w:type="auto"/>
            <w:vAlign w:val="center"/>
          </w:tcPr>
          <w:p w14:paraId="36091808" w14:textId="52521530" w:rsidR="00BC483C" w:rsidRPr="004C2412" w:rsidRDefault="00BC483C" w:rsidP="00BC483C">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37C74">
              <w:t>72,692</w:t>
            </w:r>
          </w:p>
        </w:tc>
        <w:tc>
          <w:tcPr>
            <w:tcW w:w="0" w:type="auto"/>
            <w:vAlign w:val="center"/>
          </w:tcPr>
          <w:p w14:paraId="36091809" w14:textId="629742AC" w:rsidR="00BC483C" w:rsidRPr="004C2412" w:rsidRDefault="00BC483C" w:rsidP="00BC483C">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37C74">
              <w:t>100.00%</w:t>
            </w:r>
          </w:p>
        </w:tc>
      </w:tr>
    </w:tbl>
    <w:p w14:paraId="3609180B" w14:textId="4D2330BE" w:rsidR="00A44E16" w:rsidRPr="004C2412" w:rsidRDefault="00A44E16" w:rsidP="00A609AA">
      <w:pPr>
        <w:ind w:left="0"/>
      </w:pPr>
      <w:r w:rsidRPr="004C2412">
        <w:t>Failure to attend an initial appointment with a third party, such as Work for the Dole host organisation, can result in a Connection Failure.</w:t>
      </w:r>
    </w:p>
    <w:p w14:paraId="3609180E" w14:textId="010B81DC" w:rsidR="00D258E8" w:rsidRPr="004C2412" w:rsidRDefault="00A44E16" w:rsidP="00A609AA">
      <w:pPr>
        <w:ind w:left="0"/>
        <w:rPr>
          <w:noProof/>
        </w:rPr>
      </w:pPr>
      <w:r w:rsidRPr="004C2412">
        <w:rPr>
          <w:sz w:val="28"/>
          <w:szCs w:val="28"/>
          <w:vertAlign w:val="superscript"/>
        </w:rPr>
        <w:t xml:space="preserve">^ </w:t>
      </w:r>
      <w:r w:rsidRPr="004C2412">
        <w:rPr>
          <w:noProof/>
        </w:rPr>
        <w:t>Non-attendance at employment services provider appointments is reported through a Non-Attendance Report and results in an income support payment suspension rather than a Connection Failure. Providers can recommend to the Department of Human Services that a financial penalty be applied where they consider the job seeker had no reasonable excuse for non-attendance at the appointment.</w:t>
      </w:r>
    </w:p>
    <w:p w14:paraId="1F6EEC22" w14:textId="55BBB071" w:rsidR="00CF2936" w:rsidRPr="004C2412" w:rsidRDefault="00D6515C" w:rsidP="00A609AA">
      <w:pPr>
        <w:pStyle w:val="Heading3"/>
        <w:numPr>
          <w:ilvl w:val="0"/>
          <w:numId w:val="0"/>
        </w:numPr>
      </w:pPr>
      <w:bookmarkStart w:id="62" w:name="_Toc526864468"/>
      <w:r w:rsidRPr="004C2412">
        <w:t xml:space="preserve">15 d </w:t>
      </w:r>
      <w:r w:rsidR="00C95ED9" w:rsidRPr="004C2412">
        <w:t>–</w:t>
      </w:r>
      <w:r w:rsidRPr="004C2412">
        <w:t xml:space="preserve"> </w:t>
      </w:r>
      <w:r w:rsidR="00CF2936" w:rsidRPr="004C2412">
        <w:t>Income Support Payment Suspensions</w:t>
      </w:r>
      <w:r w:rsidR="00C95ED9" w:rsidRPr="004C2412">
        <w:t xml:space="preserve"> - 1 </w:t>
      </w:r>
      <w:r w:rsidR="00BC483C">
        <w:t>April</w:t>
      </w:r>
      <w:r w:rsidR="00BC483C" w:rsidRPr="004C2412">
        <w:t xml:space="preserve"> </w:t>
      </w:r>
      <w:r w:rsidR="00C95ED9" w:rsidRPr="004C2412">
        <w:t>to 3</w:t>
      </w:r>
      <w:r w:rsidR="00BC483C">
        <w:t>0</w:t>
      </w:r>
      <w:r w:rsidR="00C95ED9" w:rsidRPr="004C2412">
        <w:t xml:space="preserve"> </w:t>
      </w:r>
      <w:r w:rsidR="00BC483C">
        <w:t>June</w:t>
      </w:r>
      <w:r w:rsidR="00840254" w:rsidRPr="004C2412">
        <w:t xml:space="preserve"> </w:t>
      </w:r>
      <w:r w:rsidR="00C95ED9" w:rsidRPr="004C2412">
        <w:t>201</w:t>
      </w:r>
      <w:r w:rsidR="00840254" w:rsidRPr="004C2412">
        <w:t>8</w:t>
      </w:r>
      <w:bookmarkEnd w:id="62"/>
    </w:p>
    <w:tbl>
      <w:tblPr>
        <w:tblStyle w:val="LeftAlignTable"/>
        <w:tblW w:w="0" w:type="auto"/>
        <w:tblInd w:w="-5" w:type="dxa"/>
        <w:tblLayout w:type="fixed"/>
        <w:tblLook w:val="04A0" w:firstRow="1" w:lastRow="0"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261"/>
        <w:gridCol w:w="1275"/>
        <w:gridCol w:w="1418"/>
        <w:gridCol w:w="1134"/>
        <w:gridCol w:w="1276"/>
        <w:gridCol w:w="1275"/>
        <w:gridCol w:w="1284"/>
        <w:gridCol w:w="2038"/>
        <w:gridCol w:w="1776"/>
      </w:tblGrid>
      <w:tr w:rsidR="00BB1E9F" w:rsidRPr="004C2412" w14:paraId="36091819" w14:textId="3AD2D654" w:rsidTr="001C410D">
        <w:trPr>
          <w:cnfStyle w:val="100000000000" w:firstRow="1" w:lastRow="0" w:firstColumn="0" w:lastColumn="0" w:oddVBand="0" w:evenVBand="0" w:oddHBand="0" w:evenHBand="0" w:firstRowFirstColumn="0" w:firstRowLastColumn="0" w:lastRowFirstColumn="0" w:lastRowLastColumn="0"/>
          <w:trHeight w:val="1260"/>
          <w:tblHead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vAlign w:val="center"/>
          </w:tcPr>
          <w:p w14:paraId="36091810" w14:textId="4265CA39" w:rsidR="00BB1E9F" w:rsidRPr="004C2412" w:rsidRDefault="00CF2936" w:rsidP="00910012">
            <w:pPr>
              <w:spacing w:before="0"/>
              <w:ind w:left="0"/>
              <w:rPr>
                <w:noProof/>
              </w:rPr>
            </w:pPr>
            <w:r w:rsidRPr="004C2412">
              <w:rPr>
                <w:noProof/>
              </w:rPr>
              <w:t xml:space="preserve">Types </w:t>
            </w:r>
            <w:r w:rsidR="00FD0B70" w:rsidRPr="004C2412">
              <w:rPr>
                <w:noProof/>
              </w:rPr>
              <w:t xml:space="preserve">Income </w:t>
            </w:r>
            <w:r w:rsidR="0092180C" w:rsidRPr="004C2412">
              <w:rPr>
                <w:noProof/>
              </w:rPr>
              <w:t>S</w:t>
            </w:r>
            <w:r w:rsidR="00FD0B70" w:rsidRPr="004C2412">
              <w:rPr>
                <w:noProof/>
              </w:rPr>
              <w:t xml:space="preserve">upport </w:t>
            </w:r>
            <w:r w:rsidR="0092180C" w:rsidRPr="004C2412">
              <w:rPr>
                <w:noProof/>
              </w:rPr>
              <w:t>P</w:t>
            </w:r>
            <w:r w:rsidR="00FD0B70" w:rsidRPr="004C2412">
              <w:rPr>
                <w:noProof/>
              </w:rPr>
              <w:t xml:space="preserve">ayment </w:t>
            </w:r>
            <w:r w:rsidR="0092180C" w:rsidRPr="004C2412">
              <w:rPr>
                <w:noProof/>
              </w:rPr>
              <w:t>S</w:t>
            </w:r>
            <w:r w:rsidR="00FD0B70" w:rsidRPr="004C2412">
              <w:rPr>
                <w:noProof/>
              </w:rPr>
              <w:t>uspensions</w:t>
            </w:r>
          </w:p>
        </w:tc>
        <w:tc>
          <w:tcPr>
            <w:tcW w:w="1275" w:type="dxa"/>
            <w:vAlign w:val="center"/>
          </w:tcPr>
          <w:p w14:paraId="36091811" w14:textId="560BBDB4"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Under 21</w:t>
            </w:r>
          </w:p>
        </w:tc>
        <w:tc>
          <w:tcPr>
            <w:tcW w:w="1418" w:type="dxa"/>
            <w:vAlign w:val="center"/>
          </w:tcPr>
          <w:p w14:paraId="36091812" w14:textId="1B7989CB"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21 - 30</w:t>
            </w:r>
          </w:p>
        </w:tc>
        <w:tc>
          <w:tcPr>
            <w:tcW w:w="1134" w:type="dxa"/>
            <w:vAlign w:val="center"/>
          </w:tcPr>
          <w:p w14:paraId="36091813" w14:textId="20A7FDB3"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31 - 40</w:t>
            </w:r>
          </w:p>
        </w:tc>
        <w:tc>
          <w:tcPr>
            <w:tcW w:w="1276" w:type="dxa"/>
            <w:vAlign w:val="center"/>
          </w:tcPr>
          <w:p w14:paraId="36091814" w14:textId="67BC8468"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41 - 54</w:t>
            </w:r>
          </w:p>
        </w:tc>
        <w:tc>
          <w:tcPr>
            <w:tcW w:w="1275" w:type="dxa"/>
            <w:vAlign w:val="center"/>
          </w:tcPr>
          <w:p w14:paraId="36091815" w14:textId="46307574"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55 +</w:t>
            </w:r>
          </w:p>
        </w:tc>
        <w:tc>
          <w:tcPr>
            <w:tcW w:w="1284" w:type="dxa"/>
            <w:vAlign w:val="center"/>
          </w:tcPr>
          <w:p w14:paraId="36091816" w14:textId="4C16BDA7"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Total</w:t>
            </w:r>
          </w:p>
        </w:tc>
        <w:tc>
          <w:tcPr>
            <w:tcW w:w="2038" w:type="dxa"/>
            <w:vAlign w:val="center"/>
          </w:tcPr>
          <w:p w14:paraId="36091817" w14:textId="1F7699B2"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Financial YTD</w:t>
            </w:r>
          </w:p>
        </w:tc>
        <w:tc>
          <w:tcPr>
            <w:tcW w:w="1776" w:type="dxa"/>
            <w:vAlign w:val="center"/>
          </w:tcPr>
          <w:p w14:paraId="36091818" w14:textId="23F2F5F7" w:rsidR="00BB1E9F" w:rsidRPr="004C2412" w:rsidRDefault="00BB1E9F"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Financial YTD%</w:t>
            </w:r>
          </w:p>
        </w:tc>
      </w:tr>
      <w:tr w:rsidR="00BC483C" w:rsidRPr="004C2412" w14:paraId="36091823" w14:textId="04C5BC63" w:rsidTr="00BC483C">
        <w:tc>
          <w:tcPr>
            <w:cnfStyle w:val="001000000000" w:firstRow="0" w:lastRow="0" w:firstColumn="1" w:lastColumn="0" w:oddVBand="0" w:evenVBand="0" w:oddHBand="0" w:evenHBand="0" w:firstRowFirstColumn="0" w:firstRowLastColumn="0" w:lastRowFirstColumn="0" w:lastRowLastColumn="0"/>
            <w:tcW w:w="3261" w:type="dxa"/>
            <w:vAlign w:val="center"/>
          </w:tcPr>
          <w:p w14:paraId="3609181A" w14:textId="2F7030FE" w:rsidR="00BC483C" w:rsidRPr="004C2412" w:rsidRDefault="00BC483C" w:rsidP="00BC483C">
            <w:pPr>
              <w:spacing w:before="0"/>
              <w:ind w:left="0"/>
              <w:rPr>
                <w:noProof/>
              </w:rPr>
            </w:pPr>
            <w:r w:rsidRPr="004C2412">
              <w:rPr>
                <w:bCs/>
              </w:rPr>
              <w:t>Income Support Payment Suspension –non-attendance at appointment</w:t>
            </w:r>
          </w:p>
        </w:tc>
        <w:tc>
          <w:tcPr>
            <w:tcW w:w="1275" w:type="dxa"/>
            <w:vAlign w:val="center"/>
          </w:tcPr>
          <w:p w14:paraId="3609181B" w14:textId="112D6E2A"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45,127</w:t>
            </w:r>
          </w:p>
        </w:tc>
        <w:tc>
          <w:tcPr>
            <w:tcW w:w="1418" w:type="dxa"/>
            <w:vAlign w:val="center"/>
          </w:tcPr>
          <w:p w14:paraId="3609181C" w14:textId="42B63495"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124,705</w:t>
            </w:r>
          </w:p>
        </w:tc>
        <w:tc>
          <w:tcPr>
            <w:tcW w:w="1134" w:type="dxa"/>
            <w:vAlign w:val="center"/>
          </w:tcPr>
          <w:p w14:paraId="3609181D" w14:textId="33F6F9BC"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89,965</w:t>
            </w:r>
          </w:p>
        </w:tc>
        <w:tc>
          <w:tcPr>
            <w:tcW w:w="1276" w:type="dxa"/>
            <w:vAlign w:val="center"/>
          </w:tcPr>
          <w:p w14:paraId="3609181E" w14:textId="230A6113"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79,596</w:t>
            </w:r>
          </w:p>
        </w:tc>
        <w:tc>
          <w:tcPr>
            <w:tcW w:w="1275" w:type="dxa"/>
            <w:vAlign w:val="center"/>
          </w:tcPr>
          <w:p w14:paraId="3609181F" w14:textId="709B1CBD"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18,321</w:t>
            </w:r>
          </w:p>
        </w:tc>
        <w:tc>
          <w:tcPr>
            <w:tcW w:w="1284" w:type="dxa"/>
            <w:vAlign w:val="center"/>
          </w:tcPr>
          <w:p w14:paraId="36091820" w14:textId="50423A2F"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357,714</w:t>
            </w:r>
          </w:p>
        </w:tc>
        <w:tc>
          <w:tcPr>
            <w:tcW w:w="2038" w:type="dxa"/>
            <w:vAlign w:val="center"/>
          </w:tcPr>
          <w:p w14:paraId="36091821" w14:textId="574E0D95"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1,505,766</w:t>
            </w:r>
          </w:p>
        </w:tc>
        <w:tc>
          <w:tcPr>
            <w:tcW w:w="1776" w:type="dxa"/>
            <w:vAlign w:val="center"/>
          </w:tcPr>
          <w:p w14:paraId="36091822" w14:textId="3E1A6C04"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93.56%</w:t>
            </w:r>
          </w:p>
        </w:tc>
      </w:tr>
      <w:tr w:rsidR="00BC483C" w:rsidRPr="004C2412" w14:paraId="3609182D" w14:textId="107E2D13" w:rsidTr="00BC483C">
        <w:tc>
          <w:tcPr>
            <w:cnfStyle w:val="001000000000" w:firstRow="0" w:lastRow="0" w:firstColumn="1" w:lastColumn="0" w:oddVBand="0" w:evenVBand="0" w:oddHBand="0" w:evenHBand="0" w:firstRowFirstColumn="0" w:firstRowLastColumn="0" w:lastRowFirstColumn="0" w:lastRowLastColumn="0"/>
            <w:tcW w:w="3261" w:type="dxa"/>
            <w:vAlign w:val="center"/>
          </w:tcPr>
          <w:p w14:paraId="36091824" w14:textId="37E7971F" w:rsidR="00BC483C" w:rsidRPr="004C2412" w:rsidRDefault="00BC483C" w:rsidP="00BC483C">
            <w:pPr>
              <w:spacing w:before="0"/>
              <w:ind w:left="0"/>
              <w:rPr>
                <w:bCs/>
              </w:rPr>
            </w:pPr>
            <w:r w:rsidRPr="004C2412">
              <w:rPr>
                <w:bCs/>
              </w:rPr>
              <w:t>Income Support Payment Suspension – disengagement from activity</w:t>
            </w:r>
          </w:p>
        </w:tc>
        <w:tc>
          <w:tcPr>
            <w:tcW w:w="1275" w:type="dxa"/>
            <w:vAlign w:val="center"/>
          </w:tcPr>
          <w:p w14:paraId="36091825" w14:textId="2C852460"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2,710</w:t>
            </w:r>
          </w:p>
        </w:tc>
        <w:tc>
          <w:tcPr>
            <w:tcW w:w="1418" w:type="dxa"/>
            <w:vAlign w:val="center"/>
          </w:tcPr>
          <w:p w14:paraId="36091826" w14:textId="37B4D3BC"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8,798</w:t>
            </w:r>
          </w:p>
        </w:tc>
        <w:tc>
          <w:tcPr>
            <w:tcW w:w="1134" w:type="dxa"/>
            <w:vAlign w:val="center"/>
          </w:tcPr>
          <w:p w14:paraId="36091827" w14:textId="504E72F3"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6,341</w:t>
            </w:r>
          </w:p>
        </w:tc>
        <w:tc>
          <w:tcPr>
            <w:tcW w:w="1276" w:type="dxa"/>
            <w:vAlign w:val="center"/>
          </w:tcPr>
          <w:p w14:paraId="36091828" w14:textId="767A8B9F"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5,331</w:t>
            </w:r>
          </w:p>
        </w:tc>
        <w:tc>
          <w:tcPr>
            <w:tcW w:w="1275" w:type="dxa"/>
            <w:vAlign w:val="center"/>
          </w:tcPr>
          <w:p w14:paraId="36091829" w14:textId="409D317B"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630</w:t>
            </w:r>
          </w:p>
        </w:tc>
        <w:tc>
          <w:tcPr>
            <w:tcW w:w="1284" w:type="dxa"/>
            <w:vAlign w:val="center"/>
          </w:tcPr>
          <w:p w14:paraId="3609182A" w14:textId="665C421D"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23,810</w:t>
            </w:r>
          </w:p>
        </w:tc>
        <w:tc>
          <w:tcPr>
            <w:tcW w:w="2038" w:type="dxa"/>
            <w:vAlign w:val="center"/>
          </w:tcPr>
          <w:p w14:paraId="3609182B" w14:textId="03DCB8F1"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103,655</w:t>
            </w:r>
          </w:p>
        </w:tc>
        <w:tc>
          <w:tcPr>
            <w:tcW w:w="1776" w:type="dxa"/>
            <w:vAlign w:val="center"/>
          </w:tcPr>
          <w:p w14:paraId="3609182C" w14:textId="3553F39E"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C0AC8">
              <w:t>6.44%</w:t>
            </w:r>
          </w:p>
        </w:tc>
      </w:tr>
      <w:tr w:rsidR="00BC483C" w:rsidRPr="004C2412" w14:paraId="36091837" w14:textId="6133F75C" w:rsidTr="00BC483C">
        <w:tc>
          <w:tcPr>
            <w:cnfStyle w:val="001000000000" w:firstRow="0" w:lastRow="0" w:firstColumn="1" w:lastColumn="0" w:oddVBand="0" w:evenVBand="0" w:oddHBand="0" w:evenHBand="0" w:firstRowFirstColumn="0" w:firstRowLastColumn="0" w:lastRowFirstColumn="0" w:lastRowLastColumn="0"/>
            <w:tcW w:w="3261" w:type="dxa"/>
            <w:vAlign w:val="center"/>
          </w:tcPr>
          <w:p w14:paraId="3609182E" w14:textId="23EC95F9" w:rsidR="00BC483C" w:rsidRPr="004C2412" w:rsidRDefault="00BC483C" w:rsidP="00BC483C">
            <w:pPr>
              <w:spacing w:before="0"/>
              <w:ind w:left="0"/>
              <w:rPr>
                <w:b/>
                <w:bCs/>
              </w:rPr>
            </w:pPr>
            <w:r w:rsidRPr="004C2412">
              <w:rPr>
                <w:b/>
                <w:bCs/>
              </w:rPr>
              <w:t>Total Income Support Payment Suspensions</w:t>
            </w:r>
          </w:p>
        </w:tc>
        <w:tc>
          <w:tcPr>
            <w:tcW w:w="1275" w:type="dxa"/>
            <w:vAlign w:val="center"/>
          </w:tcPr>
          <w:p w14:paraId="3609182F" w14:textId="5B85DAE7"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AC0AC8">
              <w:t>47,837</w:t>
            </w:r>
          </w:p>
        </w:tc>
        <w:tc>
          <w:tcPr>
            <w:tcW w:w="1418" w:type="dxa"/>
            <w:vAlign w:val="center"/>
          </w:tcPr>
          <w:p w14:paraId="36091830" w14:textId="29EA0C3C"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AC0AC8">
              <w:t>133,503</w:t>
            </w:r>
          </w:p>
        </w:tc>
        <w:tc>
          <w:tcPr>
            <w:tcW w:w="1134" w:type="dxa"/>
            <w:vAlign w:val="center"/>
          </w:tcPr>
          <w:p w14:paraId="36091831" w14:textId="2F096932"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AC0AC8">
              <w:t>96,306</w:t>
            </w:r>
          </w:p>
        </w:tc>
        <w:tc>
          <w:tcPr>
            <w:tcW w:w="1276" w:type="dxa"/>
            <w:vAlign w:val="center"/>
          </w:tcPr>
          <w:p w14:paraId="36091832" w14:textId="54EC68A0"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AC0AC8">
              <w:t>84,927</w:t>
            </w:r>
          </w:p>
        </w:tc>
        <w:tc>
          <w:tcPr>
            <w:tcW w:w="1275" w:type="dxa"/>
            <w:vAlign w:val="center"/>
          </w:tcPr>
          <w:p w14:paraId="36091833" w14:textId="5C44E07C"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AC0AC8">
              <w:t>18,951</w:t>
            </w:r>
          </w:p>
        </w:tc>
        <w:tc>
          <w:tcPr>
            <w:tcW w:w="1284" w:type="dxa"/>
            <w:vAlign w:val="center"/>
          </w:tcPr>
          <w:p w14:paraId="36091834" w14:textId="73BE1D13"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AC0AC8">
              <w:t>381,524</w:t>
            </w:r>
          </w:p>
        </w:tc>
        <w:tc>
          <w:tcPr>
            <w:tcW w:w="2038" w:type="dxa"/>
            <w:vAlign w:val="center"/>
          </w:tcPr>
          <w:p w14:paraId="36091835" w14:textId="1E6BD2EE"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AC0AC8">
              <w:t>1,609,421</w:t>
            </w:r>
          </w:p>
        </w:tc>
        <w:tc>
          <w:tcPr>
            <w:tcW w:w="1776" w:type="dxa"/>
            <w:vAlign w:val="center"/>
          </w:tcPr>
          <w:p w14:paraId="36091836" w14:textId="11E2BB7E" w:rsidR="00BC483C" w:rsidRPr="004C2412" w:rsidRDefault="00BC483C" w:rsidP="00BC483C">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AC0AC8">
              <w:t>100.00%</w:t>
            </w:r>
          </w:p>
        </w:tc>
      </w:tr>
    </w:tbl>
    <w:p w14:paraId="36091839" w14:textId="16F494E3" w:rsidR="005532F7" w:rsidRPr="004C2412" w:rsidRDefault="00BF54B3" w:rsidP="00A609AA">
      <w:pPr>
        <w:ind w:left="0"/>
        <w:rPr>
          <w:noProof/>
        </w:rPr>
      </w:pPr>
      <w:r w:rsidRPr="004C2412">
        <w:rPr>
          <w:noProof/>
        </w:rPr>
        <w:t>Income support payment suspensions are applied when a job seeker fails to attend an appointment with their employment services provider and a Non-Attendance Report is submitted, or when a job seeker disengages from an activity and their provider indicates on a No Show No Pay Participation Report that they wish to discuss this with the job seeker.</w:t>
      </w:r>
    </w:p>
    <w:p w14:paraId="0A93F9D1" w14:textId="69B9F34A" w:rsidR="00BF33EB" w:rsidRPr="004C2412" w:rsidRDefault="00BF33EB">
      <w:pPr>
        <w:spacing w:before="0"/>
        <w:ind w:left="0"/>
      </w:pPr>
      <w:r w:rsidRPr="004C2412">
        <w:rPr>
          <w:b/>
        </w:rPr>
        <w:br w:type="page"/>
      </w:r>
    </w:p>
    <w:p w14:paraId="5B593E88" w14:textId="79EB2511" w:rsidR="00422B96" w:rsidRPr="004C2412" w:rsidRDefault="00D6515C" w:rsidP="00A609AA">
      <w:pPr>
        <w:pStyle w:val="Heading3"/>
        <w:numPr>
          <w:ilvl w:val="0"/>
          <w:numId w:val="0"/>
        </w:numPr>
      </w:pPr>
      <w:bookmarkStart w:id="63" w:name="_Toc526864469"/>
      <w:r w:rsidRPr="004C2412">
        <w:t xml:space="preserve">15 e </w:t>
      </w:r>
      <w:r w:rsidR="00C95ED9" w:rsidRPr="004C2412">
        <w:t>–</w:t>
      </w:r>
      <w:r w:rsidRPr="004C2412">
        <w:t xml:space="preserve"> </w:t>
      </w:r>
      <w:r w:rsidR="00422B96" w:rsidRPr="004C2412">
        <w:t>Compr</w:t>
      </w:r>
      <w:r w:rsidR="00244CB0" w:rsidRPr="004C2412">
        <w:t>ehensive Compliance Assessments</w:t>
      </w:r>
      <w:r w:rsidR="00C95ED9" w:rsidRPr="004C2412">
        <w:t xml:space="preserve"> - 1 </w:t>
      </w:r>
      <w:r w:rsidR="00184512">
        <w:t>April</w:t>
      </w:r>
      <w:r w:rsidR="00184512" w:rsidRPr="004C2412">
        <w:t xml:space="preserve"> </w:t>
      </w:r>
      <w:r w:rsidR="00C95ED9" w:rsidRPr="004C2412">
        <w:t>to 3</w:t>
      </w:r>
      <w:r w:rsidR="00184512">
        <w:t>0</w:t>
      </w:r>
      <w:r w:rsidR="00C95ED9" w:rsidRPr="004C2412">
        <w:t xml:space="preserve"> </w:t>
      </w:r>
      <w:r w:rsidR="00184512">
        <w:t>June</w:t>
      </w:r>
      <w:r w:rsidR="00C95ED9" w:rsidRPr="004C2412">
        <w:t xml:space="preserve"> 201</w:t>
      </w:r>
      <w:r w:rsidR="00840254" w:rsidRPr="004C2412">
        <w:t>8</w:t>
      </w:r>
      <w:bookmarkEnd w:id="63"/>
    </w:p>
    <w:tbl>
      <w:tblPr>
        <w:tblStyle w:val="LeftAlignTable"/>
        <w:tblW w:w="0" w:type="auto"/>
        <w:tblInd w:w="-5" w:type="dxa"/>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407"/>
        <w:gridCol w:w="1159"/>
        <w:gridCol w:w="1147"/>
        <w:gridCol w:w="1147"/>
        <w:gridCol w:w="1147"/>
        <w:gridCol w:w="1148"/>
        <w:gridCol w:w="1427"/>
        <w:gridCol w:w="1433"/>
        <w:gridCol w:w="1433"/>
      </w:tblGrid>
      <w:tr w:rsidR="0060590F" w:rsidRPr="004C2412" w14:paraId="36091844" w14:textId="0E3D76E5" w:rsidTr="006709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07" w:type="dxa"/>
            <w:shd w:val="clear" w:color="auto" w:fill="auto"/>
            <w:vAlign w:val="center"/>
          </w:tcPr>
          <w:p w14:paraId="3609183B" w14:textId="6829F8DF" w:rsidR="0060590F" w:rsidRPr="004C2412" w:rsidRDefault="00CF2936" w:rsidP="00910012">
            <w:pPr>
              <w:spacing w:before="0"/>
              <w:ind w:left="0"/>
            </w:pPr>
            <w:r w:rsidRPr="004C2412">
              <w:t xml:space="preserve">Finalised </w:t>
            </w:r>
            <w:r w:rsidR="0060590F" w:rsidRPr="004C2412">
              <w:t>CCA Outcome</w:t>
            </w:r>
          </w:p>
        </w:tc>
        <w:tc>
          <w:tcPr>
            <w:tcW w:w="1159" w:type="dxa"/>
            <w:vAlign w:val="center"/>
          </w:tcPr>
          <w:p w14:paraId="3609183C" w14:textId="2D3D64A5" w:rsidR="0060590F" w:rsidRPr="004C2412" w:rsidRDefault="0060590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Under 21</w:t>
            </w:r>
          </w:p>
        </w:tc>
        <w:tc>
          <w:tcPr>
            <w:tcW w:w="1147" w:type="dxa"/>
            <w:vAlign w:val="center"/>
          </w:tcPr>
          <w:p w14:paraId="3609183D" w14:textId="274ADB6B" w:rsidR="0060590F" w:rsidRPr="004C2412" w:rsidRDefault="0060590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21 - 30</w:t>
            </w:r>
          </w:p>
        </w:tc>
        <w:tc>
          <w:tcPr>
            <w:tcW w:w="1147" w:type="dxa"/>
            <w:vAlign w:val="center"/>
          </w:tcPr>
          <w:p w14:paraId="3609183E" w14:textId="7DD06AAA" w:rsidR="0060590F" w:rsidRPr="004C2412" w:rsidRDefault="0060590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31 - 40</w:t>
            </w:r>
          </w:p>
        </w:tc>
        <w:tc>
          <w:tcPr>
            <w:tcW w:w="1147" w:type="dxa"/>
            <w:vAlign w:val="center"/>
          </w:tcPr>
          <w:p w14:paraId="3609183F" w14:textId="3F98F0F2" w:rsidR="0060590F" w:rsidRPr="004C2412" w:rsidRDefault="0060590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41 - 54</w:t>
            </w:r>
          </w:p>
        </w:tc>
        <w:tc>
          <w:tcPr>
            <w:tcW w:w="1148" w:type="dxa"/>
            <w:vAlign w:val="center"/>
          </w:tcPr>
          <w:p w14:paraId="36091840" w14:textId="6960510C" w:rsidR="0060590F" w:rsidRPr="004C2412" w:rsidRDefault="0060590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55 +</w:t>
            </w:r>
          </w:p>
        </w:tc>
        <w:tc>
          <w:tcPr>
            <w:tcW w:w="1427" w:type="dxa"/>
            <w:vAlign w:val="center"/>
          </w:tcPr>
          <w:p w14:paraId="36091841" w14:textId="2F123119" w:rsidR="0060590F" w:rsidRPr="004C2412" w:rsidRDefault="0060590F"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433" w:type="dxa"/>
            <w:vAlign w:val="center"/>
          </w:tcPr>
          <w:p w14:paraId="36091842" w14:textId="54FE514A" w:rsidR="0060590F" w:rsidRPr="004C2412" w:rsidRDefault="00D370FD"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c>
          <w:tcPr>
            <w:tcW w:w="1433" w:type="dxa"/>
            <w:vAlign w:val="center"/>
          </w:tcPr>
          <w:p w14:paraId="36091843" w14:textId="705F2C90" w:rsidR="0060590F" w:rsidRPr="004C2412" w:rsidRDefault="00D370FD"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r>
      <w:tr w:rsidR="00184512" w:rsidRPr="004C2412" w14:paraId="3609184E" w14:textId="751198F1" w:rsidTr="00910012">
        <w:trPr>
          <w:trHeight w:val="340"/>
        </w:trPr>
        <w:tc>
          <w:tcPr>
            <w:cnfStyle w:val="001000000000" w:firstRow="0" w:lastRow="0" w:firstColumn="1" w:lastColumn="0" w:oddVBand="0" w:evenVBand="0" w:oddHBand="0" w:evenHBand="0" w:firstRowFirstColumn="0" w:firstRowLastColumn="0" w:lastRowFirstColumn="0" w:lastRowLastColumn="0"/>
            <w:tcW w:w="4407" w:type="dxa"/>
            <w:vAlign w:val="center"/>
          </w:tcPr>
          <w:p w14:paraId="36091845" w14:textId="01E79120" w:rsidR="00184512" w:rsidRPr="004C2412" w:rsidRDefault="00184512" w:rsidP="00184512">
            <w:pPr>
              <w:spacing w:before="0"/>
              <w:ind w:left="0"/>
            </w:pPr>
            <w:r w:rsidRPr="004C2412">
              <w:t xml:space="preserve">JSCI updated - referral for </w:t>
            </w:r>
            <w:proofErr w:type="spellStart"/>
            <w:r w:rsidRPr="004C2412">
              <w:t>ESAt</w:t>
            </w:r>
            <w:proofErr w:type="spellEnd"/>
          </w:p>
        </w:tc>
        <w:tc>
          <w:tcPr>
            <w:tcW w:w="1159" w:type="dxa"/>
            <w:vAlign w:val="center"/>
          </w:tcPr>
          <w:p w14:paraId="36091846" w14:textId="43431CC1"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163</w:t>
            </w:r>
          </w:p>
        </w:tc>
        <w:tc>
          <w:tcPr>
            <w:tcW w:w="1147" w:type="dxa"/>
            <w:vAlign w:val="center"/>
          </w:tcPr>
          <w:p w14:paraId="36091847" w14:textId="16852E8F"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239</w:t>
            </w:r>
          </w:p>
        </w:tc>
        <w:tc>
          <w:tcPr>
            <w:tcW w:w="1147" w:type="dxa"/>
            <w:vAlign w:val="center"/>
          </w:tcPr>
          <w:p w14:paraId="36091848" w14:textId="3B36F81F"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109</w:t>
            </w:r>
          </w:p>
        </w:tc>
        <w:tc>
          <w:tcPr>
            <w:tcW w:w="1147" w:type="dxa"/>
            <w:vAlign w:val="center"/>
          </w:tcPr>
          <w:p w14:paraId="36091849" w14:textId="3336A5A9" w:rsidR="00184512" w:rsidRPr="004C2412" w:rsidRDefault="0034330C"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148" w:type="dxa"/>
            <w:vAlign w:val="center"/>
          </w:tcPr>
          <w:p w14:paraId="3609184A" w14:textId="06DA8BC3" w:rsidR="00184512" w:rsidRPr="004C2412" w:rsidRDefault="0034330C"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427" w:type="dxa"/>
            <w:vAlign w:val="center"/>
          </w:tcPr>
          <w:p w14:paraId="3609184B" w14:textId="6CAD13C4"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597</w:t>
            </w:r>
          </w:p>
        </w:tc>
        <w:tc>
          <w:tcPr>
            <w:tcW w:w="1433" w:type="dxa"/>
            <w:vAlign w:val="center"/>
          </w:tcPr>
          <w:p w14:paraId="3609184C" w14:textId="1179143D"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2,510</w:t>
            </w:r>
          </w:p>
        </w:tc>
        <w:tc>
          <w:tcPr>
            <w:tcW w:w="1433" w:type="dxa"/>
            <w:vAlign w:val="center"/>
          </w:tcPr>
          <w:p w14:paraId="3609184D" w14:textId="38472276"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2.76%</w:t>
            </w:r>
          </w:p>
        </w:tc>
      </w:tr>
      <w:tr w:rsidR="00184512" w:rsidRPr="004C2412" w14:paraId="36091858" w14:textId="24C8318C" w:rsidTr="00910012">
        <w:trPr>
          <w:trHeight w:val="340"/>
        </w:trPr>
        <w:tc>
          <w:tcPr>
            <w:cnfStyle w:val="001000000000" w:firstRow="0" w:lastRow="0" w:firstColumn="1" w:lastColumn="0" w:oddVBand="0" w:evenVBand="0" w:oddHBand="0" w:evenHBand="0" w:firstRowFirstColumn="0" w:firstRowLastColumn="0" w:lastRowFirstColumn="0" w:lastRowLastColumn="0"/>
            <w:tcW w:w="4407" w:type="dxa"/>
            <w:vAlign w:val="center"/>
          </w:tcPr>
          <w:p w14:paraId="3609184F" w14:textId="5907349B" w:rsidR="00184512" w:rsidRPr="004C2412" w:rsidRDefault="00184512" w:rsidP="00184512">
            <w:pPr>
              <w:spacing w:before="0"/>
              <w:ind w:left="0"/>
            </w:pPr>
            <w:r w:rsidRPr="004C2412">
              <w:t>JSCI updated - eligible for higher stream</w:t>
            </w:r>
          </w:p>
        </w:tc>
        <w:tc>
          <w:tcPr>
            <w:tcW w:w="1159" w:type="dxa"/>
            <w:vAlign w:val="center"/>
          </w:tcPr>
          <w:p w14:paraId="36091850" w14:textId="3D5BDCCF"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8</w:t>
            </w:r>
          </w:p>
        </w:tc>
        <w:tc>
          <w:tcPr>
            <w:tcW w:w="1147" w:type="dxa"/>
            <w:vAlign w:val="center"/>
          </w:tcPr>
          <w:p w14:paraId="36091851" w14:textId="7AE7126B"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22</w:t>
            </w:r>
          </w:p>
        </w:tc>
        <w:tc>
          <w:tcPr>
            <w:tcW w:w="1147" w:type="dxa"/>
            <w:vAlign w:val="center"/>
          </w:tcPr>
          <w:p w14:paraId="36091852" w14:textId="2DA11E66"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9</w:t>
            </w:r>
          </w:p>
        </w:tc>
        <w:tc>
          <w:tcPr>
            <w:tcW w:w="1147" w:type="dxa"/>
            <w:vAlign w:val="center"/>
          </w:tcPr>
          <w:p w14:paraId="36091853" w14:textId="22A6C13B" w:rsidR="00184512" w:rsidRPr="004C2412" w:rsidRDefault="0034330C"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148" w:type="dxa"/>
            <w:vAlign w:val="center"/>
          </w:tcPr>
          <w:p w14:paraId="36091854" w14:textId="1EECD7EB" w:rsidR="00184512" w:rsidRPr="004C2412" w:rsidRDefault="0034330C"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&lt;5</w:t>
            </w:r>
          </w:p>
        </w:tc>
        <w:tc>
          <w:tcPr>
            <w:tcW w:w="1427" w:type="dxa"/>
            <w:vAlign w:val="center"/>
          </w:tcPr>
          <w:p w14:paraId="36091855" w14:textId="7084FCBD"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46</w:t>
            </w:r>
          </w:p>
        </w:tc>
        <w:tc>
          <w:tcPr>
            <w:tcW w:w="1433" w:type="dxa"/>
            <w:vAlign w:val="center"/>
          </w:tcPr>
          <w:p w14:paraId="36091856" w14:textId="06A48C53"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149</w:t>
            </w:r>
          </w:p>
        </w:tc>
        <w:tc>
          <w:tcPr>
            <w:tcW w:w="1433" w:type="dxa"/>
            <w:vAlign w:val="center"/>
          </w:tcPr>
          <w:p w14:paraId="36091857" w14:textId="3B77F02C"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0.16%</w:t>
            </w:r>
          </w:p>
        </w:tc>
      </w:tr>
      <w:tr w:rsidR="00184512" w:rsidRPr="004C2412" w14:paraId="36091862" w14:textId="4BA815C2" w:rsidTr="00910012">
        <w:trPr>
          <w:trHeight w:val="340"/>
        </w:trPr>
        <w:tc>
          <w:tcPr>
            <w:cnfStyle w:val="001000000000" w:firstRow="0" w:lastRow="0" w:firstColumn="1" w:lastColumn="0" w:oddVBand="0" w:evenVBand="0" w:oddHBand="0" w:evenHBand="0" w:firstRowFirstColumn="0" w:firstRowLastColumn="0" w:lastRowFirstColumn="0" w:lastRowLastColumn="0"/>
            <w:tcW w:w="4407" w:type="dxa"/>
            <w:vAlign w:val="center"/>
          </w:tcPr>
          <w:p w14:paraId="36091859" w14:textId="3D4CD34F" w:rsidR="00184512" w:rsidRPr="004C2412" w:rsidRDefault="00184512" w:rsidP="00184512">
            <w:pPr>
              <w:spacing w:before="0"/>
              <w:ind w:left="0"/>
            </w:pPr>
            <w:r w:rsidRPr="004C2412">
              <w:t>Persistent non-compliance (Serious Failure)</w:t>
            </w:r>
          </w:p>
        </w:tc>
        <w:tc>
          <w:tcPr>
            <w:tcW w:w="1159" w:type="dxa"/>
            <w:vAlign w:val="center"/>
          </w:tcPr>
          <w:p w14:paraId="3609185A" w14:textId="7CAB2244"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987</w:t>
            </w:r>
          </w:p>
        </w:tc>
        <w:tc>
          <w:tcPr>
            <w:tcW w:w="1147" w:type="dxa"/>
            <w:vAlign w:val="center"/>
          </w:tcPr>
          <w:p w14:paraId="3609185B" w14:textId="70FE739C"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4,541</w:t>
            </w:r>
          </w:p>
        </w:tc>
        <w:tc>
          <w:tcPr>
            <w:tcW w:w="1147" w:type="dxa"/>
            <w:vAlign w:val="center"/>
          </w:tcPr>
          <w:p w14:paraId="3609185C" w14:textId="689C0420"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2</w:t>
            </w:r>
            <w:r>
              <w:t>,</w:t>
            </w:r>
            <w:r w:rsidRPr="00B10636">
              <w:t>943</w:t>
            </w:r>
          </w:p>
        </w:tc>
        <w:tc>
          <w:tcPr>
            <w:tcW w:w="1147" w:type="dxa"/>
            <w:vAlign w:val="center"/>
          </w:tcPr>
          <w:p w14:paraId="3609185D" w14:textId="3BA599A5"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1</w:t>
            </w:r>
            <w:r>
              <w:t>,</w:t>
            </w:r>
            <w:r w:rsidRPr="00B10636">
              <w:t>713</w:t>
            </w:r>
          </w:p>
        </w:tc>
        <w:tc>
          <w:tcPr>
            <w:tcW w:w="1148" w:type="dxa"/>
            <w:vAlign w:val="center"/>
          </w:tcPr>
          <w:p w14:paraId="3609185E" w14:textId="48B1F628"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72</w:t>
            </w:r>
          </w:p>
        </w:tc>
        <w:tc>
          <w:tcPr>
            <w:tcW w:w="1427" w:type="dxa"/>
            <w:vAlign w:val="center"/>
          </w:tcPr>
          <w:p w14:paraId="3609185F" w14:textId="0E867CF0"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10,256</w:t>
            </w:r>
          </w:p>
        </w:tc>
        <w:tc>
          <w:tcPr>
            <w:tcW w:w="1433" w:type="dxa"/>
            <w:vAlign w:val="center"/>
          </w:tcPr>
          <w:p w14:paraId="36091860" w14:textId="4685DC84"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40,049</w:t>
            </w:r>
          </w:p>
        </w:tc>
        <w:tc>
          <w:tcPr>
            <w:tcW w:w="1433" w:type="dxa"/>
            <w:vAlign w:val="center"/>
          </w:tcPr>
          <w:p w14:paraId="36091861" w14:textId="1522B828"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44.09%</w:t>
            </w:r>
          </w:p>
        </w:tc>
      </w:tr>
      <w:tr w:rsidR="00184512" w:rsidRPr="004C2412" w14:paraId="3609186C" w14:textId="31BC8C10" w:rsidTr="00910012">
        <w:trPr>
          <w:trHeight w:val="340"/>
        </w:trPr>
        <w:tc>
          <w:tcPr>
            <w:cnfStyle w:val="001000000000" w:firstRow="0" w:lastRow="0" w:firstColumn="1" w:lastColumn="0" w:oddVBand="0" w:evenVBand="0" w:oddHBand="0" w:evenHBand="0" w:firstRowFirstColumn="0" w:firstRowLastColumn="0" w:lastRowFirstColumn="0" w:lastRowLastColumn="0"/>
            <w:tcW w:w="4407" w:type="dxa"/>
            <w:vAlign w:val="center"/>
          </w:tcPr>
          <w:p w14:paraId="36091863" w14:textId="7853BF2E" w:rsidR="00184512" w:rsidRPr="004C2412" w:rsidRDefault="00184512" w:rsidP="00184512">
            <w:pPr>
              <w:spacing w:before="0"/>
              <w:ind w:left="0"/>
            </w:pPr>
            <w:r w:rsidRPr="004C2412">
              <w:t>Other outcomes</w:t>
            </w:r>
          </w:p>
        </w:tc>
        <w:tc>
          <w:tcPr>
            <w:tcW w:w="1159" w:type="dxa"/>
            <w:vAlign w:val="center"/>
          </w:tcPr>
          <w:p w14:paraId="36091864" w14:textId="05AEB38A"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1,613</w:t>
            </w:r>
          </w:p>
        </w:tc>
        <w:tc>
          <w:tcPr>
            <w:tcW w:w="1147" w:type="dxa"/>
            <w:vAlign w:val="center"/>
          </w:tcPr>
          <w:p w14:paraId="36091865" w14:textId="4C35C55E"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4,272</w:t>
            </w:r>
          </w:p>
        </w:tc>
        <w:tc>
          <w:tcPr>
            <w:tcW w:w="1147" w:type="dxa"/>
            <w:vAlign w:val="center"/>
          </w:tcPr>
          <w:p w14:paraId="36091866" w14:textId="6598F1F6"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2,611</w:t>
            </w:r>
          </w:p>
        </w:tc>
        <w:tc>
          <w:tcPr>
            <w:tcW w:w="1147" w:type="dxa"/>
            <w:vAlign w:val="center"/>
          </w:tcPr>
          <w:p w14:paraId="36091867" w14:textId="1A582D41"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1</w:t>
            </w:r>
            <w:r>
              <w:t>,</w:t>
            </w:r>
            <w:r w:rsidRPr="00B10636">
              <w:t>888</w:t>
            </w:r>
          </w:p>
        </w:tc>
        <w:tc>
          <w:tcPr>
            <w:tcW w:w="1148" w:type="dxa"/>
            <w:vAlign w:val="center"/>
          </w:tcPr>
          <w:p w14:paraId="36091868" w14:textId="046D6E37"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162</w:t>
            </w:r>
          </w:p>
        </w:tc>
        <w:tc>
          <w:tcPr>
            <w:tcW w:w="1427" w:type="dxa"/>
            <w:vAlign w:val="center"/>
          </w:tcPr>
          <w:p w14:paraId="36091869" w14:textId="629444A9"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10,546</w:t>
            </w:r>
          </w:p>
        </w:tc>
        <w:tc>
          <w:tcPr>
            <w:tcW w:w="1433" w:type="dxa"/>
            <w:vAlign w:val="center"/>
          </w:tcPr>
          <w:p w14:paraId="3609186A" w14:textId="6AAF26D4"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41,934</w:t>
            </w:r>
          </w:p>
        </w:tc>
        <w:tc>
          <w:tcPr>
            <w:tcW w:w="1433" w:type="dxa"/>
            <w:vAlign w:val="center"/>
          </w:tcPr>
          <w:p w14:paraId="3609186B" w14:textId="1313C289"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46.16%</w:t>
            </w:r>
          </w:p>
        </w:tc>
      </w:tr>
      <w:tr w:rsidR="00184512" w:rsidRPr="004C2412" w14:paraId="36091876" w14:textId="3D6E2004" w:rsidTr="00910012">
        <w:trPr>
          <w:trHeight w:val="340"/>
        </w:trPr>
        <w:tc>
          <w:tcPr>
            <w:cnfStyle w:val="001000000000" w:firstRow="0" w:lastRow="0" w:firstColumn="1" w:lastColumn="0" w:oddVBand="0" w:evenVBand="0" w:oddHBand="0" w:evenHBand="0" w:firstRowFirstColumn="0" w:firstRowLastColumn="0" w:lastRowFirstColumn="0" w:lastRowLastColumn="0"/>
            <w:tcW w:w="4407" w:type="dxa"/>
            <w:vAlign w:val="center"/>
          </w:tcPr>
          <w:p w14:paraId="3609186D" w14:textId="7BABDF88" w:rsidR="00184512" w:rsidRPr="004C2412" w:rsidRDefault="00184512" w:rsidP="00184512">
            <w:pPr>
              <w:spacing w:before="0"/>
              <w:ind w:left="0"/>
            </w:pPr>
            <w:r w:rsidRPr="004C2412">
              <w:t>No outcomes</w:t>
            </w:r>
          </w:p>
        </w:tc>
        <w:tc>
          <w:tcPr>
            <w:tcW w:w="1159" w:type="dxa"/>
            <w:vAlign w:val="center"/>
          </w:tcPr>
          <w:p w14:paraId="3609186E" w14:textId="01EA8CF9"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45</w:t>
            </w:r>
          </w:p>
        </w:tc>
        <w:tc>
          <w:tcPr>
            <w:tcW w:w="1147" w:type="dxa"/>
            <w:vAlign w:val="center"/>
          </w:tcPr>
          <w:p w14:paraId="3609186F" w14:textId="6AD72721"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691</w:t>
            </w:r>
          </w:p>
        </w:tc>
        <w:tc>
          <w:tcPr>
            <w:tcW w:w="1147" w:type="dxa"/>
            <w:vAlign w:val="center"/>
          </w:tcPr>
          <w:p w14:paraId="36091870" w14:textId="16EC7D1F"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460</w:t>
            </w:r>
          </w:p>
        </w:tc>
        <w:tc>
          <w:tcPr>
            <w:tcW w:w="1147" w:type="dxa"/>
            <w:vAlign w:val="center"/>
          </w:tcPr>
          <w:p w14:paraId="36091871" w14:textId="3EBA50A0"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317</w:t>
            </w:r>
          </w:p>
        </w:tc>
        <w:tc>
          <w:tcPr>
            <w:tcW w:w="1148" w:type="dxa"/>
            <w:vAlign w:val="center"/>
          </w:tcPr>
          <w:p w14:paraId="36091872" w14:textId="42458D54"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30</w:t>
            </w:r>
          </w:p>
        </w:tc>
        <w:tc>
          <w:tcPr>
            <w:tcW w:w="1427" w:type="dxa"/>
            <w:vAlign w:val="center"/>
          </w:tcPr>
          <w:p w14:paraId="36091873" w14:textId="2CE00EE5"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1,543</w:t>
            </w:r>
          </w:p>
        </w:tc>
        <w:tc>
          <w:tcPr>
            <w:tcW w:w="1433" w:type="dxa"/>
            <w:vAlign w:val="center"/>
          </w:tcPr>
          <w:p w14:paraId="36091874" w14:textId="3C622B65"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6,200</w:t>
            </w:r>
          </w:p>
        </w:tc>
        <w:tc>
          <w:tcPr>
            <w:tcW w:w="1433" w:type="dxa"/>
            <w:vAlign w:val="center"/>
          </w:tcPr>
          <w:p w14:paraId="36091875" w14:textId="30276CA6" w:rsidR="00184512" w:rsidRPr="004C2412" w:rsidRDefault="00184512" w:rsidP="00184512">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10636">
              <w:t>6.83%</w:t>
            </w:r>
          </w:p>
        </w:tc>
      </w:tr>
      <w:tr w:rsidR="00184512" w:rsidRPr="004C2412" w14:paraId="36091880" w14:textId="0F21E886" w:rsidTr="00910012">
        <w:trPr>
          <w:cnfStyle w:val="010000000000" w:firstRow="0" w:lastRow="1"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07" w:type="dxa"/>
            <w:vAlign w:val="center"/>
          </w:tcPr>
          <w:p w14:paraId="36091877" w14:textId="425FD461" w:rsidR="00184512" w:rsidRPr="004C2412" w:rsidRDefault="00184512" w:rsidP="00184512">
            <w:pPr>
              <w:spacing w:before="0"/>
              <w:ind w:left="0"/>
            </w:pPr>
            <w:r w:rsidRPr="004C2412">
              <w:t>Total</w:t>
            </w:r>
          </w:p>
        </w:tc>
        <w:tc>
          <w:tcPr>
            <w:tcW w:w="1159" w:type="dxa"/>
            <w:vAlign w:val="center"/>
          </w:tcPr>
          <w:p w14:paraId="36091878" w14:textId="2BB52822" w:rsidR="00184512" w:rsidRPr="004C2412" w:rsidRDefault="00184512" w:rsidP="00184512">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B10636">
              <w:t>2,816</w:t>
            </w:r>
          </w:p>
        </w:tc>
        <w:tc>
          <w:tcPr>
            <w:tcW w:w="1147" w:type="dxa"/>
            <w:vAlign w:val="center"/>
          </w:tcPr>
          <w:p w14:paraId="36091879" w14:textId="293365B5" w:rsidR="00184512" w:rsidRPr="004C2412" w:rsidRDefault="00184512" w:rsidP="00184512">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B10636">
              <w:t>9,765</w:t>
            </w:r>
          </w:p>
        </w:tc>
        <w:tc>
          <w:tcPr>
            <w:tcW w:w="1147" w:type="dxa"/>
            <w:vAlign w:val="center"/>
          </w:tcPr>
          <w:p w14:paraId="3609187A" w14:textId="5D2E0ADC" w:rsidR="00184512" w:rsidRPr="004C2412" w:rsidRDefault="00184512" w:rsidP="00184512">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B10636">
              <w:t>6,132</w:t>
            </w:r>
          </w:p>
        </w:tc>
        <w:tc>
          <w:tcPr>
            <w:tcW w:w="1147" w:type="dxa"/>
            <w:vAlign w:val="center"/>
          </w:tcPr>
          <w:p w14:paraId="3609187B" w14:textId="3EF98FDC" w:rsidR="00184512" w:rsidRPr="004C2412" w:rsidRDefault="00184512" w:rsidP="00184512">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B10636">
              <w:t>4,002</w:t>
            </w:r>
          </w:p>
        </w:tc>
        <w:tc>
          <w:tcPr>
            <w:tcW w:w="1148" w:type="dxa"/>
            <w:vAlign w:val="center"/>
          </w:tcPr>
          <w:p w14:paraId="3609187C" w14:textId="5D3D2D7C" w:rsidR="00184512" w:rsidRPr="004C2412" w:rsidRDefault="00184512" w:rsidP="00184512">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B10636">
              <w:t>273</w:t>
            </w:r>
          </w:p>
        </w:tc>
        <w:tc>
          <w:tcPr>
            <w:tcW w:w="1427" w:type="dxa"/>
            <w:vAlign w:val="center"/>
          </w:tcPr>
          <w:p w14:paraId="3609187D" w14:textId="36D6C52F" w:rsidR="00184512" w:rsidRPr="004C2412" w:rsidRDefault="00184512" w:rsidP="00184512">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B10636">
              <w:t>22,988</w:t>
            </w:r>
          </w:p>
        </w:tc>
        <w:tc>
          <w:tcPr>
            <w:tcW w:w="1433" w:type="dxa"/>
            <w:vAlign w:val="center"/>
          </w:tcPr>
          <w:p w14:paraId="3609187E" w14:textId="71CB90EC" w:rsidR="00184512" w:rsidRPr="004C2412" w:rsidRDefault="00184512" w:rsidP="00184512">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B10636">
              <w:t>90,842</w:t>
            </w:r>
          </w:p>
        </w:tc>
        <w:tc>
          <w:tcPr>
            <w:tcW w:w="1433" w:type="dxa"/>
            <w:vAlign w:val="center"/>
          </w:tcPr>
          <w:p w14:paraId="3609187F" w14:textId="65AD2829" w:rsidR="00184512" w:rsidRPr="004C2412" w:rsidRDefault="00184512" w:rsidP="00184512">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B10636">
              <w:t>100.00%</w:t>
            </w:r>
          </w:p>
        </w:tc>
      </w:tr>
    </w:tbl>
    <w:p w14:paraId="36091883" w14:textId="546D3C37" w:rsidR="004F047B" w:rsidRPr="004C2412" w:rsidRDefault="00F0627E" w:rsidP="00A609AA">
      <w:pPr>
        <w:pStyle w:val="Heading2"/>
        <w:numPr>
          <w:ilvl w:val="0"/>
          <w:numId w:val="0"/>
        </w:numPr>
      </w:pPr>
      <w:bookmarkStart w:id="64" w:name="_Toc526864470"/>
      <w:r w:rsidRPr="004C2412">
        <w:t xml:space="preserve">16 </w:t>
      </w:r>
      <w:r w:rsidR="00663AE9" w:rsidRPr="004C2412">
        <w:rPr>
          <w:szCs w:val="22"/>
        </w:rPr>
        <w:t>–</w:t>
      </w:r>
      <w:r w:rsidRPr="004C2412">
        <w:t xml:space="preserve"> </w:t>
      </w:r>
      <w:r w:rsidR="004F047B" w:rsidRPr="004C2412">
        <w:t xml:space="preserve">Financial Penalties, Connection Failures, </w:t>
      </w:r>
      <w:r w:rsidR="00EE4D0A" w:rsidRPr="004C2412">
        <w:t xml:space="preserve">Income Support </w:t>
      </w:r>
      <w:r w:rsidR="004F047B" w:rsidRPr="004C2412">
        <w:t xml:space="preserve">Payment Suspensions and </w:t>
      </w:r>
      <w:r w:rsidR="00F4190C" w:rsidRPr="004C2412">
        <w:t xml:space="preserve">CCAs </w:t>
      </w:r>
      <w:r w:rsidR="004F047B" w:rsidRPr="004C2412">
        <w:t>by Allowance Types</w:t>
      </w:r>
      <w:r w:rsidR="00C95ED9" w:rsidRPr="004C2412">
        <w:t xml:space="preserve"> -</w:t>
      </w:r>
      <w:r w:rsidR="004F047B" w:rsidRPr="004C2412">
        <w:t xml:space="preserve"> </w:t>
      </w:r>
      <w:r w:rsidR="006C7CE4" w:rsidRPr="004C2412">
        <w:t xml:space="preserve">1 </w:t>
      </w:r>
      <w:r w:rsidR="00184512">
        <w:t>April</w:t>
      </w:r>
      <w:r w:rsidR="00184512" w:rsidRPr="004C2412">
        <w:t xml:space="preserve"> </w:t>
      </w:r>
      <w:r w:rsidR="006C7CE4" w:rsidRPr="004C2412">
        <w:t>to 3</w:t>
      </w:r>
      <w:r w:rsidR="00184512">
        <w:t>0</w:t>
      </w:r>
      <w:r w:rsidR="006C7CE4" w:rsidRPr="004C2412">
        <w:t xml:space="preserve"> </w:t>
      </w:r>
      <w:r w:rsidR="00184512">
        <w:t>June</w:t>
      </w:r>
      <w:r w:rsidR="00840254" w:rsidRPr="004C2412">
        <w:t xml:space="preserve"> 2018</w:t>
      </w:r>
      <w:bookmarkEnd w:id="64"/>
    </w:p>
    <w:p w14:paraId="36091884" w14:textId="185E32A6" w:rsidR="007578AE" w:rsidRPr="004C2412" w:rsidRDefault="00347F02" w:rsidP="00A609AA">
      <w:pPr>
        <w:pStyle w:val="Heading3"/>
        <w:numPr>
          <w:ilvl w:val="0"/>
          <w:numId w:val="0"/>
        </w:numPr>
      </w:pPr>
      <w:bookmarkStart w:id="65" w:name="_Toc526864471"/>
      <w:r w:rsidRPr="004C2412">
        <w:t xml:space="preserve">16 a </w:t>
      </w:r>
      <w:r w:rsidR="00C95ED9" w:rsidRPr="004C2412">
        <w:t xml:space="preserve">– Non-Payment Periods (NPPs) - 1 </w:t>
      </w:r>
      <w:r w:rsidR="00184512">
        <w:t>April</w:t>
      </w:r>
      <w:r w:rsidR="00184512" w:rsidRPr="004C2412">
        <w:t xml:space="preserve"> </w:t>
      </w:r>
      <w:r w:rsidR="00C95ED9" w:rsidRPr="004C2412">
        <w:t>to 3</w:t>
      </w:r>
      <w:r w:rsidR="00184512">
        <w:t>0</w:t>
      </w:r>
      <w:r w:rsidR="00C95ED9" w:rsidRPr="004C2412">
        <w:t xml:space="preserve"> </w:t>
      </w:r>
      <w:r w:rsidR="00184512">
        <w:t>June</w:t>
      </w:r>
      <w:r w:rsidR="00184512" w:rsidRPr="004C2412">
        <w:t xml:space="preserve"> </w:t>
      </w:r>
      <w:r w:rsidR="00C95ED9" w:rsidRPr="004C2412">
        <w:t>201</w:t>
      </w:r>
      <w:r w:rsidR="00840254" w:rsidRPr="004C2412">
        <w:t>8</w:t>
      </w:r>
      <w:bookmarkEnd w:id="65"/>
    </w:p>
    <w:tbl>
      <w:tblPr>
        <w:tblStyle w:val="LeftAlignTable"/>
        <w:tblW w:w="0" w:type="auto"/>
        <w:tblInd w:w="-5" w:type="dxa"/>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4F047B" w:rsidRPr="004C2412" w14:paraId="3609188D" w14:textId="0B37DA84" w:rsidTr="006709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shd w:val="clear" w:color="auto" w:fill="auto"/>
            <w:vAlign w:val="center"/>
          </w:tcPr>
          <w:p w14:paraId="36091885" w14:textId="7FAA5957" w:rsidR="004F047B" w:rsidRPr="004C2412" w:rsidRDefault="00C95ED9" w:rsidP="00910012">
            <w:pPr>
              <w:spacing w:before="0"/>
              <w:ind w:left="0"/>
            </w:pPr>
            <w:r w:rsidRPr="004C2412">
              <w:t>Type of NPP (</w:t>
            </w:r>
            <w:r w:rsidR="00CF2936" w:rsidRPr="004C2412">
              <w:t xml:space="preserve">Serious </w:t>
            </w:r>
            <w:r w:rsidRPr="004C2412">
              <w:t>or Unemployment Non Payment)</w:t>
            </w:r>
          </w:p>
        </w:tc>
        <w:tc>
          <w:tcPr>
            <w:tcW w:w="1276" w:type="dxa"/>
            <w:vAlign w:val="center"/>
          </w:tcPr>
          <w:p w14:paraId="36091886" w14:textId="161C732D"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NSA</w:t>
            </w:r>
            <w:r w:rsidR="00A75C1F" w:rsidRPr="004C2412">
              <w:t>^</w:t>
            </w:r>
          </w:p>
        </w:tc>
        <w:tc>
          <w:tcPr>
            <w:tcW w:w="1275" w:type="dxa"/>
            <w:vAlign w:val="center"/>
          </w:tcPr>
          <w:p w14:paraId="36091887" w14:textId="5C7B43C3"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YAL</w:t>
            </w:r>
          </w:p>
        </w:tc>
        <w:tc>
          <w:tcPr>
            <w:tcW w:w="1560" w:type="dxa"/>
            <w:vAlign w:val="center"/>
          </w:tcPr>
          <w:p w14:paraId="36091888" w14:textId="7FE37570"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PPS</w:t>
            </w:r>
          </w:p>
        </w:tc>
        <w:tc>
          <w:tcPr>
            <w:tcW w:w="1417" w:type="dxa"/>
            <w:vAlign w:val="center"/>
          </w:tcPr>
          <w:p w14:paraId="36091889" w14:textId="541D5594"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Not on allowance</w:t>
            </w:r>
          </w:p>
        </w:tc>
        <w:tc>
          <w:tcPr>
            <w:tcW w:w="1276" w:type="dxa"/>
            <w:vAlign w:val="center"/>
          </w:tcPr>
          <w:p w14:paraId="3609188A" w14:textId="0468ED67"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276" w:type="dxa"/>
            <w:vAlign w:val="center"/>
          </w:tcPr>
          <w:p w14:paraId="3609188B" w14:textId="642D1693"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c>
          <w:tcPr>
            <w:tcW w:w="1276" w:type="dxa"/>
            <w:vAlign w:val="center"/>
          </w:tcPr>
          <w:p w14:paraId="3609188C" w14:textId="00A669DC"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r>
      <w:tr w:rsidR="0004009F" w:rsidRPr="004C2412" w14:paraId="36091896" w14:textId="392F6685" w:rsidTr="00910012">
        <w:trPr>
          <w:trHeight w:val="340"/>
        </w:trPr>
        <w:tc>
          <w:tcPr>
            <w:cnfStyle w:val="001000000000" w:firstRow="0" w:lastRow="0" w:firstColumn="1" w:lastColumn="0" w:oddVBand="0" w:evenVBand="0" w:oddHBand="0" w:evenHBand="0" w:firstRowFirstColumn="0" w:firstRowLastColumn="0" w:lastRowFirstColumn="0" w:lastRowLastColumn="0"/>
            <w:tcW w:w="4644" w:type="dxa"/>
            <w:vAlign w:val="center"/>
          </w:tcPr>
          <w:p w14:paraId="3609188E" w14:textId="3BE92C10" w:rsidR="0004009F" w:rsidRPr="004C2412" w:rsidRDefault="0004009F" w:rsidP="0004009F">
            <w:pPr>
              <w:spacing w:before="0"/>
              <w:ind w:left="0"/>
            </w:pPr>
            <w:r w:rsidRPr="004C2412">
              <w:t>Voluntary unemployment – UNPP</w:t>
            </w:r>
          </w:p>
        </w:tc>
        <w:tc>
          <w:tcPr>
            <w:tcW w:w="1276" w:type="dxa"/>
            <w:vAlign w:val="center"/>
          </w:tcPr>
          <w:p w14:paraId="3609188F" w14:textId="00B15F6D"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279</w:t>
            </w:r>
          </w:p>
        </w:tc>
        <w:tc>
          <w:tcPr>
            <w:tcW w:w="1275" w:type="dxa"/>
            <w:vAlign w:val="center"/>
          </w:tcPr>
          <w:p w14:paraId="36091890" w14:textId="0AB5AD72" w:rsidR="0004009F" w:rsidRPr="004C2412" w:rsidRDefault="0034330C"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560" w:type="dxa"/>
            <w:vAlign w:val="center"/>
          </w:tcPr>
          <w:p w14:paraId="36091891" w14:textId="5C234957" w:rsidR="0004009F" w:rsidRPr="00053C13" w:rsidRDefault="0034330C"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34330C">
              <w:t>&lt;5</w:t>
            </w:r>
          </w:p>
        </w:tc>
        <w:tc>
          <w:tcPr>
            <w:tcW w:w="1417" w:type="dxa"/>
            <w:vAlign w:val="center"/>
          </w:tcPr>
          <w:p w14:paraId="36091892" w14:textId="733E5AF4"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1,089</w:t>
            </w:r>
          </w:p>
        </w:tc>
        <w:tc>
          <w:tcPr>
            <w:tcW w:w="1276" w:type="dxa"/>
            <w:vAlign w:val="center"/>
          </w:tcPr>
          <w:p w14:paraId="36091893" w14:textId="5B1F5CD2"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1,438</w:t>
            </w:r>
          </w:p>
        </w:tc>
        <w:tc>
          <w:tcPr>
            <w:tcW w:w="1276" w:type="dxa"/>
            <w:vAlign w:val="center"/>
          </w:tcPr>
          <w:p w14:paraId="36091894" w14:textId="5094624A"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6,684</w:t>
            </w:r>
          </w:p>
        </w:tc>
        <w:tc>
          <w:tcPr>
            <w:tcW w:w="1276" w:type="dxa"/>
            <w:vAlign w:val="center"/>
          </w:tcPr>
          <w:p w14:paraId="36091895" w14:textId="3AEE523F"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12.76%</w:t>
            </w:r>
          </w:p>
        </w:tc>
      </w:tr>
      <w:tr w:rsidR="0004009F" w:rsidRPr="004C2412" w14:paraId="3609189F" w14:textId="54DF0650" w:rsidTr="00910012">
        <w:trPr>
          <w:trHeight w:val="340"/>
        </w:trPr>
        <w:tc>
          <w:tcPr>
            <w:cnfStyle w:val="001000000000" w:firstRow="0" w:lastRow="0" w:firstColumn="1" w:lastColumn="0" w:oddVBand="0" w:evenVBand="0" w:oddHBand="0" w:evenHBand="0" w:firstRowFirstColumn="0" w:firstRowLastColumn="0" w:lastRowFirstColumn="0" w:lastRowLastColumn="0"/>
            <w:tcW w:w="4644" w:type="dxa"/>
            <w:vAlign w:val="center"/>
          </w:tcPr>
          <w:p w14:paraId="36091897" w14:textId="79BCF434" w:rsidR="0004009F" w:rsidRPr="004C2412" w:rsidRDefault="0004009F" w:rsidP="0004009F">
            <w:pPr>
              <w:spacing w:before="0"/>
              <w:ind w:left="0"/>
            </w:pPr>
            <w:r w:rsidRPr="004C2412">
              <w:t>Unemployment due to misconduct – UNPP</w:t>
            </w:r>
          </w:p>
        </w:tc>
        <w:tc>
          <w:tcPr>
            <w:tcW w:w="1276" w:type="dxa"/>
            <w:vAlign w:val="center"/>
          </w:tcPr>
          <w:p w14:paraId="36091898" w14:textId="64FFE216"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181</w:t>
            </w:r>
          </w:p>
        </w:tc>
        <w:tc>
          <w:tcPr>
            <w:tcW w:w="1275" w:type="dxa"/>
            <w:vAlign w:val="center"/>
          </w:tcPr>
          <w:p w14:paraId="36091899" w14:textId="129849D6" w:rsidR="0004009F" w:rsidRPr="004C2412" w:rsidRDefault="0034330C"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560" w:type="dxa"/>
            <w:vAlign w:val="center"/>
          </w:tcPr>
          <w:p w14:paraId="3609189A" w14:textId="67656ACD" w:rsidR="0004009F" w:rsidRPr="00053C13" w:rsidRDefault="0034330C"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34330C">
              <w:t>&lt;5</w:t>
            </w:r>
          </w:p>
        </w:tc>
        <w:tc>
          <w:tcPr>
            <w:tcW w:w="1417" w:type="dxa"/>
            <w:vAlign w:val="center"/>
          </w:tcPr>
          <w:p w14:paraId="3609189B" w14:textId="5AFF8697"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762</w:t>
            </w:r>
          </w:p>
        </w:tc>
        <w:tc>
          <w:tcPr>
            <w:tcW w:w="1276" w:type="dxa"/>
            <w:vAlign w:val="center"/>
          </w:tcPr>
          <w:p w14:paraId="3609189C" w14:textId="50577363"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981</w:t>
            </w:r>
          </w:p>
        </w:tc>
        <w:tc>
          <w:tcPr>
            <w:tcW w:w="1276" w:type="dxa"/>
            <w:vAlign w:val="center"/>
          </w:tcPr>
          <w:p w14:paraId="3609189D" w14:textId="39C3BF34"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4,130</w:t>
            </w:r>
          </w:p>
        </w:tc>
        <w:tc>
          <w:tcPr>
            <w:tcW w:w="1276" w:type="dxa"/>
            <w:vAlign w:val="center"/>
          </w:tcPr>
          <w:p w14:paraId="3609189E" w14:textId="5866C2B9"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7.88%</w:t>
            </w:r>
          </w:p>
        </w:tc>
      </w:tr>
      <w:tr w:rsidR="0004009F" w:rsidRPr="004C2412" w14:paraId="360918A8" w14:textId="4D8225C1" w:rsidTr="00910012">
        <w:trPr>
          <w:trHeight w:val="340"/>
        </w:trPr>
        <w:tc>
          <w:tcPr>
            <w:cnfStyle w:val="001000000000" w:firstRow="0" w:lastRow="0" w:firstColumn="1" w:lastColumn="0" w:oddVBand="0" w:evenVBand="0" w:oddHBand="0" w:evenHBand="0" w:firstRowFirstColumn="0" w:firstRowLastColumn="0" w:lastRowFirstColumn="0" w:lastRowLastColumn="0"/>
            <w:tcW w:w="4644" w:type="dxa"/>
            <w:vAlign w:val="center"/>
          </w:tcPr>
          <w:p w14:paraId="360918A0" w14:textId="66231A05" w:rsidR="0004009F" w:rsidRPr="004C2412" w:rsidRDefault="0004009F" w:rsidP="0004009F">
            <w:pPr>
              <w:spacing w:before="0"/>
              <w:ind w:left="0"/>
            </w:pPr>
            <w:r w:rsidRPr="004C2412">
              <w:t>Persistent non-compliance – Serious</w:t>
            </w:r>
          </w:p>
        </w:tc>
        <w:tc>
          <w:tcPr>
            <w:tcW w:w="1276" w:type="dxa"/>
            <w:vAlign w:val="center"/>
          </w:tcPr>
          <w:p w14:paraId="360918A1" w14:textId="63FFEDEF"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8,662</w:t>
            </w:r>
          </w:p>
        </w:tc>
        <w:tc>
          <w:tcPr>
            <w:tcW w:w="1275" w:type="dxa"/>
            <w:vAlign w:val="center"/>
          </w:tcPr>
          <w:p w14:paraId="360918A2" w14:textId="20322082"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1,453</w:t>
            </w:r>
          </w:p>
        </w:tc>
        <w:tc>
          <w:tcPr>
            <w:tcW w:w="1560" w:type="dxa"/>
            <w:vAlign w:val="center"/>
          </w:tcPr>
          <w:p w14:paraId="360918A3" w14:textId="5028E5F4"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141</w:t>
            </w:r>
          </w:p>
        </w:tc>
        <w:tc>
          <w:tcPr>
            <w:tcW w:w="1417" w:type="dxa"/>
            <w:vAlign w:val="center"/>
          </w:tcPr>
          <w:p w14:paraId="360918A4" w14:textId="4ACA6E81"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76" w:type="dxa"/>
            <w:vAlign w:val="center"/>
          </w:tcPr>
          <w:p w14:paraId="360918A5" w14:textId="26189791"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10,256</w:t>
            </w:r>
          </w:p>
        </w:tc>
        <w:tc>
          <w:tcPr>
            <w:tcW w:w="1276" w:type="dxa"/>
            <w:vAlign w:val="center"/>
          </w:tcPr>
          <w:p w14:paraId="360918A6" w14:textId="2D69B531"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40,049</w:t>
            </w:r>
          </w:p>
        </w:tc>
        <w:tc>
          <w:tcPr>
            <w:tcW w:w="1276" w:type="dxa"/>
            <w:vAlign w:val="center"/>
          </w:tcPr>
          <w:p w14:paraId="360918A7" w14:textId="4341F95D"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76.45%</w:t>
            </w:r>
          </w:p>
        </w:tc>
      </w:tr>
      <w:tr w:rsidR="0004009F" w:rsidRPr="004C2412" w14:paraId="360918B1" w14:textId="0B7509A3" w:rsidTr="00910012">
        <w:trPr>
          <w:trHeight w:val="340"/>
        </w:trPr>
        <w:tc>
          <w:tcPr>
            <w:cnfStyle w:val="001000000000" w:firstRow="0" w:lastRow="0" w:firstColumn="1" w:lastColumn="0" w:oddVBand="0" w:evenVBand="0" w:oddHBand="0" w:evenHBand="0" w:firstRowFirstColumn="0" w:firstRowLastColumn="0" w:lastRowFirstColumn="0" w:lastRowLastColumn="0"/>
            <w:tcW w:w="4644" w:type="dxa"/>
            <w:vAlign w:val="center"/>
          </w:tcPr>
          <w:p w14:paraId="360918A9" w14:textId="72FEC7AF" w:rsidR="0004009F" w:rsidRPr="004C2412" w:rsidRDefault="0004009F" w:rsidP="0004009F">
            <w:pPr>
              <w:spacing w:before="0"/>
              <w:ind w:left="0"/>
            </w:pPr>
            <w:r w:rsidRPr="004C2412">
              <w:t>Did not commence suitable work – Serious</w:t>
            </w:r>
          </w:p>
        </w:tc>
        <w:tc>
          <w:tcPr>
            <w:tcW w:w="1276" w:type="dxa"/>
            <w:vAlign w:val="center"/>
          </w:tcPr>
          <w:p w14:paraId="360918AA" w14:textId="60C5F320"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116</w:t>
            </w:r>
          </w:p>
        </w:tc>
        <w:tc>
          <w:tcPr>
            <w:tcW w:w="1275" w:type="dxa"/>
            <w:vAlign w:val="center"/>
          </w:tcPr>
          <w:p w14:paraId="360918AB" w14:textId="456B8F11" w:rsidR="0004009F" w:rsidRPr="004C2412" w:rsidRDefault="0034330C"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560" w:type="dxa"/>
            <w:vAlign w:val="center"/>
          </w:tcPr>
          <w:p w14:paraId="360918AC" w14:textId="30B1156D" w:rsidR="0004009F" w:rsidRPr="00053C13" w:rsidRDefault="0034330C"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34330C">
              <w:t>&lt;5</w:t>
            </w:r>
          </w:p>
        </w:tc>
        <w:tc>
          <w:tcPr>
            <w:tcW w:w="1417" w:type="dxa"/>
            <w:vAlign w:val="center"/>
          </w:tcPr>
          <w:p w14:paraId="360918AD" w14:textId="49FD3E4D"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0</w:t>
            </w:r>
          </w:p>
        </w:tc>
        <w:tc>
          <w:tcPr>
            <w:tcW w:w="1276" w:type="dxa"/>
            <w:vAlign w:val="center"/>
          </w:tcPr>
          <w:p w14:paraId="360918AE" w14:textId="7F68D403"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127</w:t>
            </w:r>
          </w:p>
        </w:tc>
        <w:tc>
          <w:tcPr>
            <w:tcW w:w="1276" w:type="dxa"/>
            <w:vAlign w:val="center"/>
          </w:tcPr>
          <w:p w14:paraId="360918AF" w14:textId="45D050DF"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576</w:t>
            </w:r>
          </w:p>
        </w:tc>
        <w:tc>
          <w:tcPr>
            <w:tcW w:w="1276" w:type="dxa"/>
            <w:vAlign w:val="center"/>
          </w:tcPr>
          <w:p w14:paraId="360918B0" w14:textId="3B18BB70"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1.10%</w:t>
            </w:r>
          </w:p>
        </w:tc>
      </w:tr>
      <w:tr w:rsidR="0004009F" w:rsidRPr="004C2412" w14:paraId="360918BA" w14:textId="6E59FEB3" w:rsidTr="00910012">
        <w:trPr>
          <w:trHeight w:val="340"/>
        </w:trPr>
        <w:tc>
          <w:tcPr>
            <w:cnfStyle w:val="001000000000" w:firstRow="0" w:lastRow="0" w:firstColumn="1" w:lastColumn="0" w:oddVBand="0" w:evenVBand="0" w:oddHBand="0" w:evenHBand="0" w:firstRowFirstColumn="0" w:firstRowLastColumn="0" w:lastRowFirstColumn="0" w:lastRowLastColumn="0"/>
            <w:tcW w:w="4644" w:type="dxa"/>
            <w:vAlign w:val="center"/>
          </w:tcPr>
          <w:p w14:paraId="360918B2" w14:textId="3F91BFEF" w:rsidR="0004009F" w:rsidRPr="004C2412" w:rsidRDefault="0004009F" w:rsidP="0004009F">
            <w:pPr>
              <w:spacing w:before="0"/>
              <w:ind w:left="0"/>
            </w:pPr>
            <w:r w:rsidRPr="004C2412">
              <w:t>Refused a suitable job – Serious</w:t>
            </w:r>
          </w:p>
        </w:tc>
        <w:tc>
          <w:tcPr>
            <w:tcW w:w="1276" w:type="dxa"/>
            <w:vAlign w:val="center"/>
          </w:tcPr>
          <w:p w14:paraId="360918B3" w14:textId="2BEE4965"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166</w:t>
            </w:r>
          </w:p>
        </w:tc>
        <w:tc>
          <w:tcPr>
            <w:tcW w:w="1275" w:type="dxa"/>
            <w:vAlign w:val="center"/>
          </w:tcPr>
          <w:p w14:paraId="360918B4" w14:textId="2A93C492" w:rsidR="0004009F" w:rsidRPr="004C2412" w:rsidRDefault="0034330C"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560" w:type="dxa"/>
            <w:vAlign w:val="center"/>
          </w:tcPr>
          <w:p w14:paraId="360918B5" w14:textId="1DD2829A" w:rsidR="0004009F" w:rsidRPr="00053C13" w:rsidRDefault="0034330C"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34330C">
              <w:t>&lt;5</w:t>
            </w:r>
          </w:p>
        </w:tc>
        <w:tc>
          <w:tcPr>
            <w:tcW w:w="1417" w:type="dxa"/>
            <w:vAlign w:val="center"/>
          </w:tcPr>
          <w:p w14:paraId="360918B6" w14:textId="4D08E0A8"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0</w:t>
            </w:r>
          </w:p>
        </w:tc>
        <w:tc>
          <w:tcPr>
            <w:tcW w:w="1276" w:type="dxa"/>
            <w:vAlign w:val="center"/>
          </w:tcPr>
          <w:p w14:paraId="360918B7" w14:textId="1F9C4646"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205</w:t>
            </w:r>
          </w:p>
        </w:tc>
        <w:tc>
          <w:tcPr>
            <w:tcW w:w="1276" w:type="dxa"/>
            <w:vAlign w:val="center"/>
          </w:tcPr>
          <w:p w14:paraId="360918B8" w14:textId="7BECCF6C"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945</w:t>
            </w:r>
          </w:p>
        </w:tc>
        <w:tc>
          <w:tcPr>
            <w:tcW w:w="1276" w:type="dxa"/>
            <w:vAlign w:val="center"/>
          </w:tcPr>
          <w:p w14:paraId="360918B9" w14:textId="6697C338" w:rsidR="0004009F" w:rsidRPr="004C2412" w:rsidRDefault="0004009F" w:rsidP="0004009F">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AF213B">
              <w:t>1.80%</w:t>
            </w:r>
          </w:p>
        </w:tc>
      </w:tr>
      <w:tr w:rsidR="0004009F" w:rsidRPr="004C2412" w14:paraId="360918C3" w14:textId="5BF5D8A2" w:rsidTr="00910012">
        <w:trPr>
          <w:cnfStyle w:val="010000000000" w:firstRow="0" w:lastRow="1"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644" w:type="dxa"/>
            <w:vAlign w:val="center"/>
          </w:tcPr>
          <w:p w14:paraId="360918BB" w14:textId="502CAACF" w:rsidR="0004009F" w:rsidRPr="004C2412" w:rsidRDefault="0004009F" w:rsidP="0004009F">
            <w:pPr>
              <w:spacing w:before="0"/>
              <w:ind w:left="0"/>
            </w:pPr>
            <w:r w:rsidRPr="004C2412">
              <w:t xml:space="preserve">Sub Total NPPs </w:t>
            </w:r>
          </w:p>
        </w:tc>
        <w:tc>
          <w:tcPr>
            <w:tcW w:w="1276" w:type="dxa"/>
            <w:vAlign w:val="center"/>
          </w:tcPr>
          <w:p w14:paraId="360918BC" w14:textId="26F9CF4C" w:rsidR="0004009F" w:rsidRPr="004C2412" w:rsidRDefault="0004009F" w:rsidP="0004009F">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F213B">
              <w:t>9,404</w:t>
            </w:r>
          </w:p>
        </w:tc>
        <w:tc>
          <w:tcPr>
            <w:tcW w:w="1275" w:type="dxa"/>
            <w:vAlign w:val="center"/>
          </w:tcPr>
          <w:p w14:paraId="360918BD" w14:textId="0E297D01" w:rsidR="0004009F" w:rsidRPr="004C2412" w:rsidRDefault="0004009F" w:rsidP="0004009F">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F213B">
              <w:t>1,600</w:t>
            </w:r>
          </w:p>
        </w:tc>
        <w:tc>
          <w:tcPr>
            <w:tcW w:w="1560" w:type="dxa"/>
            <w:vAlign w:val="center"/>
          </w:tcPr>
          <w:p w14:paraId="360918BE" w14:textId="115EA109" w:rsidR="0004009F" w:rsidRPr="004C2412" w:rsidRDefault="0004009F" w:rsidP="0004009F">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F213B">
              <w:t>152</w:t>
            </w:r>
          </w:p>
        </w:tc>
        <w:tc>
          <w:tcPr>
            <w:tcW w:w="1417" w:type="dxa"/>
            <w:vAlign w:val="center"/>
          </w:tcPr>
          <w:p w14:paraId="360918BF" w14:textId="4DF04D21" w:rsidR="0004009F" w:rsidRPr="004C2412" w:rsidRDefault="0004009F" w:rsidP="0004009F">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F213B">
              <w:t>1,851</w:t>
            </w:r>
          </w:p>
        </w:tc>
        <w:tc>
          <w:tcPr>
            <w:tcW w:w="1276" w:type="dxa"/>
            <w:vAlign w:val="center"/>
          </w:tcPr>
          <w:p w14:paraId="360918C0" w14:textId="2984EF12" w:rsidR="0004009F" w:rsidRPr="004C2412" w:rsidRDefault="0004009F" w:rsidP="0004009F">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F213B">
              <w:t>13,007</w:t>
            </w:r>
          </w:p>
        </w:tc>
        <w:tc>
          <w:tcPr>
            <w:tcW w:w="1276" w:type="dxa"/>
            <w:vAlign w:val="center"/>
          </w:tcPr>
          <w:p w14:paraId="360918C1" w14:textId="64DE9061" w:rsidR="0004009F" w:rsidRPr="004C2412" w:rsidRDefault="0004009F" w:rsidP="0004009F">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F213B">
              <w:t>52,384</w:t>
            </w:r>
          </w:p>
        </w:tc>
        <w:tc>
          <w:tcPr>
            <w:tcW w:w="1276" w:type="dxa"/>
            <w:vAlign w:val="center"/>
          </w:tcPr>
          <w:p w14:paraId="360918C2" w14:textId="0547D1E4" w:rsidR="0004009F" w:rsidRPr="004C2412" w:rsidRDefault="0004009F" w:rsidP="0004009F">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AF213B">
              <w:t>100.00%</w:t>
            </w:r>
          </w:p>
        </w:tc>
      </w:tr>
    </w:tbl>
    <w:p w14:paraId="360918C4" w14:textId="13BAA92D" w:rsidR="007578AE" w:rsidRPr="004C2412" w:rsidRDefault="00A75C1F" w:rsidP="00A609AA">
      <w:pPr>
        <w:ind w:left="0"/>
      </w:pPr>
      <w:r w:rsidRPr="004C2412">
        <w:t>^</w:t>
      </w:r>
      <w:r w:rsidR="00835C55" w:rsidRPr="004C2412">
        <w:t xml:space="preserve"> Due to the small number of Activity Tested recipients of </w:t>
      </w:r>
      <w:r w:rsidRPr="004C2412">
        <w:t>Special B</w:t>
      </w:r>
      <w:r w:rsidR="00835C55" w:rsidRPr="004C2412">
        <w:t xml:space="preserve">enefit </w:t>
      </w:r>
      <w:r w:rsidR="00CA0B17" w:rsidRPr="004C2412">
        <w:t>(</w:t>
      </w:r>
      <w:proofErr w:type="spellStart"/>
      <w:r w:rsidR="00CA0B17" w:rsidRPr="004C2412">
        <w:t>SpB</w:t>
      </w:r>
      <w:proofErr w:type="spellEnd"/>
      <w:r w:rsidR="00C5298C" w:rsidRPr="004C2412">
        <w:t>)</w:t>
      </w:r>
      <w:r w:rsidR="00835C55" w:rsidRPr="004C2412">
        <w:t>, these job seekers</w:t>
      </w:r>
      <w:r w:rsidRPr="004C2412">
        <w:t xml:space="preserve"> are </w:t>
      </w:r>
      <w:r w:rsidR="00CA0B17" w:rsidRPr="004C2412">
        <w:t>included</w:t>
      </w:r>
      <w:r w:rsidR="00835C55" w:rsidRPr="004C2412">
        <w:t xml:space="preserve"> under the </w:t>
      </w:r>
      <w:proofErr w:type="spellStart"/>
      <w:r w:rsidR="00835C55" w:rsidRPr="004C2412">
        <w:t>Newstart</w:t>
      </w:r>
      <w:proofErr w:type="spellEnd"/>
      <w:r w:rsidR="00835C55" w:rsidRPr="004C2412">
        <w:t xml:space="preserve"> Allowance (NSA) column in Table 16</w:t>
      </w:r>
      <w:r w:rsidRPr="004C2412">
        <w:t>.</w:t>
      </w:r>
    </w:p>
    <w:p w14:paraId="1246C970" w14:textId="50B13935" w:rsidR="00BF33EB" w:rsidRPr="004C2412" w:rsidRDefault="00C95ED9" w:rsidP="00A609AA">
      <w:pPr>
        <w:ind w:left="0"/>
      </w:pPr>
      <w:r w:rsidRPr="004C2412">
        <w:t xml:space="preserve">Unemployment non-payment periods are generally for eight weeks. However, a person who has received </w:t>
      </w:r>
      <w:r w:rsidRPr="004C2412">
        <w:rPr>
          <w:noProof/>
        </w:rPr>
        <w:t xml:space="preserve">Relocation Assistance to take up a job and </w:t>
      </w:r>
      <w:r w:rsidRPr="004C2412">
        <w:t xml:space="preserve">voluntarily leaves this job without a reasonable excuse, or </w:t>
      </w:r>
      <w:proofErr w:type="gramStart"/>
      <w:r w:rsidRPr="004C2412">
        <w:t>is dismissed</w:t>
      </w:r>
      <w:proofErr w:type="gramEnd"/>
      <w:r w:rsidRPr="004C2412">
        <w:t xml:space="preserve"> for misconduct within the first six months, may be subject to a non-payment penalty period of 12 weeks. This penalty </w:t>
      </w:r>
      <w:proofErr w:type="gramStart"/>
      <w:r w:rsidRPr="004C2412">
        <w:t>may also be applied</w:t>
      </w:r>
      <w:proofErr w:type="gramEnd"/>
      <w:r w:rsidRPr="004C2412">
        <w:t xml:space="preserve"> if the job seeker accepts the job and relocates but does not commence employment.</w:t>
      </w:r>
    </w:p>
    <w:p w14:paraId="39EC7AEC" w14:textId="77777777" w:rsidR="00BF33EB" w:rsidRPr="004C2412" w:rsidRDefault="00BF33EB">
      <w:pPr>
        <w:spacing w:before="0"/>
        <w:ind w:left="0"/>
      </w:pPr>
      <w:r w:rsidRPr="004C2412">
        <w:br w:type="page"/>
      </w:r>
    </w:p>
    <w:p w14:paraId="360918C5" w14:textId="56883B1F" w:rsidR="002567EB" w:rsidRPr="004C2412" w:rsidRDefault="00347F02" w:rsidP="00A609AA">
      <w:pPr>
        <w:pStyle w:val="Heading3"/>
        <w:numPr>
          <w:ilvl w:val="0"/>
          <w:numId w:val="0"/>
        </w:numPr>
      </w:pPr>
      <w:bookmarkStart w:id="66" w:name="_Toc526864472"/>
      <w:r w:rsidRPr="004C2412">
        <w:t xml:space="preserve">16 b </w:t>
      </w:r>
      <w:r w:rsidR="00C95ED9" w:rsidRPr="004C2412">
        <w:t>–</w:t>
      </w:r>
      <w:r w:rsidRPr="004C2412">
        <w:t xml:space="preserve"> </w:t>
      </w:r>
      <w:r w:rsidR="006C7CE4" w:rsidRPr="004C2412">
        <w:t>Short Term Financial Penalties</w:t>
      </w:r>
      <w:r w:rsidR="00C95ED9" w:rsidRPr="004C2412">
        <w:t xml:space="preserve"> and Total Financial Penalty Summary - 1 </w:t>
      </w:r>
      <w:r w:rsidR="00775105">
        <w:t>April</w:t>
      </w:r>
      <w:r w:rsidR="00775105" w:rsidRPr="004C2412">
        <w:t xml:space="preserve"> </w:t>
      </w:r>
      <w:r w:rsidR="00C95ED9" w:rsidRPr="004C2412">
        <w:t>to 3</w:t>
      </w:r>
      <w:r w:rsidR="00775105">
        <w:t>0</w:t>
      </w:r>
      <w:r w:rsidR="00C95ED9" w:rsidRPr="004C2412">
        <w:t xml:space="preserve"> </w:t>
      </w:r>
      <w:r w:rsidR="00775105">
        <w:t>June</w:t>
      </w:r>
      <w:r w:rsidR="00775105" w:rsidRPr="004C2412">
        <w:t xml:space="preserve"> </w:t>
      </w:r>
      <w:r w:rsidR="00C95ED9" w:rsidRPr="004C2412">
        <w:t>201</w:t>
      </w:r>
      <w:r w:rsidR="008219FA" w:rsidRPr="004C2412">
        <w:t>8</w:t>
      </w:r>
      <w:bookmarkEnd w:id="66"/>
    </w:p>
    <w:tbl>
      <w:tblPr>
        <w:tblStyle w:val="LeftAlignTable"/>
        <w:tblW w:w="0" w:type="auto"/>
        <w:tblInd w:w="-5" w:type="dxa"/>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287"/>
        <w:gridCol w:w="1481"/>
        <w:gridCol w:w="1481"/>
        <w:gridCol w:w="1255"/>
        <w:gridCol w:w="1251"/>
        <w:gridCol w:w="1481"/>
        <w:gridCol w:w="1713"/>
        <w:gridCol w:w="1788"/>
      </w:tblGrid>
      <w:tr w:rsidR="004F047B" w:rsidRPr="004C2412" w14:paraId="360918CE" w14:textId="0D4FA777" w:rsidTr="006709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87" w:type="dxa"/>
            <w:shd w:val="clear" w:color="auto" w:fill="auto"/>
            <w:vAlign w:val="center"/>
          </w:tcPr>
          <w:p w14:paraId="360918C6" w14:textId="159EA788" w:rsidR="004F047B" w:rsidRPr="004C2412" w:rsidRDefault="00C95ED9" w:rsidP="00910012">
            <w:pPr>
              <w:spacing w:before="0"/>
              <w:ind w:left="0"/>
            </w:pPr>
            <w:r w:rsidRPr="004C2412">
              <w:t>Type of Short Term Penalty: Non-Attendance (NAF), Reconnection and No Show No Pay (NSNP)</w:t>
            </w:r>
          </w:p>
        </w:tc>
        <w:tc>
          <w:tcPr>
            <w:tcW w:w="1481" w:type="dxa"/>
            <w:vAlign w:val="center"/>
          </w:tcPr>
          <w:p w14:paraId="360918C7" w14:textId="74B00957"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NSA</w:t>
            </w:r>
          </w:p>
        </w:tc>
        <w:tc>
          <w:tcPr>
            <w:tcW w:w="1481" w:type="dxa"/>
            <w:vAlign w:val="center"/>
          </w:tcPr>
          <w:p w14:paraId="360918C8" w14:textId="20633AA8"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YAL</w:t>
            </w:r>
          </w:p>
        </w:tc>
        <w:tc>
          <w:tcPr>
            <w:tcW w:w="1255" w:type="dxa"/>
            <w:vAlign w:val="center"/>
          </w:tcPr>
          <w:p w14:paraId="360918C9" w14:textId="19CDEFD0"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PPS</w:t>
            </w:r>
          </w:p>
        </w:tc>
        <w:tc>
          <w:tcPr>
            <w:tcW w:w="1251" w:type="dxa"/>
            <w:vAlign w:val="center"/>
          </w:tcPr>
          <w:p w14:paraId="360918CA" w14:textId="1BA90AE2"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Not on allowance</w:t>
            </w:r>
          </w:p>
        </w:tc>
        <w:tc>
          <w:tcPr>
            <w:tcW w:w="1481" w:type="dxa"/>
            <w:vAlign w:val="center"/>
          </w:tcPr>
          <w:p w14:paraId="360918CB" w14:textId="3F1340D7"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713" w:type="dxa"/>
            <w:vAlign w:val="center"/>
          </w:tcPr>
          <w:p w14:paraId="360918CC" w14:textId="271786BA"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c>
          <w:tcPr>
            <w:tcW w:w="1788" w:type="dxa"/>
            <w:vAlign w:val="center"/>
          </w:tcPr>
          <w:p w14:paraId="360918CD" w14:textId="0A76DED7"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r>
      <w:tr w:rsidR="00775105" w:rsidRPr="004C2412" w14:paraId="360918D7" w14:textId="54FA05EF" w:rsidTr="00775105">
        <w:trPr>
          <w:trHeight w:val="644"/>
        </w:trPr>
        <w:tc>
          <w:tcPr>
            <w:cnfStyle w:val="001000000000" w:firstRow="0" w:lastRow="0" w:firstColumn="1" w:lastColumn="0" w:oddVBand="0" w:evenVBand="0" w:oddHBand="0" w:evenHBand="0" w:firstRowFirstColumn="0" w:firstRowLastColumn="0" w:lastRowFirstColumn="0" w:lastRowLastColumn="0"/>
            <w:tcW w:w="4287" w:type="dxa"/>
            <w:vAlign w:val="center"/>
          </w:tcPr>
          <w:p w14:paraId="360918CF" w14:textId="5472C866" w:rsidR="00775105" w:rsidRPr="004C2412" w:rsidRDefault="00775105" w:rsidP="00775105">
            <w:pPr>
              <w:spacing w:before="0"/>
              <w:ind w:left="0"/>
              <w:rPr>
                <w:noProof/>
              </w:rPr>
            </w:pPr>
            <w:r w:rsidRPr="004C2412">
              <w:rPr>
                <w:noProof/>
              </w:rPr>
              <w:t>Appointment related failures – Provider (NAF and Reconnection) and DHS (Reconnection)</w:t>
            </w:r>
          </w:p>
        </w:tc>
        <w:tc>
          <w:tcPr>
            <w:tcW w:w="1481" w:type="dxa"/>
            <w:vAlign w:val="center"/>
          </w:tcPr>
          <w:p w14:paraId="360918D0" w14:textId="72BC5B5C"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10,204</w:t>
            </w:r>
          </w:p>
        </w:tc>
        <w:tc>
          <w:tcPr>
            <w:tcW w:w="1481" w:type="dxa"/>
            <w:vAlign w:val="center"/>
          </w:tcPr>
          <w:p w14:paraId="360918D1" w14:textId="05F5681A"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2,998</w:t>
            </w:r>
          </w:p>
        </w:tc>
        <w:tc>
          <w:tcPr>
            <w:tcW w:w="1255" w:type="dxa"/>
            <w:vAlign w:val="center"/>
          </w:tcPr>
          <w:p w14:paraId="360918D2" w14:textId="0A4CB54B"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278</w:t>
            </w:r>
          </w:p>
        </w:tc>
        <w:tc>
          <w:tcPr>
            <w:tcW w:w="1251" w:type="dxa"/>
            <w:vAlign w:val="center"/>
          </w:tcPr>
          <w:p w14:paraId="360918D3" w14:textId="51AFD65A"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w:t>
            </w:r>
          </w:p>
        </w:tc>
        <w:tc>
          <w:tcPr>
            <w:tcW w:w="1481" w:type="dxa"/>
            <w:vAlign w:val="center"/>
          </w:tcPr>
          <w:p w14:paraId="360918D4" w14:textId="43335F55"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13,480</w:t>
            </w:r>
          </w:p>
        </w:tc>
        <w:tc>
          <w:tcPr>
            <w:tcW w:w="1713" w:type="dxa"/>
            <w:vAlign w:val="center"/>
          </w:tcPr>
          <w:p w14:paraId="360918D5" w14:textId="105311A1"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57,410</w:t>
            </w:r>
          </w:p>
        </w:tc>
        <w:tc>
          <w:tcPr>
            <w:tcW w:w="1788" w:type="dxa"/>
            <w:vAlign w:val="center"/>
          </w:tcPr>
          <w:p w14:paraId="360918D6" w14:textId="3EC3800F"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16.78%</w:t>
            </w:r>
          </w:p>
        </w:tc>
      </w:tr>
      <w:tr w:rsidR="00775105" w:rsidRPr="004C2412" w14:paraId="360918E0" w14:textId="2316E45A" w:rsidTr="00775105">
        <w:trPr>
          <w:trHeight w:val="552"/>
        </w:trPr>
        <w:tc>
          <w:tcPr>
            <w:cnfStyle w:val="001000000000" w:firstRow="0" w:lastRow="0" w:firstColumn="1" w:lastColumn="0" w:oddVBand="0" w:evenVBand="0" w:oddHBand="0" w:evenHBand="0" w:firstRowFirstColumn="0" w:firstRowLastColumn="0" w:lastRowFirstColumn="0" w:lastRowLastColumn="0"/>
            <w:tcW w:w="4287" w:type="dxa"/>
            <w:vAlign w:val="center"/>
          </w:tcPr>
          <w:p w14:paraId="360918D8" w14:textId="210E2BC9" w:rsidR="00775105" w:rsidRPr="004C2412" w:rsidRDefault="00775105" w:rsidP="00775105">
            <w:pPr>
              <w:spacing w:before="0"/>
              <w:ind w:left="0"/>
              <w:rPr>
                <w:noProof/>
              </w:rPr>
            </w:pPr>
            <w:r w:rsidRPr="004C2412">
              <w:rPr>
                <w:noProof/>
              </w:rPr>
              <w:t>Other failures to comply with a reconnection requirement that resulted in a financial penalty^</w:t>
            </w:r>
          </w:p>
        </w:tc>
        <w:tc>
          <w:tcPr>
            <w:tcW w:w="1481" w:type="dxa"/>
            <w:vAlign w:val="center"/>
          </w:tcPr>
          <w:p w14:paraId="360918D9" w14:textId="6E6011A5"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526</w:t>
            </w:r>
          </w:p>
        </w:tc>
        <w:tc>
          <w:tcPr>
            <w:tcW w:w="1481" w:type="dxa"/>
            <w:vAlign w:val="center"/>
          </w:tcPr>
          <w:p w14:paraId="360918DA" w14:textId="7ED89CE2"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163</w:t>
            </w:r>
          </w:p>
        </w:tc>
        <w:tc>
          <w:tcPr>
            <w:tcW w:w="1255" w:type="dxa"/>
            <w:vAlign w:val="center"/>
          </w:tcPr>
          <w:p w14:paraId="360918DB" w14:textId="5D7E1554"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w:t>
            </w:r>
          </w:p>
        </w:tc>
        <w:tc>
          <w:tcPr>
            <w:tcW w:w="1251" w:type="dxa"/>
            <w:vAlign w:val="center"/>
          </w:tcPr>
          <w:p w14:paraId="360918DC" w14:textId="79B30BEB"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w:t>
            </w:r>
          </w:p>
        </w:tc>
        <w:tc>
          <w:tcPr>
            <w:tcW w:w="1481" w:type="dxa"/>
            <w:vAlign w:val="center"/>
          </w:tcPr>
          <w:p w14:paraId="360918DD" w14:textId="3A8F3C4A"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689</w:t>
            </w:r>
          </w:p>
        </w:tc>
        <w:tc>
          <w:tcPr>
            <w:tcW w:w="1713" w:type="dxa"/>
            <w:vAlign w:val="center"/>
          </w:tcPr>
          <w:p w14:paraId="360918DE" w14:textId="3B0AD499"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2,310</w:t>
            </w:r>
          </w:p>
        </w:tc>
        <w:tc>
          <w:tcPr>
            <w:tcW w:w="1788" w:type="dxa"/>
            <w:vAlign w:val="center"/>
          </w:tcPr>
          <w:p w14:paraId="360918DF" w14:textId="3C86440A"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0.68%</w:t>
            </w:r>
          </w:p>
        </w:tc>
      </w:tr>
      <w:tr w:rsidR="00775105" w:rsidRPr="004C2412" w14:paraId="360918E9" w14:textId="2D5F2EFF" w:rsidTr="00775105">
        <w:trPr>
          <w:trHeight w:val="461"/>
        </w:trPr>
        <w:tc>
          <w:tcPr>
            <w:cnfStyle w:val="001000000000" w:firstRow="0" w:lastRow="0" w:firstColumn="1" w:lastColumn="0" w:oddVBand="0" w:evenVBand="0" w:oddHBand="0" w:evenHBand="0" w:firstRowFirstColumn="0" w:firstRowLastColumn="0" w:lastRowFirstColumn="0" w:lastRowLastColumn="0"/>
            <w:tcW w:w="4287" w:type="dxa"/>
            <w:vAlign w:val="center"/>
          </w:tcPr>
          <w:p w14:paraId="360918E1" w14:textId="3582A407" w:rsidR="00775105" w:rsidRPr="004C2412" w:rsidRDefault="00775105" w:rsidP="00775105">
            <w:pPr>
              <w:spacing w:before="0"/>
              <w:ind w:left="0"/>
            </w:pPr>
            <w:r w:rsidRPr="004C2412">
              <w:t>Failure to attend activity specified in a Job Plan (NSNP)</w:t>
            </w:r>
          </w:p>
        </w:tc>
        <w:tc>
          <w:tcPr>
            <w:tcW w:w="1481" w:type="dxa"/>
            <w:vAlign w:val="center"/>
          </w:tcPr>
          <w:p w14:paraId="360918E2" w14:textId="5F3ECBC2"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54,184</w:t>
            </w:r>
          </w:p>
        </w:tc>
        <w:tc>
          <w:tcPr>
            <w:tcW w:w="1481" w:type="dxa"/>
            <w:vAlign w:val="center"/>
          </w:tcPr>
          <w:p w14:paraId="360918E3" w14:textId="113EAC6D"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11,110</w:t>
            </w:r>
          </w:p>
        </w:tc>
        <w:tc>
          <w:tcPr>
            <w:tcW w:w="1255" w:type="dxa"/>
            <w:vAlign w:val="center"/>
          </w:tcPr>
          <w:p w14:paraId="360918E4" w14:textId="6C5021DD"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1,209</w:t>
            </w:r>
          </w:p>
        </w:tc>
        <w:tc>
          <w:tcPr>
            <w:tcW w:w="1251" w:type="dxa"/>
            <w:vAlign w:val="center"/>
          </w:tcPr>
          <w:p w14:paraId="360918E5" w14:textId="22C9B710"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w:t>
            </w:r>
          </w:p>
        </w:tc>
        <w:tc>
          <w:tcPr>
            <w:tcW w:w="1481" w:type="dxa"/>
            <w:vAlign w:val="center"/>
          </w:tcPr>
          <w:p w14:paraId="360918E6" w14:textId="39EDE312"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66,503</w:t>
            </w:r>
          </w:p>
        </w:tc>
        <w:tc>
          <w:tcPr>
            <w:tcW w:w="1713" w:type="dxa"/>
            <w:vAlign w:val="center"/>
          </w:tcPr>
          <w:p w14:paraId="360918E7" w14:textId="5D8C4256"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277,465</w:t>
            </w:r>
          </w:p>
        </w:tc>
        <w:tc>
          <w:tcPr>
            <w:tcW w:w="1788" w:type="dxa"/>
            <w:vAlign w:val="center"/>
          </w:tcPr>
          <w:p w14:paraId="360918E8" w14:textId="6856E9E0"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81.12%</w:t>
            </w:r>
          </w:p>
        </w:tc>
      </w:tr>
      <w:tr w:rsidR="00775105" w:rsidRPr="004C2412" w14:paraId="360918F2" w14:textId="25D16BD4" w:rsidTr="00775105">
        <w:trPr>
          <w:trHeight w:val="409"/>
        </w:trPr>
        <w:tc>
          <w:tcPr>
            <w:cnfStyle w:val="001000000000" w:firstRow="0" w:lastRow="0" w:firstColumn="1" w:lastColumn="0" w:oddVBand="0" w:evenVBand="0" w:oddHBand="0" w:evenHBand="0" w:firstRowFirstColumn="0" w:firstRowLastColumn="0" w:lastRowFirstColumn="0" w:lastRowLastColumn="0"/>
            <w:tcW w:w="4287" w:type="dxa"/>
            <w:vAlign w:val="center"/>
          </w:tcPr>
          <w:p w14:paraId="360918EA" w14:textId="379AB40B" w:rsidR="00775105" w:rsidRPr="004C2412" w:rsidRDefault="00775105" w:rsidP="00775105">
            <w:pPr>
              <w:spacing w:before="0"/>
              <w:ind w:left="0"/>
            </w:pPr>
            <w:r w:rsidRPr="004C2412">
              <w:t>Failure to attend job interview (NSNP)</w:t>
            </w:r>
          </w:p>
        </w:tc>
        <w:tc>
          <w:tcPr>
            <w:tcW w:w="1481" w:type="dxa"/>
            <w:vAlign w:val="center"/>
          </w:tcPr>
          <w:p w14:paraId="360918EB" w14:textId="37806468"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560</w:t>
            </w:r>
          </w:p>
        </w:tc>
        <w:tc>
          <w:tcPr>
            <w:tcW w:w="1481" w:type="dxa"/>
            <w:vAlign w:val="center"/>
          </w:tcPr>
          <w:p w14:paraId="360918EC" w14:textId="4952A134"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145</w:t>
            </w:r>
          </w:p>
        </w:tc>
        <w:tc>
          <w:tcPr>
            <w:tcW w:w="1255" w:type="dxa"/>
            <w:vAlign w:val="center"/>
          </w:tcPr>
          <w:p w14:paraId="360918ED" w14:textId="6CCA80B0"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11</w:t>
            </w:r>
          </w:p>
        </w:tc>
        <w:tc>
          <w:tcPr>
            <w:tcW w:w="1251" w:type="dxa"/>
            <w:vAlign w:val="center"/>
          </w:tcPr>
          <w:p w14:paraId="360918EE" w14:textId="3E693FB5"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w:t>
            </w:r>
          </w:p>
        </w:tc>
        <w:tc>
          <w:tcPr>
            <w:tcW w:w="1481" w:type="dxa"/>
            <w:vAlign w:val="center"/>
          </w:tcPr>
          <w:p w14:paraId="360918EF" w14:textId="3EF46CBE"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716</w:t>
            </w:r>
          </w:p>
        </w:tc>
        <w:tc>
          <w:tcPr>
            <w:tcW w:w="1713" w:type="dxa"/>
            <w:vAlign w:val="center"/>
          </w:tcPr>
          <w:p w14:paraId="360918F0" w14:textId="5ED1E891"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2,956</w:t>
            </w:r>
          </w:p>
        </w:tc>
        <w:tc>
          <w:tcPr>
            <w:tcW w:w="1788" w:type="dxa"/>
            <w:vAlign w:val="center"/>
          </w:tcPr>
          <w:p w14:paraId="360918F1" w14:textId="2EE3E39C"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0.86%</w:t>
            </w:r>
          </w:p>
        </w:tc>
      </w:tr>
      <w:tr w:rsidR="00775105" w:rsidRPr="004C2412" w14:paraId="360918FB" w14:textId="1CD46B63" w:rsidTr="00775105">
        <w:trPr>
          <w:trHeight w:val="415"/>
        </w:trPr>
        <w:tc>
          <w:tcPr>
            <w:cnfStyle w:val="001000000000" w:firstRow="0" w:lastRow="0" w:firstColumn="1" w:lastColumn="0" w:oddVBand="0" w:evenVBand="0" w:oddHBand="0" w:evenHBand="0" w:firstRowFirstColumn="0" w:firstRowLastColumn="0" w:lastRowFirstColumn="0" w:lastRowLastColumn="0"/>
            <w:tcW w:w="4287" w:type="dxa"/>
            <w:vAlign w:val="center"/>
          </w:tcPr>
          <w:p w14:paraId="360918F3" w14:textId="56F32874" w:rsidR="00775105" w:rsidRPr="004C2412" w:rsidRDefault="00775105" w:rsidP="00775105">
            <w:pPr>
              <w:spacing w:before="0"/>
              <w:ind w:left="0"/>
            </w:pPr>
            <w:r w:rsidRPr="004C2412">
              <w:t>Inappropriate conduct in a Job Plan activity (NSNP)</w:t>
            </w:r>
          </w:p>
        </w:tc>
        <w:tc>
          <w:tcPr>
            <w:tcW w:w="1481" w:type="dxa"/>
            <w:vAlign w:val="center"/>
          </w:tcPr>
          <w:p w14:paraId="360918F4" w14:textId="14EDA5F2"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248</w:t>
            </w:r>
          </w:p>
        </w:tc>
        <w:tc>
          <w:tcPr>
            <w:tcW w:w="1481" w:type="dxa"/>
            <w:vAlign w:val="center"/>
          </w:tcPr>
          <w:p w14:paraId="360918F5" w14:textId="3BA97421"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66</w:t>
            </w:r>
          </w:p>
        </w:tc>
        <w:tc>
          <w:tcPr>
            <w:tcW w:w="1255" w:type="dxa"/>
            <w:vAlign w:val="center"/>
          </w:tcPr>
          <w:p w14:paraId="360918F6" w14:textId="5AA433A4"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330C">
              <w:t>5</w:t>
            </w:r>
          </w:p>
        </w:tc>
        <w:tc>
          <w:tcPr>
            <w:tcW w:w="1251" w:type="dxa"/>
            <w:vAlign w:val="center"/>
          </w:tcPr>
          <w:p w14:paraId="360918F7" w14:textId="5F6DE477"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w:t>
            </w:r>
          </w:p>
        </w:tc>
        <w:tc>
          <w:tcPr>
            <w:tcW w:w="1481" w:type="dxa"/>
            <w:vAlign w:val="center"/>
          </w:tcPr>
          <w:p w14:paraId="360918F8" w14:textId="350E352D"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319</w:t>
            </w:r>
          </w:p>
        </w:tc>
        <w:tc>
          <w:tcPr>
            <w:tcW w:w="1713" w:type="dxa"/>
            <w:vAlign w:val="center"/>
          </w:tcPr>
          <w:p w14:paraId="360918F9" w14:textId="7AC623AB"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1,313</w:t>
            </w:r>
          </w:p>
        </w:tc>
        <w:tc>
          <w:tcPr>
            <w:tcW w:w="1788" w:type="dxa"/>
            <w:vAlign w:val="center"/>
          </w:tcPr>
          <w:p w14:paraId="360918FA" w14:textId="06960EEC"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0.38%</w:t>
            </w:r>
          </w:p>
        </w:tc>
      </w:tr>
      <w:tr w:rsidR="00775105" w:rsidRPr="004C2412" w14:paraId="36091904" w14:textId="4B86197C" w:rsidTr="00775105">
        <w:tc>
          <w:tcPr>
            <w:cnfStyle w:val="001000000000" w:firstRow="0" w:lastRow="0" w:firstColumn="1" w:lastColumn="0" w:oddVBand="0" w:evenVBand="0" w:oddHBand="0" w:evenHBand="0" w:firstRowFirstColumn="0" w:firstRowLastColumn="0" w:lastRowFirstColumn="0" w:lastRowLastColumn="0"/>
            <w:tcW w:w="4287" w:type="dxa"/>
            <w:vAlign w:val="center"/>
          </w:tcPr>
          <w:p w14:paraId="360918FC" w14:textId="507818EA" w:rsidR="00775105" w:rsidRPr="004C2412" w:rsidRDefault="00775105" w:rsidP="00775105">
            <w:pPr>
              <w:spacing w:before="0"/>
              <w:ind w:left="0"/>
            </w:pPr>
            <w:r w:rsidRPr="004C2412">
              <w:t>Inappropriate presentation or conduct at job interview (NSNP)</w:t>
            </w:r>
          </w:p>
        </w:tc>
        <w:tc>
          <w:tcPr>
            <w:tcW w:w="1481" w:type="dxa"/>
            <w:vAlign w:val="center"/>
          </w:tcPr>
          <w:p w14:paraId="360918FD" w14:textId="079D171B"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140</w:t>
            </w:r>
          </w:p>
        </w:tc>
        <w:tc>
          <w:tcPr>
            <w:tcW w:w="1481" w:type="dxa"/>
            <w:vAlign w:val="center"/>
          </w:tcPr>
          <w:p w14:paraId="360918FE" w14:textId="01E5C3F8"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19</w:t>
            </w:r>
          </w:p>
        </w:tc>
        <w:tc>
          <w:tcPr>
            <w:tcW w:w="1255" w:type="dxa"/>
            <w:vAlign w:val="center"/>
          </w:tcPr>
          <w:p w14:paraId="360918FF" w14:textId="6ECF4A5D"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w:t>
            </w:r>
          </w:p>
        </w:tc>
        <w:tc>
          <w:tcPr>
            <w:tcW w:w="1251" w:type="dxa"/>
            <w:vAlign w:val="center"/>
          </w:tcPr>
          <w:p w14:paraId="36091900" w14:textId="6F38D047"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w:t>
            </w:r>
          </w:p>
        </w:tc>
        <w:tc>
          <w:tcPr>
            <w:tcW w:w="1481" w:type="dxa"/>
            <w:vAlign w:val="center"/>
          </w:tcPr>
          <w:p w14:paraId="36091901" w14:textId="2400B870"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159</w:t>
            </w:r>
          </w:p>
        </w:tc>
        <w:tc>
          <w:tcPr>
            <w:tcW w:w="1713" w:type="dxa"/>
            <w:vAlign w:val="center"/>
          </w:tcPr>
          <w:p w14:paraId="36091902" w14:textId="072D5620"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606</w:t>
            </w:r>
          </w:p>
        </w:tc>
        <w:tc>
          <w:tcPr>
            <w:tcW w:w="1788" w:type="dxa"/>
            <w:vAlign w:val="center"/>
          </w:tcPr>
          <w:p w14:paraId="36091903" w14:textId="0FCDB513"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1797D">
              <w:t>0.18%</w:t>
            </w:r>
          </w:p>
        </w:tc>
      </w:tr>
      <w:tr w:rsidR="00775105" w:rsidRPr="004C2412" w14:paraId="3609190D" w14:textId="7AD765F1" w:rsidTr="00775105">
        <w:trPr>
          <w:trHeight w:val="433"/>
        </w:trPr>
        <w:tc>
          <w:tcPr>
            <w:cnfStyle w:val="001000000000" w:firstRow="0" w:lastRow="0" w:firstColumn="1" w:lastColumn="0" w:oddVBand="0" w:evenVBand="0" w:oddHBand="0" w:evenHBand="0" w:firstRowFirstColumn="0" w:firstRowLastColumn="0" w:lastRowFirstColumn="0" w:lastRowLastColumn="0"/>
            <w:tcW w:w="4287" w:type="dxa"/>
            <w:vAlign w:val="center"/>
          </w:tcPr>
          <w:p w14:paraId="36091905" w14:textId="514DF46C" w:rsidR="00775105" w:rsidRPr="004C2412" w:rsidRDefault="00775105" w:rsidP="00775105">
            <w:pPr>
              <w:spacing w:before="0"/>
              <w:ind w:left="0"/>
              <w:rPr>
                <w:b/>
              </w:rPr>
            </w:pPr>
            <w:r w:rsidRPr="004C2412">
              <w:rPr>
                <w:b/>
              </w:rPr>
              <w:t>Sub Total Short Term Financial Penalties</w:t>
            </w:r>
          </w:p>
        </w:tc>
        <w:tc>
          <w:tcPr>
            <w:tcW w:w="1481" w:type="dxa"/>
            <w:vAlign w:val="center"/>
          </w:tcPr>
          <w:p w14:paraId="36091906" w14:textId="3B9EDF21" w:rsidR="00775105" w:rsidRPr="00443621"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65,862</w:t>
            </w:r>
          </w:p>
        </w:tc>
        <w:tc>
          <w:tcPr>
            <w:tcW w:w="1481" w:type="dxa"/>
            <w:vAlign w:val="center"/>
          </w:tcPr>
          <w:p w14:paraId="36091907" w14:textId="789ECD67" w:rsidR="00775105" w:rsidRPr="00443621"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14,501</w:t>
            </w:r>
          </w:p>
        </w:tc>
        <w:tc>
          <w:tcPr>
            <w:tcW w:w="1255" w:type="dxa"/>
            <w:vAlign w:val="center"/>
          </w:tcPr>
          <w:p w14:paraId="36091908" w14:textId="4DD42CF1" w:rsidR="00775105" w:rsidRPr="00443621"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1,503</w:t>
            </w:r>
          </w:p>
        </w:tc>
        <w:tc>
          <w:tcPr>
            <w:tcW w:w="1251" w:type="dxa"/>
            <w:vAlign w:val="center"/>
          </w:tcPr>
          <w:p w14:paraId="36091909" w14:textId="57A4CD4F" w:rsidR="00775105" w:rsidRPr="00443621"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0</w:t>
            </w:r>
          </w:p>
        </w:tc>
        <w:tc>
          <w:tcPr>
            <w:tcW w:w="1481" w:type="dxa"/>
            <w:vAlign w:val="center"/>
          </w:tcPr>
          <w:p w14:paraId="3609190A" w14:textId="7153CBFF" w:rsidR="00775105" w:rsidRPr="00443621"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81,866</w:t>
            </w:r>
          </w:p>
        </w:tc>
        <w:tc>
          <w:tcPr>
            <w:tcW w:w="1713" w:type="dxa"/>
            <w:vAlign w:val="center"/>
          </w:tcPr>
          <w:p w14:paraId="3609190B" w14:textId="2E77C28A" w:rsidR="00775105" w:rsidRPr="00443621"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342,060</w:t>
            </w:r>
          </w:p>
        </w:tc>
        <w:tc>
          <w:tcPr>
            <w:tcW w:w="1788" w:type="dxa"/>
            <w:vAlign w:val="center"/>
          </w:tcPr>
          <w:p w14:paraId="3609190C" w14:textId="6D0DE8EF" w:rsidR="00775105" w:rsidRPr="00443621"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100.00%</w:t>
            </w:r>
          </w:p>
        </w:tc>
      </w:tr>
      <w:tr w:rsidR="00775105" w:rsidRPr="004C2412" w14:paraId="36091922" w14:textId="16E04031" w:rsidTr="00775105">
        <w:trPr>
          <w:cnfStyle w:val="010000000000" w:firstRow="0" w:lastRow="1"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287" w:type="dxa"/>
            <w:vAlign w:val="center"/>
          </w:tcPr>
          <w:p w14:paraId="3609191A" w14:textId="3CDCD299" w:rsidR="00775105" w:rsidRPr="004C2412" w:rsidRDefault="00775105" w:rsidP="00775105">
            <w:pPr>
              <w:spacing w:before="0"/>
              <w:ind w:left="0"/>
            </w:pPr>
            <w:r w:rsidRPr="004C2412">
              <w:t>Total Financial Penalties</w:t>
            </w:r>
          </w:p>
        </w:tc>
        <w:tc>
          <w:tcPr>
            <w:tcW w:w="1481" w:type="dxa"/>
            <w:vAlign w:val="center"/>
          </w:tcPr>
          <w:p w14:paraId="3609191B" w14:textId="051DA5F0"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191917">
              <w:t>75,266</w:t>
            </w:r>
          </w:p>
        </w:tc>
        <w:tc>
          <w:tcPr>
            <w:tcW w:w="1481" w:type="dxa"/>
            <w:vAlign w:val="center"/>
          </w:tcPr>
          <w:p w14:paraId="3609191C" w14:textId="5F4B709B"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191917">
              <w:t>16,101</w:t>
            </w:r>
          </w:p>
        </w:tc>
        <w:tc>
          <w:tcPr>
            <w:tcW w:w="1255" w:type="dxa"/>
            <w:vAlign w:val="center"/>
          </w:tcPr>
          <w:p w14:paraId="3609191D" w14:textId="28E2D004"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191917">
              <w:t>1,655</w:t>
            </w:r>
          </w:p>
        </w:tc>
        <w:tc>
          <w:tcPr>
            <w:tcW w:w="1251" w:type="dxa"/>
            <w:vAlign w:val="center"/>
          </w:tcPr>
          <w:p w14:paraId="3609191E" w14:textId="50A994A5"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191917">
              <w:t>1,851</w:t>
            </w:r>
          </w:p>
        </w:tc>
        <w:tc>
          <w:tcPr>
            <w:tcW w:w="1481" w:type="dxa"/>
            <w:vAlign w:val="center"/>
          </w:tcPr>
          <w:p w14:paraId="3609191F" w14:textId="74B4C18B"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191917">
              <w:t>94,873</w:t>
            </w:r>
          </w:p>
        </w:tc>
        <w:tc>
          <w:tcPr>
            <w:tcW w:w="1713" w:type="dxa"/>
            <w:vAlign w:val="center"/>
          </w:tcPr>
          <w:p w14:paraId="36091920" w14:textId="639232FA"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191917">
              <w:t>394,444</w:t>
            </w:r>
          </w:p>
        </w:tc>
        <w:tc>
          <w:tcPr>
            <w:tcW w:w="1788" w:type="dxa"/>
            <w:vAlign w:val="center"/>
          </w:tcPr>
          <w:p w14:paraId="36091921" w14:textId="6EDFFFF5"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191917">
              <w:t>100.00%</w:t>
            </w:r>
          </w:p>
        </w:tc>
      </w:tr>
    </w:tbl>
    <w:p w14:paraId="5C599240" w14:textId="6331B590" w:rsidR="00CF2936" w:rsidRPr="004C2412" w:rsidRDefault="00CF2936" w:rsidP="00A609AA">
      <w:pPr>
        <w:ind w:left="0"/>
        <w:rPr>
          <w:noProof/>
        </w:rPr>
      </w:pPr>
      <w:r w:rsidRPr="004C2412">
        <w:rPr>
          <w:b/>
        </w:rPr>
        <w:t>^</w:t>
      </w:r>
      <w:r w:rsidRPr="004C2412">
        <w:rPr>
          <w:noProof/>
        </w:rPr>
        <w:t>For example, issue of Employment Contact Certificates and some Job Plan failures (Reconnection).</w:t>
      </w:r>
    </w:p>
    <w:p w14:paraId="36091924" w14:textId="18753F66" w:rsidR="000D7376" w:rsidRPr="004C2412" w:rsidRDefault="000D7376" w:rsidP="00A609AA">
      <w:pPr>
        <w:ind w:left="0"/>
      </w:pPr>
      <w:r w:rsidRPr="004C2412">
        <w:t>Appointment related failures comprise of financial penalties for non-attendance at a provider or Department of Human Services (including Comprehensive Compliance Assessment) appointment.</w:t>
      </w:r>
    </w:p>
    <w:p w14:paraId="36091925" w14:textId="7F41EF31" w:rsidR="00BF33EB" w:rsidRPr="004C2412" w:rsidRDefault="000D7376" w:rsidP="00A609AA">
      <w:pPr>
        <w:ind w:left="0"/>
        <w:rPr>
          <w:bCs/>
        </w:rPr>
      </w:pPr>
      <w:r w:rsidRPr="004C2412">
        <w:rPr>
          <w:bCs/>
        </w:rPr>
        <w:t xml:space="preserve">Reconnection failures for not entering into a Job Plan </w:t>
      </w:r>
      <w:proofErr w:type="gramStart"/>
      <w:r w:rsidRPr="004C2412">
        <w:rPr>
          <w:bCs/>
        </w:rPr>
        <w:t>can be applied</w:t>
      </w:r>
      <w:proofErr w:type="gramEnd"/>
      <w:r w:rsidRPr="004C2412">
        <w:rPr>
          <w:bCs/>
        </w:rPr>
        <w:t xml:space="preserve"> when a job seeker does not attend an appointment with their Provider then refuses to enter into a Job Plan at their re-engagement appointment. This refusal represents the job seekers first refusal to enter into a Job Plan.</w:t>
      </w:r>
    </w:p>
    <w:p w14:paraId="1F821EA4" w14:textId="77777777" w:rsidR="00BF33EB" w:rsidRPr="004C2412" w:rsidRDefault="00BF33EB">
      <w:pPr>
        <w:spacing w:before="0"/>
        <w:ind w:left="0"/>
        <w:rPr>
          <w:bCs/>
        </w:rPr>
      </w:pPr>
      <w:r w:rsidRPr="004C2412">
        <w:rPr>
          <w:bCs/>
        </w:rPr>
        <w:br w:type="page"/>
      </w:r>
    </w:p>
    <w:p w14:paraId="36091927" w14:textId="4ED5F459" w:rsidR="002567EB" w:rsidRPr="004C2412" w:rsidRDefault="00347F02" w:rsidP="00A609AA">
      <w:pPr>
        <w:pStyle w:val="Heading3"/>
        <w:numPr>
          <w:ilvl w:val="0"/>
          <w:numId w:val="0"/>
        </w:numPr>
      </w:pPr>
      <w:bookmarkStart w:id="67" w:name="_Toc526864473"/>
      <w:r w:rsidRPr="004C2412">
        <w:t xml:space="preserve">16 c </w:t>
      </w:r>
      <w:r w:rsidR="00C95ED9" w:rsidRPr="004C2412">
        <w:t>–</w:t>
      </w:r>
      <w:r w:rsidRPr="004C2412">
        <w:t xml:space="preserve"> </w:t>
      </w:r>
      <w:r w:rsidR="00405C45" w:rsidRPr="004C2412">
        <w:t>Connection Failure</w:t>
      </w:r>
      <w:r w:rsidR="00C95ED9" w:rsidRPr="004C2412">
        <w:t xml:space="preserve">s - 1 </w:t>
      </w:r>
      <w:r w:rsidR="00775105">
        <w:t>April</w:t>
      </w:r>
      <w:r w:rsidR="00775105" w:rsidRPr="004C2412">
        <w:t xml:space="preserve"> </w:t>
      </w:r>
      <w:r w:rsidR="00C95ED9" w:rsidRPr="004C2412">
        <w:t>to 3</w:t>
      </w:r>
      <w:r w:rsidR="00775105">
        <w:t>0</w:t>
      </w:r>
      <w:r w:rsidR="00C95ED9" w:rsidRPr="004C2412">
        <w:t xml:space="preserve"> </w:t>
      </w:r>
      <w:r w:rsidR="00775105">
        <w:t>June</w:t>
      </w:r>
      <w:r w:rsidR="00775105" w:rsidRPr="004C2412">
        <w:t xml:space="preserve"> </w:t>
      </w:r>
      <w:r w:rsidR="00C95ED9" w:rsidRPr="004C2412">
        <w:t>201</w:t>
      </w:r>
      <w:r w:rsidR="008219FA" w:rsidRPr="004C2412">
        <w:t>8</w:t>
      </w:r>
      <w:bookmarkEnd w:id="67"/>
      <w:r w:rsidR="00C95ED9" w:rsidRPr="004C2412">
        <w:t xml:space="preserve"> </w:t>
      </w:r>
      <w:r w:rsidR="00CF2936" w:rsidRPr="004C2412">
        <w:t xml:space="preserve"> </w:t>
      </w:r>
    </w:p>
    <w:tbl>
      <w:tblPr>
        <w:tblStyle w:val="LeftAlignTable"/>
        <w:tblW w:w="0" w:type="auto"/>
        <w:tblInd w:w="-5" w:type="dxa"/>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6203"/>
        <w:gridCol w:w="1314"/>
        <w:gridCol w:w="1314"/>
        <w:gridCol w:w="1314"/>
        <w:gridCol w:w="1315"/>
        <w:gridCol w:w="1288"/>
        <w:gridCol w:w="1288"/>
      </w:tblGrid>
      <w:tr w:rsidR="004F047B" w:rsidRPr="004C2412" w14:paraId="3609192F" w14:textId="0476224A" w:rsidTr="006709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203" w:type="dxa"/>
            <w:shd w:val="clear" w:color="auto" w:fill="auto"/>
            <w:vAlign w:val="center"/>
          </w:tcPr>
          <w:p w14:paraId="36091928" w14:textId="2DA02AA2" w:rsidR="004F047B" w:rsidRPr="004C2412" w:rsidRDefault="00CF2936" w:rsidP="00910012">
            <w:pPr>
              <w:spacing w:before="0"/>
              <w:ind w:left="0"/>
            </w:pPr>
            <w:r w:rsidRPr="004C2412">
              <w:t xml:space="preserve">Types of </w:t>
            </w:r>
            <w:r w:rsidR="004F047B" w:rsidRPr="004C2412">
              <w:t>Connection Failures</w:t>
            </w:r>
          </w:p>
        </w:tc>
        <w:tc>
          <w:tcPr>
            <w:tcW w:w="1314" w:type="dxa"/>
            <w:vAlign w:val="center"/>
          </w:tcPr>
          <w:p w14:paraId="36091929" w14:textId="74904BD6"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NSA</w:t>
            </w:r>
          </w:p>
        </w:tc>
        <w:tc>
          <w:tcPr>
            <w:tcW w:w="1314" w:type="dxa"/>
            <w:vAlign w:val="center"/>
          </w:tcPr>
          <w:p w14:paraId="3609192A" w14:textId="5EBA396A"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YAL</w:t>
            </w:r>
          </w:p>
        </w:tc>
        <w:tc>
          <w:tcPr>
            <w:tcW w:w="1314" w:type="dxa"/>
            <w:vAlign w:val="center"/>
          </w:tcPr>
          <w:p w14:paraId="3609192B" w14:textId="29398E45"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PPS</w:t>
            </w:r>
          </w:p>
        </w:tc>
        <w:tc>
          <w:tcPr>
            <w:tcW w:w="1315" w:type="dxa"/>
            <w:vAlign w:val="center"/>
          </w:tcPr>
          <w:p w14:paraId="3609192C" w14:textId="2013C316"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288" w:type="dxa"/>
            <w:vAlign w:val="center"/>
          </w:tcPr>
          <w:p w14:paraId="3609192D" w14:textId="1645E89C"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c>
          <w:tcPr>
            <w:tcW w:w="1288" w:type="dxa"/>
            <w:vAlign w:val="center"/>
          </w:tcPr>
          <w:p w14:paraId="3609192E" w14:textId="12F963CB"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Financial YTD%</w:t>
            </w:r>
          </w:p>
        </w:tc>
      </w:tr>
      <w:tr w:rsidR="00775105" w:rsidRPr="004C2412" w14:paraId="36091937" w14:textId="33EDCED5" w:rsidTr="00910012">
        <w:trPr>
          <w:trHeight w:val="340"/>
        </w:trPr>
        <w:tc>
          <w:tcPr>
            <w:cnfStyle w:val="001000000000" w:firstRow="0" w:lastRow="0" w:firstColumn="1" w:lastColumn="0" w:oddVBand="0" w:evenVBand="0" w:oddHBand="0" w:evenHBand="0" w:firstRowFirstColumn="0" w:firstRowLastColumn="0" w:lastRowFirstColumn="0" w:lastRowLastColumn="0"/>
            <w:tcW w:w="6203" w:type="dxa"/>
            <w:vAlign w:val="center"/>
          </w:tcPr>
          <w:p w14:paraId="36091930" w14:textId="6D135CAD" w:rsidR="00775105" w:rsidRPr="004C2412" w:rsidRDefault="00775105" w:rsidP="00775105">
            <w:pPr>
              <w:spacing w:before="0"/>
              <w:ind w:left="0"/>
              <w:rPr>
                <w:b/>
              </w:rPr>
            </w:pPr>
            <w:r w:rsidRPr="004C2412">
              <w:t>Failure to attend third party appointment^</w:t>
            </w:r>
          </w:p>
        </w:tc>
        <w:tc>
          <w:tcPr>
            <w:tcW w:w="1314" w:type="dxa"/>
            <w:vAlign w:val="center"/>
          </w:tcPr>
          <w:p w14:paraId="36091931" w14:textId="33F44AF5"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198</w:t>
            </w:r>
          </w:p>
        </w:tc>
        <w:tc>
          <w:tcPr>
            <w:tcW w:w="1314" w:type="dxa"/>
            <w:vAlign w:val="center"/>
          </w:tcPr>
          <w:p w14:paraId="36091932" w14:textId="1B71D47F" w:rsidR="00775105" w:rsidRPr="004C2412" w:rsidRDefault="0034330C"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314" w:type="dxa"/>
            <w:vAlign w:val="center"/>
          </w:tcPr>
          <w:p w14:paraId="36091933" w14:textId="2F24057A" w:rsidR="00775105" w:rsidRPr="004C2412" w:rsidRDefault="0034330C"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&lt;5</w:t>
            </w:r>
          </w:p>
        </w:tc>
        <w:tc>
          <w:tcPr>
            <w:tcW w:w="1315" w:type="dxa"/>
            <w:vAlign w:val="center"/>
          </w:tcPr>
          <w:p w14:paraId="36091934" w14:textId="28AEDAD3"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258</w:t>
            </w:r>
          </w:p>
        </w:tc>
        <w:tc>
          <w:tcPr>
            <w:tcW w:w="1288" w:type="dxa"/>
            <w:vAlign w:val="center"/>
          </w:tcPr>
          <w:p w14:paraId="36091935" w14:textId="48E38BF0"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1,216</w:t>
            </w:r>
          </w:p>
        </w:tc>
        <w:tc>
          <w:tcPr>
            <w:tcW w:w="1288" w:type="dxa"/>
            <w:vAlign w:val="center"/>
          </w:tcPr>
          <w:p w14:paraId="36091936" w14:textId="7368E084"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1.67%</w:t>
            </w:r>
          </w:p>
        </w:tc>
      </w:tr>
      <w:tr w:rsidR="00775105" w:rsidRPr="004C2412" w14:paraId="3609193F" w14:textId="04F87687" w:rsidTr="00910012">
        <w:trPr>
          <w:trHeight w:val="340"/>
        </w:trPr>
        <w:tc>
          <w:tcPr>
            <w:cnfStyle w:val="001000000000" w:firstRow="0" w:lastRow="0" w:firstColumn="1" w:lastColumn="0" w:oddVBand="0" w:evenVBand="0" w:oddHBand="0" w:evenHBand="0" w:firstRowFirstColumn="0" w:firstRowLastColumn="0" w:lastRowFirstColumn="0" w:lastRowLastColumn="0"/>
            <w:tcW w:w="6203" w:type="dxa"/>
            <w:vAlign w:val="center"/>
          </w:tcPr>
          <w:p w14:paraId="36091938" w14:textId="2D8AC76A" w:rsidR="00775105" w:rsidRPr="004C2412" w:rsidRDefault="00775105" w:rsidP="00775105">
            <w:pPr>
              <w:spacing w:before="0"/>
              <w:ind w:left="0"/>
              <w:rPr>
                <w:b/>
              </w:rPr>
            </w:pPr>
            <w:r w:rsidRPr="004C2412">
              <w:t>Failure to attend CCA appointment</w:t>
            </w:r>
          </w:p>
        </w:tc>
        <w:tc>
          <w:tcPr>
            <w:tcW w:w="1314" w:type="dxa"/>
            <w:vAlign w:val="center"/>
          </w:tcPr>
          <w:p w14:paraId="36091939" w14:textId="79375C5E"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w:t>
            </w:r>
            <w:r>
              <w:t>,</w:t>
            </w:r>
            <w:r w:rsidRPr="00E371F9">
              <w:t>537</w:t>
            </w:r>
          </w:p>
        </w:tc>
        <w:tc>
          <w:tcPr>
            <w:tcW w:w="1314" w:type="dxa"/>
            <w:vAlign w:val="center"/>
          </w:tcPr>
          <w:p w14:paraId="3609193A" w14:textId="46CB4C2D"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339</w:t>
            </w:r>
          </w:p>
        </w:tc>
        <w:tc>
          <w:tcPr>
            <w:tcW w:w="1314" w:type="dxa"/>
            <w:vAlign w:val="center"/>
          </w:tcPr>
          <w:p w14:paraId="3609193B" w14:textId="358C202E"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32</w:t>
            </w:r>
          </w:p>
        </w:tc>
        <w:tc>
          <w:tcPr>
            <w:tcW w:w="1315" w:type="dxa"/>
            <w:vAlign w:val="center"/>
          </w:tcPr>
          <w:p w14:paraId="3609193C" w14:textId="1B8A2E42"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1,908</w:t>
            </w:r>
          </w:p>
        </w:tc>
        <w:tc>
          <w:tcPr>
            <w:tcW w:w="1288" w:type="dxa"/>
            <w:vAlign w:val="center"/>
          </w:tcPr>
          <w:p w14:paraId="3609193D" w14:textId="6848679C"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10,685</w:t>
            </w:r>
          </w:p>
        </w:tc>
        <w:tc>
          <w:tcPr>
            <w:tcW w:w="1288" w:type="dxa"/>
            <w:vAlign w:val="center"/>
          </w:tcPr>
          <w:p w14:paraId="3609193E" w14:textId="366256A6"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14.70%</w:t>
            </w:r>
          </w:p>
        </w:tc>
      </w:tr>
      <w:tr w:rsidR="00775105" w:rsidRPr="004C2412" w14:paraId="36091947" w14:textId="530B2009" w:rsidTr="00910012">
        <w:trPr>
          <w:trHeight w:val="340"/>
        </w:trPr>
        <w:tc>
          <w:tcPr>
            <w:cnfStyle w:val="001000000000" w:firstRow="0" w:lastRow="0" w:firstColumn="1" w:lastColumn="0" w:oddVBand="0" w:evenVBand="0" w:oddHBand="0" w:evenHBand="0" w:firstRowFirstColumn="0" w:firstRowLastColumn="0" w:lastRowFirstColumn="0" w:lastRowLastColumn="0"/>
            <w:tcW w:w="6203" w:type="dxa"/>
            <w:vAlign w:val="center"/>
          </w:tcPr>
          <w:p w14:paraId="36091940" w14:textId="683F17CC" w:rsidR="00775105" w:rsidRPr="004C2412" w:rsidRDefault="00775105" w:rsidP="00775105">
            <w:pPr>
              <w:spacing w:before="0"/>
              <w:ind w:left="0"/>
              <w:rPr>
                <w:b/>
              </w:rPr>
            </w:pPr>
            <w:r w:rsidRPr="004C2412">
              <w:t>Failure to comply with Job Search requirement in a Job Plan</w:t>
            </w:r>
          </w:p>
        </w:tc>
        <w:tc>
          <w:tcPr>
            <w:tcW w:w="1314" w:type="dxa"/>
            <w:vAlign w:val="center"/>
          </w:tcPr>
          <w:p w14:paraId="36091941" w14:textId="55824CC5"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12</w:t>
            </w:r>
            <w:r>
              <w:t>,</w:t>
            </w:r>
            <w:r w:rsidRPr="00E371F9">
              <w:t>791</w:t>
            </w:r>
          </w:p>
        </w:tc>
        <w:tc>
          <w:tcPr>
            <w:tcW w:w="1314" w:type="dxa"/>
            <w:vAlign w:val="center"/>
          </w:tcPr>
          <w:p w14:paraId="36091942" w14:textId="0FA535D6"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2</w:t>
            </w:r>
            <w:r>
              <w:t>,</w:t>
            </w:r>
            <w:r w:rsidRPr="00E371F9">
              <w:t>408</w:t>
            </w:r>
          </w:p>
        </w:tc>
        <w:tc>
          <w:tcPr>
            <w:tcW w:w="1314" w:type="dxa"/>
            <w:vAlign w:val="center"/>
          </w:tcPr>
          <w:p w14:paraId="36091943" w14:textId="22EF69E3"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0</w:t>
            </w:r>
          </w:p>
        </w:tc>
        <w:tc>
          <w:tcPr>
            <w:tcW w:w="1315" w:type="dxa"/>
            <w:vAlign w:val="center"/>
          </w:tcPr>
          <w:p w14:paraId="36091944" w14:textId="3B93211E"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15,199</w:t>
            </w:r>
          </w:p>
        </w:tc>
        <w:tc>
          <w:tcPr>
            <w:tcW w:w="1288" w:type="dxa"/>
            <w:vAlign w:val="center"/>
          </w:tcPr>
          <w:p w14:paraId="36091945" w14:textId="59CC91DA"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58,596</w:t>
            </w:r>
          </w:p>
        </w:tc>
        <w:tc>
          <w:tcPr>
            <w:tcW w:w="1288" w:type="dxa"/>
            <w:vAlign w:val="center"/>
          </w:tcPr>
          <w:p w14:paraId="36091946" w14:textId="162DE036"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80.61%</w:t>
            </w:r>
          </w:p>
        </w:tc>
      </w:tr>
      <w:tr w:rsidR="00775105" w:rsidRPr="004C2412" w14:paraId="3609194F" w14:textId="59AFD21A" w:rsidTr="00910012">
        <w:trPr>
          <w:trHeight w:val="340"/>
        </w:trPr>
        <w:tc>
          <w:tcPr>
            <w:cnfStyle w:val="001000000000" w:firstRow="0" w:lastRow="0" w:firstColumn="1" w:lastColumn="0" w:oddVBand="0" w:evenVBand="0" w:oddHBand="0" w:evenHBand="0" w:firstRowFirstColumn="0" w:firstRowLastColumn="0" w:lastRowFirstColumn="0" w:lastRowLastColumn="0"/>
            <w:tcW w:w="6203" w:type="dxa"/>
            <w:vAlign w:val="center"/>
          </w:tcPr>
          <w:p w14:paraId="36091948" w14:textId="6E1B8EBC" w:rsidR="00775105" w:rsidRPr="004C2412" w:rsidRDefault="00775105" w:rsidP="00775105">
            <w:pPr>
              <w:spacing w:before="0"/>
              <w:ind w:left="0"/>
              <w:rPr>
                <w:b/>
              </w:rPr>
            </w:pPr>
            <w:r w:rsidRPr="004C2412">
              <w:t>Failure to enter a Job Plan with provider or the Department of Human Services</w:t>
            </w:r>
          </w:p>
        </w:tc>
        <w:tc>
          <w:tcPr>
            <w:tcW w:w="1314" w:type="dxa"/>
            <w:vAlign w:val="center"/>
          </w:tcPr>
          <w:p w14:paraId="36091949" w14:textId="546F28A2"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164</w:t>
            </w:r>
          </w:p>
        </w:tc>
        <w:tc>
          <w:tcPr>
            <w:tcW w:w="1314" w:type="dxa"/>
            <w:vAlign w:val="center"/>
          </w:tcPr>
          <w:p w14:paraId="3609194A" w14:textId="4AF83A28" w:rsidR="00775105" w:rsidRPr="004C2412" w:rsidRDefault="0034330C"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314" w:type="dxa"/>
            <w:vAlign w:val="center"/>
          </w:tcPr>
          <w:p w14:paraId="3609194B" w14:textId="1F609E1F" w:rsidR="00775105" w:rsidRPr="004C2412" w:rsidRDefault="0034330C"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330C">
              <w:t>&lt;5</w:t>
            </w:r>
          </w:p>
        </w:tc>
        <w:tc>
          <w:tcPr>
            <w:tcW w:w="1315" w:type="dxa"/>
            <w:vAlign w:val="center"/>
          </w:tcPr>
          <w:p w14:paraId="3609194C" w14:textId="3368273D"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186</w:t>
            </w:r>
          </w:p>
        </w:tc>
        <w:tc>
          <w:tcPr>
            <w:tcW w:w="1288" w:type="dxa"/>
            <w:vAlign w:val="center"/>
          </w:tcPr>
          <w:p w14:paraId="3609194D" w14:textId="758FEFBB"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874</w:t>
            </w:r>
          </w:p>
        </w:tc>
        <w:tc>
          <w:tcPr>
            <w:tcW w:w="1288" w:type="dxa"/>
            <w:vAlign w:val="center"/>
          </w:tcPr>
          <w:p w14:paraId="3609194E" w14:textId="362E6C08"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1.20%</w:t>
            </w:r>
          </w:p>
        </w:tc>
      </w:tr>
      <w:tr w:rsidR="00775105" w:rsidRPr="004C2412" w14:paraId="36091957" w14:textId="1E733A3B" w:rsidTr="00910012">
        <w:trPr>
          <w:trHeight w:val="340"/>
        </w:trPr>
        <w:tc>
          <w:tcPr>
            <w:cnfStyle w:val="001000000000" w:firstRow="0" w:lastRow="0" w:firstColumn="1" w:lastColumn="0" w:oddVBand="0" w:evenVBand="0" w:oddHBand="0" w:evenHBand="0" w:firstRowFirstColumn="0" w:firstRowLastColumn="0" w:lastRowFirstColumn="0" w:lastRowLastColumn="0"/>
            <w:tcW w:w="6203" w:type="dxa"/>
            <w:vAlign w:val="center"/>
          </w:tcPr>
          <w:p w14:paraId="36091950" w14:textId="2B3677FB" w:rsidR="00775105" w:rsidRPr="004C2412" w:rsidRDefault="00775105" w:rsidP="00775105">
            <w:pPr>
              <w:spacing w:before="0"/>
              <w:ind w:left="0"/>
              <w:rPr>
                <w:b/>
              </w:rPr>
            </w:pPr>
            <w:r w:rsidRPr="004C2412">
              <w:t>Failure to attend Department of Human Services appointment</w:t>
            </w:r>
          </w:p>
        </w:tc>
        <w:tc>
          <w:tcPr>
            <w:tcW w:w="1314" w:type="dxa"/>
            <w:vAlign w:val="center"/>
          </w:tcPr>
          <w:p w14:paraId="36091951" w14:textId="466A36E3"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197</w:t>
            </w:r>
          </w:p>
        </w:tc>
        <w:tc>
          <w:tcPr>
            <w:tcW w:w="1314" w:type="dxa"/>
            <w:vAlign w:val="center"/>
          </w:tcPr>
          <w:p w14:paraId="36091952" w14:textId="3CA3383E"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12</w:t>
            </w:r>
          </w:p>
        </w:tc>
        <w:tc>
          <w:tcPr>
            <w:tcW w:w="1314" w:type="dxa"/>
            <w:vAlign w:val="center"/>
          </w:tcPr>
          <w:p w14:paraId="36091953" w14:textId="46D15C4A"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12</w:t>
            </w:r>
          </w:p>
        </w:tc>
        <w:tc>
          <w:tcPr>
            <w:tcW w:w="1315" w:type="dxa"/>
            <w:vAlign w:val="center"/>
          </w:tcPr>
          <w:p w14:paraId="36091954" w14:textId="509EE33B"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221</w:t>
            </w:r>
          </w:p>
        </w:tc>
        <w:tc>
          <w:tcPr>
            <w:tcW w:w="1288" w:type="dxa"/>
            <w:vAlign w:val="center"/>
          </w:tcPr>
          <w:p w14:paraId="36091955" w14:textId="36F70AD5"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1,321</w:t>
            </w:r>
          </w:p>
        </w:tc>
        <w:tc>
          <w:tcPr>
            <w:tcW w:w="1288" w:type="dxa"/>
            <w:vAlign w:val="center"/>
          </w:tcPr>
          <w:p w14:paraId="36091956" w14:textId="369C5267"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371F9">
              <w:t>1.82%</w:t>
            </w:r>
          </w:p>
        </w:tc>
      </w:tr>
      <w:tr w:rsidR="00775105" w:rsidRPr="004C2412" w14:paraId="3609195F" w14:textId="161FA1F8" w:rsidTr="00910012">
        <w:trPr>
          <w:cnfStyle w:val="010000000000" w:firstRow="0" w:lastRow="1"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203" w:type="dxa"/>
            <w:vAlign w:val="center"/>
          </w:tcPr>
          <w:p w14:paraId="36091958" w14:textId="129962B8" w:rsidR="00775105" w:rsidRPr="004C2412" w:rsidRDefault="00775105" w:rsidP="00775105">
            <w:pPr>
              <w:spacing w:before="0"/>
              <w:ind w:left="0"/>
            </w:pPr>
            <w:r w:rsidRPr="004C2412">
              <w:t>Total</w:t>
            </w:r>
          </w:p>
        </w:tc>
        <w:tc>
          <w:tcPr>
            <w:tcW w:w="1314" w:type="dxa"/>
            <w:vAlign w:val="center"/>
          </w:tcPr>
          <w:p w14:paraId="36091959" w14:textId="076AC2A8"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E371F9">
              <w:t>14,887</w:t>
            </w:r>
          </w:p>
        </w:tc>
        <w:tc>
          <w:tcPr>
            <w:tcW w:w="1314" w:type="dxa"/>
            <w:vAlign w:val="center"/>
          </w:tcPr>
          <w:p w14:paraId="3609195A" w14:textId="45409694"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E371F9">
              <w:t>2,835</w:t>
            </w:r>
          </w:p>
        </w:tc>
        <w:tc>
          <w:tcPr>
            <w:tcW w:w="1314" w:type="dxa"/>
            <w:vAlign w:val="center"/>
          </w:tcPr>
          <w:p w14:paraId="3609195B" w14:textId="5F8A1539"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E371F9">
              <w:t>50</w:t>
            </w:r>
          </w:p>
        </w:tc>
        <w:tc>
          <w:tcPr>
            <w:tcW w:w="1315" w:type="dxa"/>
            <w:vAlign w:val="center"/>
          </w:tcPr>
          <w:p w14:paraId="3609195C" w14:textId="586068BA"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E371F9">
              <w:t>17,772</w:t>
            </w:r>
          </w:p>
        </w:tc>
        <w:tc>
          <w:tcPr>
            <w:tcW w:w="1288" w:type="dxa"/>
            <w:vAlign w:val="center"/>
          </w:tcPr>
          <w:p w14:paraId="3609195D" w14:textId="0375272F"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E371F9">
              <w:t>72,692</w:t>
            </w:r>
          </w:p>
        </w:tc>
        <w:tc>
          <w:tcPr>
            <w:tcW w:w="1288" w:type="dxa"/>
            <w:vAlign w:val="center"/>
          </w:tcPr>
          <w:p w14:paraId="3609195E" w14:textId="4C4F7FFF" w:rsidR="00775105" w:rsidRPr="004C2412" w:rsidRDefault="00775105" w:rsidP="00775105">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E371F9">
              <w:t>100.00%</w:t>
            </w:r>
          </w:p>
        </w:tc>
      </w:tr>
    </w:tbl>
    <w:p w14:paraId="36091960" w14:textId="53CB5C5B" w:rsidR="00A44E16" w:rsidRPr="004C2412" w:rsidRDefault="00A44E16" w:rsidP="00A609AA">
      <w:pPr>
        <w:ind w:left="0"/>
      </w:pPr>
      <w:r w:rsidRPr="004C2412">
        <w:t>Failure to attend an initial appointment with a third party, such as Work for the Dole host organisation, can result in a Connection Failure.</w:t>
      </w:r>
    </w:p>
    <w:p w14:paraId="36091961" w14:textId="2BCBF490" w:rsidR="00A44E16" w:rsidRPr="004C2412" w:rsidRDefault="00A44E16" w:rsidP="00A609AA">
      <w:pPr>
        <w:ind w:left="0"/>
        <w:rPr>
          <w:noProof/>
        </w:rPr>
      </w:pPr>
      <w:r w:rsidRPr="004C2412">
        <w:rPr>
          <w:sz w:val="28"/>
          <w:szCs w:val="28"/>
          <w:vertAlign w:val="superscript"/>
        </w:rPr>
        <w:t xml:space="preserve">^ </w:t>
      </w:r>
      <w:r w:rsidRPr="004C2412">
        <w:rPr>
          <w:noProof/>
        </w:rPr>
        <w:t>Non-attendance at employment services provider appointments is reported through a Non-Attendance Report and results in an income support payment suspension rather than a Connection Failure. Providers can recommend to the Department of Human Services that a financial penalty be applied where they consider the job seeker had no reasonable excuse for non-attendance at the appointment.</w:t>
      </w:r>
    </w:p>
    <w:p w14:paraId="36091963" w14:textId="689C1803" w:rsidR="007578AE" w:rsidRPr="004C2412" w:rsidRDefault="00347F02" w:rsidP="00A609AA">
      <w:pPr>
        <w:pStyle w:val="Heading3"/>
        <w:numPr>
          <w:ilvl w:val="0"/>
          <w:numId w:val="0"/>
        </w:numPr>
      </w:pPr>
      <w:bookmarkStart w:id="68" w:name="_Toc526864474"/>
      <w:r w:rsidRPr="004C2412">
        <w:t xml:space="preserve">16 d </w:t>
      </w:r>
      <w:r w:rsidR="00C95ED9" w:rsidRPr="004C2412">
        <w:t>–</w:t>
      </w:r>
      <w:r w:rsidRPr="004C2412">
        <w:t xml:space="preserve"> </w:t>
      </w:r>
      <w:r w:rsidR="00CF2936" w:rsidRPr="004C2412">
        <w:t>Income Support payment suspensions</w:t>
      </w:r>
      <w:r w:rsidR="00C95ED9" w:rsidRPr="004C2412">
        <w:t xml:space="preserve"> - 1 </w:t>
      </w:r>
      <w:r w:rsidR="00775105">
        <w:t>April</w:t>
      </w:r>
      <w:r w:rsidR="00775105" w:rsidRPr="004C2412">
        <w:t xml:space="preserve"> </w:t>
      </w:r>
      <w:r w:rsidR="00C95ED9" w:rsidRPr="004C2412">
        <w:t>to 3</w:t>
      </w:r>
      <w:r w:rsidR="00775105">
        <w:t>0</w:t>
      </w:r>
      <w:r w:rsidR="00C95ED9" w:rsidRPr="004C2412">
        <w:t xml:space="preserve"> </w:t>
      </w:r>
      <w:r w:rsidR="00775105">
        <w:t>June</w:t>
      </w:r>
      <w:r w:rsidR="00775105" w:rsidRPr="004C2412">
        <w:t xml:space="preserve"> </w:t>
      </w:r>
      <w:r w:rsidR="00C95ED9" w:rsidRPr="004C2412">
        <w:t>201</w:t>
      </w:r>
      <w:r w:rsidR="008219FA" w:rsidRPr="004C2412">
        <w:t>8</w:t>
      </w:r>
      <w:bookmarkEnd w:id="68"/>
    </w:p>
    <w:tbl>
      <w:tblPr>
        <w:tblStyle w:val="LeftAlignTable"/>
        <w:tblW w:w="0" w:type="auto"/>
        <w:tblInd w:w="-5" w:type="dxa"/>
        <w:tblLook w:val="06A0" w:firstRow="1" w:lastRow="0" w:firstColumn="1" w:lastColumn="0" w:noHBand="1" w:noVBand="1"/>
        <w:tblCaption w:val="Financial Penalties, Connection Failures, Payment Suspensions and CCAs by Allowance Types"/>
        <w:tblDescription w:val="Financial Penalties, Connection Failures, Payment Suspensions and CCAs by Allowance Types"/>
      </w:tblPr>
      <w:tblGrid>
        <w:gridCol w:w="6628"/>
        <w:gridCol w:w="1228"/>
        <w:gridCol w:w="1229"/>
        <w:gridCol w:w="1229"/>
        <w:gridCol w:w="1228"/>
        <w:gridCol w:w="1229"/>
        <w:gridCol w:w="1229"/>
      </w:tblGrid>
      <w:tr w:rsidR="004F047B" w:rsidRPr="004C2412" w14:paraId="3609196C" w14:textId="3B8B4BFE" w:rsidTr="006709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628" w:type="dxa"/>
            <w:shd w:val="clear" w:color="auto" w:fill="auto"/>
            <w:vAlign w:val="center"/>
          </w:tcPr>
          <w:p w14:paraId="36091965" w14:textId="55A2F2F5" w:rsidR="004F047B" w:rsidRPr="004C2412" w:rsidRDefault="00CF2936" w:rsidP="00910012">
            <w:pPr>
              <w:spacing w:before="0"/>
              <w:ind w:left="0"/>
            </w:pPr>
            <w:r w:rsidRPr="004C2412">
              <w:t xml:space="preserve">Types of </w:t>
            </w:r>
            <w:r w:rsidR="004F047B" w:rsidRPr="004C2412">
              <w:t>Income Support payment suspensions</w:t>
            </w:r>
          </w:p>
        </w:tc>
        <w:tc>
          <w:tcPr>
            <w:tcW w:w="1228" w:type="dxa"/>
            <w:vAlign w:val="center"/>
          </w:tcPr>
          <w:p w14:paraId="36091966" w14:textId="674F75D0"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NSA</w:t>
            </w:r>
          </w:p>
        </w:tc>
        <w:tc>
          <w:tcPr>
            <w:tcW w:w="1229" w:type="dxa"/>
            <w:vAlign w:val="center"/>
          </w:tcPr>
          <w:p w14:paraId="36091967" w14:textId="6E678ECA"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YAL</w:t>
            </w:r>
          </w:p>
        </w:tc>
        <w:tc>
          <w:tcPr>
            <w:tcW w:w="1229" w:type="dxa"/>
            <w:vAlign w:val="center"/>
          </w:tcPr>
          <w:p w14:paraId="36091968" w14:textId="15DDE09C"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PPS</w:t>
            </w:r>
          </w:p>
        </w:tc>
        <w:tc>
          <w:tcPr>
            <w:tcW w:w="1228" w:type="dxa"/>
            <w:vAlign w:val="center"/>
          </w:tcPr>
          <w:p w14:paraId="36091969" w14:textId="7BFE72A5"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229" w:type="dxa"/>
            <w:vAlign w:val="center"/>
          </w:tcPr>
          <w:p w14:paraId="3609196A" w14:textId="5537870C"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c>
          <w:tcPr>
            <w:tcW w:w="1229" w:type="dxa"/>
            <w:vAlign w:val="center"/>
          </w:tcPr>
          <w:p w14:paraId="3609196B" w14:textId="4E44AC1A"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Financial YTD%</w:t>
            </w:r>
          </w:p>
        </w:tc>
      </w:tr>
      <w:tr w:rsidR="00775105" w:rsidRPr="004C2412" w14:paraId="36091974" w14:textId="59200603" w:rsidTr="00910012">
        <w:trPr>
          <w:trHeight w:val="620"/>
        </w:trPr>
        <w:tc>
          <w:tcPr>
            <w:cnfStyle w:val="001000000000" w:firstRow="0" w:lastRow="0" w:firstColumn="1" w:lastColumn="0" w:oddVBand="0" w:evenVBand="0" w:oddHBand="0" w:evenHBand="0" w:firstRowFirstColumn="0" w:firstRowLastColumn="0" w:lastRowFirstColumn="0" w:lastRowLastColumn="0"/>
            <w:tcW w:w="6628" w:type="dxa"/>
            <w:vAlign w:val="center"/>
          </w:tcPr>
          <w:p w14:paraId="3609196D" w14:textId="4C9D44A2" w:rsidR="00775105" w:rsidRPr="004C2412" w:rsidRDefault="00775105" w:rsidP="00775105">
            <w:pPr>
              <w:spacing w:before="0"/>
              <w:ind w:left="0"/>
            </w:pPr>
            <w:r w:rsidRPr="004C2412">
              <w:rPr>
                <w:bCs/>
              </w:rPr>
              <w:t>Income support payment suspension - non-attendance at appointment</w:t>
            </w:r>
          </w:p>
        </w:tc>
        <w:tc>
          <w:tcPr>
            <w:tcW w:w="1228" w:type="dxa"/>
            <w:vAlign w:val="center"/>
          </w:tcPr>
          <w:p w14:paraId="3609196E" w14:textId="42ECE6CC"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296,540</w:t>
            </w:r>
          </w:p>
        </w:tc>
        <w:tc>
          <w:tcPr>
            <w:tcW w:w="1229" w:type="dxa"/>
            <w:vAlign w:val="center"/>
          </w:tcPr>
          <w:p w14:paraId="3609196F" w14:textId="03321239"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57,574</w:t>
            </w:r>
          </w:p>
        </w:tc>
        <w:tc>
          <w:tcPr>
            <w:tcW w:w="1229" w:type="dxa"/>
            <w:vAlign w:val="center"/>
          </w:tcPr>
          <w:p w14:paraId="36091970" w14:textId="38AFE4E8"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3,600</w:t>
            </w:r>
          </w:p>
        </w:tc>
        <w:tc>
          <w:tcPr>
            <w:tcW w:w="1228" w:type="dxa"/>
            <w:vAlign w:val="center"/>
          </w:tcPr>
          <w:p w14:paraId="36091971" w14:textId="56376BD0"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357,714</w:t>
            </w:r>
          </w:p>
        </w:tc>
        <w:tc>
          <w:tcPr>
            <w:tcW w:w="1229" w:type="dxa"/>
            <w:vAlign w:val="center"/>
          </w:tcPr>
          <w:p w14:paraId="36091972" w14:textId="3E869ECA"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1,505,766</w:t>
            </w:r>
          </w:p>
        </w:tc>
        <w:tc>
          <w:tcPr>
            <w:tcW w:w="1229" w:type="dxa"/>
            <w:vAlign w:val="center"/>
          </w:tcPr>
          <w:p w14:paraId="36091973" w14:textId="33515C0F"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93.56%</w:t>
            </w:r>
          </w:p>
        </w:tc>
      </w:tr>
      <w:tr w:rsidR="00775105" w:rsidRPr="004C2412" w14:paraId="3609197C" w14:textId="7A034167" w:rsidTr="00910012">
        <w:trPr>
          <w:trHeight w:val="544"/>
        </w:trPr>
        <w:tc>
          <w:tcPr>
            <w:cnfStyle w:val="001000000000" w:firstRow="0" w:lastRow="0" w:firstColumn="1" w:lastColumn="0" w:oddVBand="0" w:evenVBand="0" w:oddHBand="0" w:evenHBand="0" w:firstRowFirstColumn="0" w:firstRowLastColumn="0" w:lastRowFirstColumn="0" w:lastRowLastColumn="0"/>
            <w:tcW w:w="6628" w:type="dxa"/>
            <w:vAlign w:val="center"/>
          </w:tcPr>
          <w:p w14:paraId="36091975" w14:textId="0E055E09" w:rsidR="00775105" w:rsidRPr="004C2412" w:rsidRDefault="00775105" w:rsidP="00775105">
            <w:pPr>
              <w:spacing w:before="0"/>
              <w:ind w:left="0"/>
            </w:pPr>
            <w:r w:rsidRPr="004C2412">
              <w:rPr>
                <w:bCs/>
              </w:rPr>
              <w:t>Income support payment suspension – disengagement from activity</w:t>
            </w:r>
          </w:p>
        </w:tc>
        <w:tc>
          <w:tcPr>
            <w:tcW w:w="1228" w:type="dxa"/>
            <w:vAlign w:val="center"/>
          </w:tcPr>
          <w:p w14:paraId="36091976" w14:textId="0DAD07CE"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20,110</w:t>
            </w:r>
          </w:p>
        </w:tc>
        <w:tc>
          <w:tcPr>
            <w:tcW w:w="1229" w:type="dxa"/>
            <w:vAlign w:val="center"/>
          </w:tcPr>
          <w:p w14:paraId="36091977" w14:textId="6A441A54"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3,509</w:t>
            </w:r>
          </w:p>
        </w:tc>
        <w:tc>
          <w:tcPr>
            <w:tcW w:w="1229" w:type="dxa"/>
            <w:vAlign w:val="center"/>
          </w:tcPr>
          <w:p w14:paraId="36091978" w14:textId="30A756F3"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191</w:t>
            </w:r>
          </w:p>
        </w:tc>
        <w:tc>
          <w:tcPr>
            <w:tcW w:w="1228" w:type="dxa"/>
            <w:vAlign w:val="center"/>
          </w:tcPr>
          <w:p w14:paraId="36091979" w14:textId="160F5ADB"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23,810</w:t>
            </w:r>
          </w:p>
        </w:tc>
        <w:tc>
          <w:tcPr>
            <w:tcW w:w="1229" w:type="dxa"/>
            <w:vAlign w:val="center"/>
          </w:tcPr>
          <w:p w14:paraId="3609197A" w14:textId="66EC9553"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103,655</w:t>
            </w:r>
          </w:p>
        </w:tc>
        <w:tc>
          <w:tcPr>
            <w:tcW w:w="1229" w:type="dxa"/>
            <w:vAlign w:val="center"/>
          </w:tcPr>
          <w:p w14:paraId="3609197B" w14:textId="33FC5495"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A25A5">
              <w:t>6.44%</w:t>
            </w:r>
          </w:p>
        </w:tc>
      </w:tr>
      <w:tr w:rsidR="00775105" w:rsidRPr="004C2412" w14:paraId="36091984" w14:textId="1CF28D7F" w:rsidTr="00910012">
        <w:trPr>
          <w:trHeight w:val="424"/>
        </w:trPr>
        <w:tc>
          <w:tcPr>
            <w:cnfStyle w:val="001000000000" w:firstRow="0" w:lastRow="0" w:firstColumn="1" w:lastColumn="0" w:oddVBand="0" w:evenVBand="0" w:oddHBand="0" w:evenHBand="0" w:firstRowFirstColumn="0" w:firstRowLastColumn="0" w:lastRowFirstColumn="0" w:lastRowLastColumn="0"/>
            <w:tcW w:w="6628" w:type="dxa"/>
            <w:vAlign w:val="center"/>
          </w:tcPr>
          <w:p w14:paraId="3609197D" w14:textId="11DA084E" w:rsidR="00775105" w:rsidRPr="004C2412" w:rsidRDefault="00775105" w:rsidP="00775105">
            <w:pPr>
              <w:spacing w:before="0"/>
              <w:ind w:left="0"/>
              <w:rPr>
                <w:b/>
                <w:bCs/>
              </w:rPr>
            </w:pPr>
            <w:r w:rsidRPr="004C2412">
              <w:rPr>
                <w:b/>
                <w:bCs/>
              </w:rPr>
              <w:t>Total Income Support payment suspensions</w:t>
            </w:r>
          </w:p>
        </w:tc>
        <w:tc>
          <w:tcPr>
            <w:tcW w:w="1228" w:type="dxa"/>
            <w:vAlign w:val="center"/>
          </w:tcPr>
          <w:p w14:paraId="3609197E" w14:textId="4A9D24E5"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BF1F0E">
              <w:rPr>
                <w:b/>
              </w:rPr>
              <w:t>316,650</w:t>
            </w:r>
          </w:p>
        </w:tc>
        <w:tc>
          <w:tcPr>
            <w:tcW w:w="1229" w:type="dxa"/>
            <w:vAlign w:val="center"/>
          </w:tcPr>
          <w:p w14:paraId="3609197F" w14:textId="73E597A1"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BF1F0E">
              <w:rPr>
                <w:b/>
              </w:rPr>
              <w:t>61,083</w:t>
            </w:r>
          </w:p>
        </w:tc>
        <w:tc>
          <w:tcPr>
            <w:tcW w:w="1229" w:type="dxa"/>
            <w:vAlign w:val="center"/>
          </w:tcPr>
          <w:p w14:paraId="36091980" w14:textId="108A1ED8"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BF1F0E">
              <w:rPr>
                <w:b/>
              </w:rPr>
              <w:t>3,791</w:t>
            </w:r>
          </w:p>
        </w:tc>
        <w:tc>
          <w:tcPr>
            <w:tcW w:w="1228" w:type="dxa"/>
            <w:vAlign w:val="center"/>
          </w:tcPr>
          <w:p w14:paraId="36091981" w14:textId="5440A843"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BF1F0E">
              <w:rPr>
                <w:b/>
              </w:rPr>
              <w:t>381,524</w:t>
            </w:r>
          </w:p>
        </w:tc>
        <w:tc>
          <w:tcPr>
            <w:tcW w:w="1229" w:type="dxa"/>
            <w:vAlign w:val="center"/>
          </w:tcPr>
          <w:p w14:paraId="36091982" w14:textId="4E25D19C"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BF1F0E">
              <w:rPr>
                <w:b/>
              </w:rPr>
              <w:t>1,609,421</w:t>
            </w:r>
          </w:p>
        </w:tc>
        <w:tc>
          <w:tcPr>
            <w:tcW w:w="1229" w:type="dxa"/>
            <w:vAlign w:val="center"/>
          </w:tcPr>
          <w:p w14:paraId="36091983" w14:textId="25E9146C" w:rsidR="00775105" w:rsidRPr="004C2412" w:rsidRDefault="00775105" w:rsidP="00775105">
            <w:pPr>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BF1F0E">
              <w:rPr>
                <w:b/>
              </w:rPr>
              <w:t>100.00%</w:t>
            </w:r>
          </w:p>
        </w:tc>
      </w:tr>
    </w:tbl>
    <w:p w14:paraId="36091985" w14:textId="5E884010" w:rsidR="00BF54B3" w:rsidRPr="004C2412" w:rsidRDefault="00BF54B3" w:rsidP="00A609AA">
      <w:pPr>
        <w:ind w:left="0"/>
        <w:rPr>
          <w:noProof/>
        </w:rPr>
      </w:pPr>
      <w:r w:rsidRPr="004C2412">
        <w:rPr>
          <w:noProof/>
        </w:rPr>
        <w:t>Income support payment suspensions are applied when a job seeker fails to attend an appointment with their employment services provider and a Non-Attendance Report is submitted, or when a job seeker disengages from an activity and their provider indicates on a No Show No Pay Participation Report that they wish to discuss this with the job seeker.</w:t>
      </w:r>
    </w:p>
    <w:p w14:paraId="36091986" w14:textId="4068B025" w:rsidR="00BF33EB" w:rsidRPr="004C2412" w:rsidRDefault="00BF33EB">
      <w:pPr>
        <w:spacing w:before="0"/>
        <w:ind w:left="0"/>
        <w:rPr>
          <w:noProof/>
        </w:rPr>
      </w:pPr>
      <w:r w:rsidRPr="004C2412">
        <w:rPr>
          <w:noProof/>
        </w:rPr>
        <w:br w:type="page"/>
      </w:r>
    </w:p>
    <w:p w14:paraId="1D848420" w14:textId="1B86E6E0" w:rsidR="00422B96" w:rsidRPr="004C2412" w:rsidRDefault="00347F02" w:rsidP="00A609AA">
      <w:pPr>
        <w:pStyle w:val="Heading3"/>
        <w:numPr>
          <w:ilvl w:val="0"/>
          <w:numId w:val="0"/>
        </w:numPr>
      </w:pPr>
      <w:bookmarkStart w:id="69" w:name="_Toc526864475"/>
      <w:r w:rsidRPr="004C2412">
        <w:t xml:space="preserve">16 e </w:t>
      </w:r>
      <w:r w:rsidR="00C95ED9" w:rsidRPr="004C2412">
        <w:t>–</w:t>
      </w:r>
      <w:r w:rsidRPr="004C2412">
        <w:t xml:space="preserve"> </w:t>
      </w:r>
      <w:r w:rsidR="00422B96" w:rsidRPr="004C2412">
        <w:t>Compr</w:t>
      </w:r>
      <w:r w:rsidR="00244CB0" w:rsidRPr="004C2412">
        <w:t>ehensive Compliance Assessments</w:t>
      </w:r>
      <w:r w:rsidR="00C95ED9" w:rsidRPr="004C2412">
        <w:t xml:space="preserve"> - 1 </w:t>
      </w:r>
      <w:r w:rsidR="00195891">
        <w:t>April</w:t>
      </w:r>
      <w:r w:rsidR="00195891" w:rsidRPr="004C2412">
        <w:t xml:space="preserve"> </w:t>
      </w:r>
      <w:r w:rsidR="00C95ED9" w:rsidRPr="004C2412">
        <w:t>to 3</w:t>
      </w:r>
      <w:r w:rsidR="00195891">
        <w:t>0</w:t>
      </w:r>
      <w:r w:rsidR="00C95ED9" w:rsidRPr="004C2412">
        <w:t xml:space="preserve"> </w:t>
      </w:r>
      <w:r w:rsidR="00195891">
        <w:t xml:space="preserve">June </w:t>
      </w:r>
      <w:r w:rsidR="00C95ED9" w:rsidRPr="004C2412">
        <w:t>201</w:t>
      </w:r>
      <w:r w:rsidR="008219FA" w:rsidRPr="004C2412">
        <w:t>8</w:t>
      </w:r>
      <w:bookmarkEnd w:id="69"/>
    </w:p>
    <w:tbl>
      <w:tblPr>
        <w:tblStyle w:val="LeftAlignTable"/>
        <w:tblW w:w="0" w:type="auto"/>
        <w:tblInd w:w="-5" w:type="dxa"/>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4F047B" w:rsidRPr="004C2412" w14:paraId="3609198F" w14:textId="2BD26D33" w:rsidTr="006709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shd w:val="clear" w:color="auto" w:fill="auto"/>
            <w:vAlign w:val="center"/>
          </w:tcPr>
          <w:p w14:paraId="36091988" w14:textId="2F5521C0" w:rsidR="004F047B" w:rsidRPr="004C2412" w:rsidRDefault="00C95ED9" w:rsidP="00910012">
            <w:pPr>
              <w:spacing w:before="0"/>
              <w:ind w:left="0"/>
              <w:rPr>
                <w:noProof/>
              </w:rPr>
            </w:pPr>
            <w:r w:rsidRPr="004C2412">
              <w:t>Finalised Comprehensive Compliance</w:t>
            </w:r>
            <w:r w:rsidRPr="004C2412">
              <w:br/>
              <w:t>Assessment Outcome</w:t>
            </w:r>
          </w:p>
        </w:tc>
        <w:tc>
          <w:tcPr>
            <w:tcW w:w="1842" w:type="dxa"/>
            <w:vAlign w:val="center"/>
          </w:tcPr>
          <w:p w14:paraId="36091989" w14:textId="6E1136A3"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NSA</w:t>
            </w:r>
          </w:p>
        </w:tc>
        <w:tc>
          <w:tcPr>
            <w:tcW w:w="1560" w:type="dxa"/>
            <w:vAlign w:val="center"/>
          </w:tcPr>
          <w:p w14:paraId="3609198A" w14:textId="2569EC06"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YAL</w:t>
            </w:r>
          </w:p>
        </w:tc>
        <w:tc>
          <w:tcPr>
            <w:tcW w:w="1417" w:type="dxa"/>
            <w:vAlign w:val="center"/>
          </w:tcPr>
          <w:p w14:paraId="3609198B" w14:textId="6B906FBA"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PPS</w:t>
            </w:r>
          </w:p>
        </w:tc>
        <w:tc>
          <w:tcPr>
            <w:tcW w:w="1276" w:type="dxa"/>
            <w:vAlign w:val="center"/>
          </w:tcPr>
          <w:p w14:paraId="3609198C" w14:textId="1F1B32B3"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Total</w:t>
            </w:r>
          </w:p>
        </w:tc>
        <w:tc>
          <w:tcPr>
            <w:tcW w:w="1276" w:type="dxa"/>
            <w:vAlign w:val="center"/>
          </w:tcPr>
          <w:p w14:paraId="3609198D" w14:textId="7174C7E1"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Financial YTD</w:t>
            </w:r>
          </w:p>
        </w:tc>
        <w:tc>
          <w:tcPr>
            <w:tcW w:w="1276" w:type="dxa"/>
            <w:vAlign w:val="center"/>
          </w:tcPr>
          <w:p w14:paraId="3609198E" w14:textId="2824EE30" w:rsidR="004F047B" w:rsidRPr="004C2412" w:rsidRDefault="004F047B" w:rsidP="00910012">
            <w:pPr>
              <w:spacing w:before="0"/>
              <w:ind w:left="0"/>
              <w:cnfStyle w:val="100000000000" w:firstRow="1" w:lastRow="0" w:firstColumn="0" w:lastColumn="0" w:oddVBand="0" w:evenVBand="0" w:oddHBand="0" w:evenHBand="0" w:firstRowFirstColumn="0" w:firstRowLastColumn="0" w:lastRowFirstColumn="0" w:lastRowLastColumn="0"/>
              <w:rPr>
                <w:noProof/>
              </w:rPr>
            </w:pPr>
            <w:r w:rsidRPr="004C2412">
              <w:rPr>
                <w:noProof/>
              </w:rPr>
              <w:t>Financial YTD%</w:t>
            </w:r>
          </w:p>
        </w:tc>
      </w:tr>
      <w:tr w:rsidR="00195891" w:rsidRPr="004C2412" w14:paraId="36091997" w14:textId="758BA50A" w:rsidTr="00910012">
        <w:trPr>
          <w:trHeight w:val="340"/>
        </w:trPr>
        <w:tc>
          <w:tcPr>
            <w:cnfStyle w:val="001000000000" w:firstRow="0" w:lastRow="0" w:firstColumn="1" w:lastColumn="0" w:oddVBand="0" w:evenVBand="0" w:oddHBand="0" w:evenHBand="0" w:firstRowFirstColumn="0" w:firstRowLastColumn="0" w:lastRowFirstColumn="0" w:lastRowLastColumn="0"/>
            <w:tcW w:w="5353" w:type="dxa"/>
            <w:vAlign w:val="center"/>
          </w:tcPr>
          <w:p w14:paraId="36091990" w14:textId="136CE219" w:rsidR="00195891" w:rsidRPr="004C2412" w:rsidRDefault="00195891" w:rsidP="00195891">
            <w:pPr>
              <w:spacing w:before="0"/>
              <w:ind w:left="0"/>
              <w:rPr>
                <w:noProof/>
              </w:rPr>
            </w:pPr>
            <w:r w:rsidRPr="004C2412">
              <w:rPr>
                <w:noProof/>
              </w:rPr>
              <w:t>JSCI updated - referral for ESAt</w:t>
            </w:r>
          </w:p>
        </w:tc>
        <w:tc>
          <w:tcPr>
            <w:tcW w:w="1842" w:type="dxa"/>
            <w:vAlign w:val="center"/>
          </w:tcPr>
          <w:p w14:paraId="36091991" w14:textId="3163FFD1"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383</w:t>
            </w:r>
          </w:p>
        </w:tc>
        <w:tc>
          <w:tcPr>
            <w:tcW w:w="1560" w:type="dxa"/>
            <w:vAlign w:val="center"/>
          </w:tcPr>
          <w:p w14:paraId="36091992" w14:textId="0E2D733F" w:rsidR="00195891" w:rsidRPr="004C2412" w:rsidRDefault="008B7E99"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417" w:type="dxa"/>
            <w:vAlign w:val="center"/>
          </w:tcPr>
          <w:p w14:paraId="36091993" w14:textId="1E1D12B7" w:rsidR="00195891" w:rsidRPr="00030218" w:rsidRDefault="0034330C"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34330C">
              <w:t>&lt;5</w:t>
            </w:r>
          </w:p>
        </w:tc>
        <w:tc>
          <w:tcPr>
            <w:tcW w:w="1276" w:type="dxa"/>
            <w:vAlign w:val="center"/>
          </w:tcPr>
          <w:p w14:paraId="36091994" w14:textId="6EF51DDE"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597</w:t>
            </w:r>
          </w:p>
        </w:tc>
        <w:tc>
          <w:tcPr>
            <w:tcW w:w="1276" w:type="dxa"/>
            <w:vAlign w:val="center"/>
          </w:tcPr>
          <w:p w14:paraId="36091995" w14:textId="46B0DF7A"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2,510</w:t>
            </w:r>
          </w:p>
        </w:tc>
        <w:tc>
          <w:tcPr>
            <w:tcW w:w="1276" w:type="dxa"/>
            <w:vAlign w:val="center"/>
          </w:tcPr>
          <w:p w14:paraId="36091996" w14:textId="1A65E862"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2.76%</w:t>
            </w:r>
          </w:p>
        </w:tc>
      </w:tr>
      <w:tr w:rsidR="00195891" w:rsidRPr="004C2412" w14:paraId="3609199F" w14:textId="771AF768" w:rsidTr="00910012">
        <w:trPr>
          <w:trHeight w:val="340"/>
        </w:trPr>
        <w:tc>
          <w:tcPr>
            <w:cnfStyle w:val="001000000000" w:firstRow="0" w:lastRow="0" w:firstColumn="1" w:lastColumn="0" w:oddVBand="0" w:evenVBand="0" w:oddHBand="0" w:evenHBand="0" w:firstRowFirstColumn="0" w:firstRowLastColumn="0" w:lastRowFirstColumn="0" w:lastRowLastColumn="0"/>
            <w:tcW w:w="5353" w:type="dxa"/>
            <w:vAlign w:val="center"/>
          </w:tcPr>
          <w:p w14:paraId="36091998" w14:textId="61B20807" w:rsidR="00195891" w:rsidRPr="004C2412" w:rsidRDefault="00195891" w:rsidP="00195891">
            <w:pPr>
              <w:spacing w:before="0"/>
              <w:ind w:left="0"/>
              <w:rPr>
                <w:noProof/>
              </w:rPr>
            </w:pPr>
            <w:r w:rsidRPr="004C2412">
              <w:rPr>
                <w:noProof/>
              </w:rPr>
              <w:t>JSCI updated - eligible for higher stream</w:t>
            </w:r>
          </w:p>
        </w:tc>
        <w:tc>
          <w:tcPr>
            <w:tcW w:w="1842" w:type="dxa"/>
            <w:vAlign w:val="center"/>
          </w:tcPr>
          <w:p w14:paraId="36091999" w14:textId="2D1DFFA4"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30</w:t>
            </w:r>
          </w:p>
        </w:tc>
        <w:tc>
          <w:tcPr>
            <w:tcW w:w="1560" w:type="dxa"/>
            <w:vAlign w:val="center"/>
          </w:tcPr>
          <w:p w14:paraId="3609199A" w14:textId="056CF3BF" w:rsidR="00195891" w:rsidRPr="004C2412" w:rsidRDefault="008B7E99"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417" w:type="dxa"/>
            <w:vAlign w:val="center"/>
          </w:tcPr>
          <w:p w14:paraId="3609199B" w14:textId="73EF479F" w:rsidR="00195891" w:rsidRPr="00030218" w:rsidRDefault="0034330C"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34330C">
              <w:t>&lt;5</w:t>
            </w:r>
          </w:p>
        </w:tc>
        <w:tc>
          <w:tcPr>
            <w:tcW w:w="1276" w:type="dxa"/>
            <w:vAlign w:val="center"/>
          </w:tcPr>
          <w:p w14:paraId="3609199C" w14:textId="483FFAD8"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46</w:t>
            </w:r>
          </w:p>
        </w:tc>
        <w:tc>
          <w:tcPr>
            <w:tcW w:w="1276" w:type="dxa"/>
            <w:vAlign w:val="center"/>
          </w:tcPr>
          <w:p w14:paraId="3609199D" w14:textId="74159C57"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149</w:t>
            </w:r>
          </w:p>
        </w:tc>
        <w:tc>
          <w:tcPr>
            <w:tcW w:w="1276" w:type="dxa"/>
            <w:vAlign w:val="center"/>
          </w:tcPr>
          <w:p w14:paraId="3609199E" w14:textId="4C6DC191"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0.16%</w:t>
            </w:r>
          </w:p>
        </w:tc>
      </w:tr>
      <w:tr w:rsidR="00195891" w:rsidRPr="004C2412" w14:paraId="360919A7" w14:textId="719DBBAD" w:rsidTr="00910012">
        <w:trPr>
          <w:trHeight w:val="340"/>
        </w:trPr>
        <w:tc>
          <w:tcPr>
            <w:cnfStyle w:val="001000000000" w:firstRow="0" w:lastRow="0" w:firstColumn="1" w:lastColumn="0" w:oddVBand="0" w:evenVBand="0" w:oddHBand="0" w:evenHBand="0" w:firstRowFirstColumn="0" w:firstRowLastColumn="0" w:lastRowFirstColumn="0" w:lastRowLastColumn="0"/>
            <w:tcW w:w="5353" w:type="dxa"/>
            <w:vAlign w:val="center"/>
          </w:tcPr>
          <w:p w14:paraId="360919A0" w14:textId="1BC6E409" w:rsidR="00195891" w:rsidRPr="004C2412" w:rsidRDefault="00195891" w:rsidP="00195891">
            <w:pPr>
              <w:spacing w:before="0"/>
              <w:ind w:left="0"/>
              <w:rPr>
                <w:noProof/>
              </w:rPr>
            </w:pPr>
            <w:r w:rsidRPr="004C2412">
              <w:rPr>
                <w:noProof/>
              </w:rPr>
              <w:t>Persistent non-compliance (Serious Failure)</w:t>
            </w:r>
          </w:p>
        </w:tc>
        <w:tc>
          <w:tcPr>
            <w:tcW w:w="1842" w:type="dxa"/>
            <w:vAlign w:val="center"/>
          </w:tcPr>
          <w:p w14:paraId="360919A1" w14:textId="6ECD78A3"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8,662</w:t>
            </w:r>
          </w:p>
        </w:tc>
        <w:tc>
          <w:tcPr>
            <w:tcW w:w="1560" w:type="dxa"/>
            <w:vAlign w:val="center"/>
          </w:tcPr>
          <w:p w14:paraId="360919A2" w14:textId="0362579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1,453</w:t>
            </w:r>
          </w:p>
        </w:tc>
        <w:tc>
          <w:tcPr>
            <w:tcW w:w="1417" w:type="dxa"/>
            <w:vAlign w:val="center"/>
          </w:tcPr>
          <w:p w14:paraId="360919A3" w14:textId="0D0BA90B"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141</w:t>
            </w:r>
          </w:p>
        </w:tc>
        <w:tc>
          <w:tcPr>
            <w:tcW w:w="1276" w:type="dxa"/>
            <w:vAlign w:val="center"/>
          </w:tcPr>
          <w:p w14:paraId="360919A4" w14:textId="33C8D16F"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10,256</w:t>
            </w:r>
          </w:p>
        </w:tc>
        <w:tc>
          <w:tcPr>
            <w:tcW w:w="1276" w:type="dxa"/>
            <w:vAlign w:val="center"/>
          </w:tcPr>
          <w:p w14:paraId="360919A5" w14:textId="56918841"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40,049</w:t>
            </w:r>
          </w:p>
        </w:tc>
        <w:tc>
          <w:tcPr>
            <w:tcW w:w="1276" w:type="dxa"/>
            <w:vAlign w:val="center"/>
          </w:tcPr>
          <w:p w14:paraId="360919A6" w14:textId="14043A2A"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44.09%</w:t>
            </w:r>
          </w:p>
        </w:tc>
      </w:tr>
      <w:tr w:rsidR="00195891" w:rsidRPr="004C2412" w14:paraId="360919AF" w14:textId="62D322AE" w:rsidTr="00910012">
        <w:trPr>
          <w:trHeight w:val="340"/>
        </w:trPr>
        <w:tc>
          <w:tcPr>
            <w:cnfStyle w:val="001000000000" w:firstRow="0" w:lastRow="0" w:firstColumn="1" w:lastColumn="0" w:oddVBand="0" w:evenVBand="0" w:oddHBand="0" w:evenHBand="0" w:firstRowFirstColumn="0" w:firstRowLastColumn="0" w:lastRowFirstColumn="0" w:lastRowLastColumn="0"/>
            <w:tcW w:w="5353" w:type="dxa"/>
            <w:vAlign w:val="center"/>
          </w:tcPr>
          <w:p w14:paraId="360919A8" w14:textId="0AAB99FD" w:rsidR="00195891" w:rsidRPr="004C2412" w:rsidRDefault="00195891" w:rsidP="00195891">
            <w:pPr>
              <w:spacing w:before="0"/>
              <w:ind w:left="0"/>
              <w:rPr>
                <w:noProof/>
              </w:rPr>
            </w:pPr>
            <w:r w:rsidRPr="004C2412">
              <w:rPr>
                <w:noProof/>
              </w:rPr>
              <w:t>Other outcomes</w:t>
            </w:r>
          </w:p>
        </w:tc>
        <w:tc>
          <w:tcPr>
            <w:tcW w:w="1842" w:type="dxa"/>
            <w:vAlign w:val="center"/>
          </w:tcPr>
          <w:p w14:paraId="360919A9" w14:textId="5C9AA682"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8,288</w:t>
            </w:r>
          </w:p>
        </w:tc>
        <w:tc>
          <w:tcPr>
            <w:tcW w:w="1560" w:type="dxa"/>
            <w:vAlign w:val="center"/>
          </w:tcPr>
          <w:p w14:paraId="360919AA" w14:textId="732E79CD"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2,087</w:t>
            </w:r>
          </w:p>
        </w:tc>
        <w:tc>
          <w:tcPr>
            <w:tcW w:w="1417" w:type="dxa"/>
            <w:vAlign w:val="center"/>
          </w:tcPr>
          <w:p w14:paraId="360919AB" w14:textId="30DB0D90"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171</w:t>
            </w:r>
          </w:p>
        </w:tc>
        <w:tc>
          <w:tcPr>
            <w:tcW w:w="1276" w:type="dxa"/>
            <w:vAlign w:val="center"/>
          </w:tcPr>
          <w:p w14:paraId="360919AC" w14:textId="536320AA"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10,546</w:t>
            </w:r>
          </w:p>
        </w:tc>
        <w:tc>
          <w:tcPr>
            <w:tcW w:w="1276" w:type="dxa"/>
            <w:vAlign w:val="center"/>
          </w:tcPr>
          <w:p w14:paraId="360919AD" w14:textId="30232F4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41,934</w:t>
            </w:r>
          </w:p>
        </w:tc>
        <w:tc>
          <w:tcPr>
            <w:tcW w:w="1276" w:type="dxa"/>
            <w:vAlign w:val="center"/>
          </w:tcPr>
          <w:p w14:paraId="360919AE" w14:textId="7318319D"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46.16%</w:t>
            </w:r>
          </w:p>
        </w:tc>
      </w:tr>
      <w:tr w:rsidR="00195891" w:rsidRPr="004C2412" w14:paraId="360919B7" w14:textId="2D6EC2E7" w:rsidTr="00910012">
        <w:trPr>
          <w:trHeight w:val="340"/>
        </w:trPr>
        <w:tc>
          <w:tcPr>
            <w:cnfStyle w:val="001000000000" w:firstRow="0" w:lastRow="0" w:firstColumn="1" w:lastColumn="0" w:oddVBand="0" w:evenVBand="0" w:oddHBand="0" w:evenHBand="0" w:firstRowFirstColumn="0" w:firstRowLastColumn="0" w:lastRowFirstColumn="0" w:lastRowLastColumn="0"/>
            <w:tcW w:w="5353" w:type="dxa"/>
            <w:vAlign w:val="center"/>
          </w:tcPr>
          <w:p w14:paraId="360919B0" w14:textId="085B0478" w:rsidR="00195891" w:rsidRPr="004C2412" w:rsidRDefault="00195891" w:rsidP="00195891">
            <w:pPr>
              <w:spacing w:before="0"/>
              <w:ind w:left="0"/>
              <w:rPr>
                <w:noProof/>
              </w:rPr>
            </w:pPr>
            <w:r w:rsidRPr="004C2412">
              <w:rPr>
                <w:noProof/>
              </w:rPr>
              <w:t>No outcomes</w:t>
            </w:r>
          </w:p>
        </w:tc>
        <w:tc>
          <w:tcPr>
            <w:tcW w:w="1842" w:type="dxa"/>
            <w:vAlign w:val="center"/>
          </w:tcPr>
          <w:p w14:paraId="360919B1" w14:textId="2CD7BD20"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1,449</w:t>
            </w:r>
          </w:p>
        </w:tc>
        <w:tc>
          <w:tcPr>
            <w:tcW w:w="1560" w:type="dxa"/>
            <w:vAlign w:val="center"/>
          </w:tcPr>
          <w:p w14:paraId="360919B2" w14:textId="209DD100"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55</w:t>
            </w:r>
          </w:p>
        </w:tc>
        <w:tc>
          <w:tcPr>
            <w:tcW w:w="1417" w:type="dxa"/>
            <w:vAlign w:val="center"/>
          </w:tcPr>
          <w:p w14:paraId="360919B3" w14:textId="734D4301"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39</w:t>
            </w:r>
          </w:p>
        </w:tc>
        <w:tc>
          <w:tcPr>
            <w:tcW w:w="1276" w:type="dxa"/>
            <w:vAlign w:val="center"/>
          </w:tcPr>
          <w:p w14:paraId="360919B4" w14:textId="64F3EBE0"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1,543</w:t>
            </w:r>
          </w:p>
        </w:tc>
        <w:tc>
          <w:tcPr>
            <w:tcW w:w="1276" w:type="dxa"/>
            <w:vAlign w:val="center"/>
          </w:tcPr>
          <w:p w14:paraId="360919B5" w14:textId="27BDFA78"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6,200</w:t>
            </w:r>
          </w:p>
        </w:tc>
        <w:tc>
          <w:tcPr>
            <w:tcW w:w="1276" w:type="dxa"/>
            <w:vAlign w:val="center"/>
          </w:tcPr>
          <w:p w14:paraId="360919B6" w14:textId="7BCB8C1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F0A24">
              <w:t>6.83%</w:t>
            </w:r>
          </w:p>
        </w:tc>
      </w:tr>
      <w:tr w:rsidR="00195891" w:rsidRPr="004C2412" w14:paraId="360919BF" w14:textId="5F144C28" w:rsidTr="00910012">
        <w:trPr>
          <w:cnfStyle w:val="010000000000" w:firstRow="0" w:lastRow="1"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53" w:type="dxa"/>
            <w:vAlign w:val="center"/>
          </w:tcPr>
          <w:p w14:paraId="360919B8" w14:textId="276BD393" w:rsidR="00195891" w:rsidRPr="004C2412" w:rsidRDefault="00195891" w:rsidP="00195891">
            <w:pPr>
              <w:spacing w:before="0"/>
              <w:ind w:left="0"/>
              <w:rPr>
                <w:noProof/>
              </w:rPr>
            </w:pPr>
            <w:r w:rsidRPr="004C2412">
              <w:rPr>
                <w:noProof/>
              </w:rPr>
              <w:t>Total</w:t>
            </w:r>
          </w:p>
        </w:tc>
        <w:tc>
          <w:tcPr>
            <w:tcW w:w="1842" w:type="dxa"/>
            <w:vAlign w:val="center"/>
          </w:tcPr>
          <w:p w14:paraId="360919B9" w14:textId="37900E3F"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4F0A24">
              <w:t>18,812</w:t>
            </w:r>
          </w:p>
        </w:tc>
        <w:tc>
          <w:tcPr>
            <w:tcW w:w="1560" w:type="dxa"/>
            <w:vAlign w:val="center"/>
          </w:tcPr>
          <w:p w14:paraId="360919BA" w14:textId="371565B4"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4F0A24">
              <w:t>3,820</w:t>
            </w:r>
          </w:p>
        </w:tc>
        <w:tc>
          <w:tcPr>
            <w:tcW w:w="1417" w:type="dxa"/>
            <w:vAlign w:val="center"/>
          </w:tcPr>
          <w:p w14:paraId="360919BB" w14:textId="311312E2"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4F0A24">
              <w:t>356</w:t>
            </w:r>
          </w:p>
        </w:tc>
        <w:tc>
          <w:tcPr>
            <w:tcW w:w="1276" w:type="dxa"/>
            <w:vAlign w:val="center"/>
          </w:tcPr>
          <w:p w14:paraId="360919BC" w14:textId="4F03830F"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4F0A24">
              <w:t>22,988</w:t>
            </w:r>
          </w:p>
        </w:tc>
        <w:tc>
          <w:tcPr>
            <w:tcW w:w="1276" w:type="dxa"/>
            <w:vAlign w:val="center"/>
          </w:tcPr>
          <w:p w14:paraId="360919BD" w14:textId="378D28FA"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4F0A24">
              <w:t>90,842</w:t>
            </w:r>
          </w:p>
        </w:tc>
        <w:tc>
          <w:tcPr>
            <w:tcW w:w="1276" w:type="dxa"/>
            <w:vAlign w:val="center"/>
          </w:tcPr>
          <w:p w14:paraId="360919BE" w14:textId="6DE24BA3"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4F0A24">
              <w:t>100.00%</w:t>
            </w:r>
          </w:p>
        </w:tc>
      </w:tr>
    </w:tbl>
    <w:p w14:paraId="360919C1" w14:textId="197E48A3" w:rsidR="002C51D8" w:rsidRPr="004C2412" w:rsidRDefault="00F0627E" w:rsidP="00A609AA">
      <w:pPr>
        <w:pStyle w:val="Heading2"/>
        <w:numPr>
          <w:ilvl w:val="0"/>
          <w:numId w:val="0"/>
        </w:numPr>
      </w:pPr>
      <w:bookmarkStart w:id="70" w:name="_Toc526864476"/>
      <w:r w:rsidRPr="004C2412">
        <w:t xml:space="preserve">17 </w:t>
      </w:r>
      <w:r w:rsidR="00663AE9" w:rsidRPr="004C2412">
        <w:rPr>
          <w:szCs w:val="22"/>
        </w:rPr>
        <w:t>–</w:t>
      </w:r>
      <w:r w:rsidRPr="004C2412">
        <w:t xml:space="preserve"> </w:t>
      </w:r>
      <w:r w:rsidR="003C125B" w:rsidRPr="004C2412">
        <w:t>F</w:t>
      </w:r>
      <w:r w:rsidR="00ED4EF2" w:rsidRPr="004C2412">
        <w:t>inancial P</w:t>
      </w:r>
      <w:r w:rsidR="00152AF5" w:rsidRPr="004C2412">
        <w:t>enalties, Connection F</w:t>
      </w:r>
      <w:r w:rsidR="005A3646" w:rsidRPr="004C2412">
        <w:t xml:space="preserve">ailures, </w:t>
      </w:r>
      <w:r w:rsidR="00EE4D0A" w:rsidRPr="004C2412">
        <w:t xml:space="preserve">Income Support </w:t>
      </w:r>
      <w:r w:rsidR="005A3646" w:rsidRPr="004C2412">
        <w:t xml:space="preserve">Payment Suspensions and </w:t>
      </w:r>
      <w:r w:rsidR="00FA62F2" w:rsidRPr="004C2412">
        <w:t>CCAs</w:t>
      </w:r>
      <w:r w:rsidR="009A2489" w:rsidRPr="004C2412">
        <w:t xml:space="preserve"> </w:t>
      </w:r>
      <w:r w:rsidR="005A3646" w:rsidRPr="004C2412">
        <w:t>by Employment Services</w:t>
      </w:r>
      <w:r w:rsidR="00DB0D8D" w:rsidRPr="004C2412">
        <w:t xml:space="preserve"> </w:t>
      </w:r>
      <w:r w:rsidR="00C95ED9" w:rsidRPr="004C2412">
        <w:t xml:space="preserve">- </w:t>
      </w:r>
      <w:r w:rsidR="00DB0D8D" w:rsidRPr="004C2412">
        <w:t xml:space="preserve">1 </w:t>
      </w:r>
      <w:r w:rsidR="00195891">
        <w:t>April</w:t>
      </w:r>
      <w:r w:rsidR="00195891" w:rsidRPr="004C2412">
        <w:t xml:space="preserve"> </w:t>
      </w:r>
      <w:r w:rsidR="00DB0D8D" w:rsidRPr="004C2412">
        <w:t>to 3</w:t>
      </w:r>
      <w:r w:rsidR="00195891">
        <w:t>0</w:t>
      </w:r>
      <w:r w:rsidR="00DB0D8D" w:rsidRPr="004C2412">
        <w:t xml:space="preserve"> </w:t>
      </w:r>
      <w:r w:rsidR="00195891">
        <w:t>June</w:t>
      </w:r>
      <w:r w:rsidR="008219FA" w:rsidRPr="004C2412">
        <w:t xml:space="preserve"> 2018</w:t>
      </w:r>
      <w:bookmarkEnd w:id="70"/>
    </w:p>
    <w:p w14:paraId="360919C2" w14:textId="59AF5076" w:rsidR="00A64073" w:rsidRPr="004C2412" w:rsidRDefault="00347F02" w:rsidP="00A609AA">
      <w:pPr>
        <w:pStyle w:val="Heading3"/>
        <w:numPr>
          <w:ilvl w:val="0"/>
          <w:numId w:val="0"/>
        </w:numPr>
      </w:pPr>
      <w:bookmarkStart w:id="71" w:name="_Toc526864477"/>
      <w:r w:rsidRPr="004C2412">
        <w:t xml:space="preserve">17 a </w:t>
      </w:r>
      <w:r w:rsidR="00C95ED9" w:rsidRPr="004C2412">
        <w:t>–</w:t>
      </w:r>
      <w:r w:rsidRPr="004C2412">
        <w:t xml:space="preserve"> </w:t>
      </w:r>
      <w:r w:rsidR="00DB0D8D" w:rsidRPr="004C2412">
        <w:t>Non Payment Periods</w:t>
      </w:r>
      <w:r w:rsidR="00C95ED9" w:rsidRPr="004C2412">
        <w:t xml:space="preserve"> (NPPs) - 1 </w:t>
      </w:r>
      <w:r w:rsidR="00195891">
        <w:t>April</w:t>
      </w:r>
      <w:r w:rsidR="00195891" w:rsidRPr="004C2412">
        <w:t xml:space="preserve"> </w:t>
      </w:r>
      <w:r w:rsidR="00C95ED9" w:rsidRPr="004C2412">
        <w:t>to 3</w:t>
      </w:r>
      <w:r w:rsidR="00195891">
        <w:t>0</w:t>
      </w:r>
      <w:r w:rsidR="00C95ED9" w:rsidRPr="004C2412">
        <w:t xml:space="preserve"> </w:t>
      </w:r>
      <w:r w:rsidR="00195891">
        <w:t>June</w:t>
      </w:r>
      <w:r w:rsidR="008219FA" w:rsidRPr="004C2412">
        <w:t xml:space="preserve"> </w:t>
      </w:r>
      <w:r w:rsidR="00C95ED9" w:rsidRPr="004C2412">
        <w:t>201</w:t>
      </w:r>
      <w:r w:rsidR="008219FA" w:rsidRPr="004C2412">
        <w:t>8</w:t>
      </w:r>
      <w:bookmarkEnd w:id="71"/>
    </w:p>
    <w:tbl>
      <w:tblPr>
        <w:tblStyle w:val="LeftAlignTable"/>
        <w:tblW w:w="15157" w:type="dxa"/>
        <w:tblInd w:w="-5" w:type="dxa"/>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582"/>
        <w:gridCol w:w="1341"/>
        <w:gridCol w:w="1341"/>
        <w:gridCol w:w="1341"/>
        <w:gridCol w:w="744"/>
        <w:gridCol w:w="857"/>
        <w:gridCol w:w="1572"/>
        <w:gridCol w:w="1006"/>
        <w:gridCol w:w="1149"/>
        <w:gridCol w:w="1224"/>
      </w:tblGrid>
      <w:tr w:rsidR="009A2489" w:rsidRPr="004C2412" w14:paraId="360919CD" w14:textId="0753B49B" w:rsidTr="006709E8">
        <w:trPr>
          <w:cnfStyle w:val="100000000000" w:firstRow="1" w:lastRow="0" w:firstColumn="0" w:lastColumn="0" w:oddVBand="0" w:evenVBand="0" w:oddHBand="0" w:evenHBand="0" w:firstRowFirstColumn="0" w:firstRowLastColumn="0" w:lastRowFirstColumn="0" w:lastRowLastColumn="0"/>
          <w:trHeight w:val="729"/>
          <w:tblHeader/>
        </w:trPr>
        <w:tc>
          <w:tcPr>
            <w:cnfStyle w:val="001000000000" w:firstRow="0" w:lastRow="0" w:firstColumn="1" w:lastColumn="0" w:oddVBand="0" w:evenVBand="0" w:oddHBand="0" w:evenHBand="0" w:firstRowFirstColumn="0" w:firstRowLastColumn="0" w:lastRowFirstColumn="0" w:lastRowLastColumn="0"/>
            <w:tcW w:w="4582" w:type="dxa"/>
            <w:shd w:val="clear" w:color="auto" w:fill="auto"/>
            <w:vAlign w:val="center"/>
          </w:tcPr>
          <w:p w14:paraId="360919C3" w14:textId="0150F0BE" w:rsidR="009E52F7" w:rsidRPr="004C2412" w:rsidRDefault="00C95ED9" w:rsidP="00910012">
            <w:pPr>
              <w:spacing w:before="0"/>
              <w:ind w:left="0"/>
            </w:pPr>
            <w:r w:rsidRPr="004C2412">
              <w:t>Type of NPP (Serious or Unemployment Non Payment)</w:t>
            </w:r>
          </w:p>
        </w:tc>
        <w:tc>
          <w:tcPr>
            <w:tcW w:w="1341" w:type="dxa"/>
            <w:vAlign w:val="center"/>
          </w:tcPr>
          <w:p w14:paraId="360919C4" w14:textId="75777152" w:rsidR="009E52F7"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j</w:t>
            </w:r>
            <w:r w:rsidR="009D5107" w:rsidRPr="004C2412">
              <w:t>obactive</w:t>
            </w:r>
            <w:r w:rsidR="009D5107" w:rsidRPr="004C2412">
              <w:br/>
              <w:t>Stream A</w:t>
            </w:r>
          </w:p>
        </w:tc>
        <w:tc>
          <w:tcPr>
            <w:tcW w:w="1341" w:type="dxa"/>
            <w:vAlign w:val="center"/>
          </w:tcPr>
          <w:p w14:paraId="360919C5" w14:textId="7C485DB7" w:rsidR="009E52F7"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j</w:t>
            </w:r>
            <w:r w:rsidR="009D5107" w:rsidRPr="004C2412">
              <w:t>obactive</w:t>
            </w:r>
            <w:r w:rsidR="009D5107" w:rsidRPr="004C2412">
              <w:br/>
            </w:r>
            <w:r w:rsidR="009E52F7" w:rsidRPr="004C2412">
              <w:t>Stream B</w:t>
            </w:r>
          </w:p>
        </w:tc>
        <w:tc>
          <w:tcPr>
            <w:tcW w:w="1341" w:type="dxa"/>
            <w:vAlign w:val="center"/>
          </w:tcPr>
          <w:p w14:paraId="360919C6" w14:textId="1B68C3E2" w:rsidR="009E52F7"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j</w:t>
            </w:r>
            <w:r w:rsidR="009D5107" w:rsidRPr="004C2412">
              <w:t>obactive</w:t>
            </w:r>
            <w:r w:rsidR="009D5107" w:rsidRPr="004C2412">
              <w:br/>
            </w:r>
            <w:r w:rsidR="009E52F7" w:rsidRPr="004C2412">
              <w:t>Stream C</w:t>
            </w:r>
          </w:p>
        </w:tc>
        <w:tc>
          <w:tcPr>
            <w:tcW w:w="744" w:type="dxa"/>
            <w:vAlign w:val="center"/>
          </w:tcPr>
          <w:p w14:paraId="360919C7" w14:textId="1D2F758B"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DES</w:t>
            </w:r>
          </w:p>
        </w:tc>
        <w:tc>
          <w:tcPr>
            <w:tcW w:w="857" w:type="dxa"/>
            <w:vAlign w:val="center"/>
          </w:tcPr>
          <w:p w14:paraId="360919C8" w14:textId="40BD1110"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CDP</w:t>
            </w:r>
          </w:p>
        </w:tc>
        <w:tc>
          <w:tcPr>
            <w:tcW w:w="1572" w:type="dxa"/>
            <w:vAlign w:val="center"/>
          </w:tcPr>
          <w:p w14:paraId="360919C9" w14:textId="30447C2A"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Not in Employment Services</w:t>
            </w:r>
          </w:p>
        </w:tc>
        <w:tc>
          <w:tcPr>
            <w:tcW w:w="1006" w:type="dxa"/>
            <w:vAlign w:val="center"/>
          </w:tcPr>
          <w:p w14:paraId="360919CA" w14:textId="4E5C1992"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149" w:type="dxa"/>
            <w:vAlign w:val="center"/>
          </w:tcPr>
          <w:p w14:paraId="360919CB" w14:textId="48BFACD6"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c>
          <w:tcPr>
            <w:tcW w:w="1224" w:type="dxa"/>
            <w:vAlign w:val="center"/>
          </w:tcPr>
          <w:p w14:paraId="360919CC" w14:textId="17B1493F"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r>
      <w:tr w:rsidR="00195891" w:rsidRPr="004C2412" w14:paraId="360919D8" w14:textId="02461A9E" w:rsidTr="00910012">
        <w:trPr>
          <w:trHeight w:val="381"/>
        </w:trPr>
        <w:tc>
          <w:tcPr>
            <w:cnfStyle w:val="001000000000" w:firstRow="0" w:lastRow="0" w:firstColumn="1" w:lastColumn="0" w:oddVBand="0" w:evenVBand="0" w:oddHBand="0" w:evenHBand="0" w:firstRowFirstColumn="0" w:firstRowLastColumn="0" w:lastRowFirstColumn="0" w:lastRowLastColumn="0"/>
            <w:tcW w:w="4582" w:type="dxa"/>
            <w:vAlign w:val="center"/>
          </w:tcPr>
          <w:p w14:paraId="360919CE" w14:textId="1413B980" w:rsidR="00195891" w:rsidRPr="004C2412" w:rsidRDefault="00195891" w:rsidP="00195891">
            <w:pPr>
              <w:spacing w:before="0"/>
              <w:ind w:left="0"/>
            </w:pPr>
            <w:r w:rsidRPr="004C2412">
              <w:t>Voluntary unemployment – UNPP</w:t>
            </w:r>
          </w:p>
        </w:tc>
        <w:tc>
          <w:tcPr>
            <w:tcW w:w="1341" w:type="dxa"/>
            <w:vAlign w:val="center"/>
          </w:tcPr>
          <w:p w14:paraId="360919CF" w14:textId="37C34A81"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328</w:t>
            </w:r>
          </w:p>
        </w:tc>
        <w:tc>
          <w:tcPr>
            <w:tcW w:w="1341" w:type="dxa"/>
            <w:vAlign w:val="center"/>
          </w:tcPr>
          <w:p w14:paraId="360919D0" w14:textId="4B6E096C"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148</w:t>
            </w:r>
          </w:p>
        </w:tc>
        <w:tc>
          <w:tcPr>
            <w:tcW w:w="1341" w:type="dxa"/>
            <w:vAlign w:val="center"/>
          </w:tcPr>
          <w:p w14:paraId="360919D1" w14:textId="1BEFCF31" w:rsidR="00195891" w:rsidRPr="004C2412" w:rsidRDefault="008B7E99"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744" w:type="dxa"/>
            <w:vAlign w:val="center"/>
          </w:tcPr>
          <w:p w14:paraId="360919D2" w14:textId="66180FE5"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28</w:t>
            </w:r>
          </w:p>
        </w:tc>
        <w:tc>
          <w:tcPr>
            <w:tcW w:w="857" w:type="dxa"/>
            <w:vAlign w:val="center"/>
          </w:tcPr>
          <w:p w14:paraId="360919D3" w14:textId="05B6E7FF" w:rsidR="00195891" w:rsidRPr="004C2412" w:rsidRDefault="008B7E99"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572" w:type="dxa"/>
            <w:vAlign w:val="center"/>
          </w:tcPr>
          <w:p w14:paraId="360919D4" w14:textId="66472207"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852</w:t>
            </w:r>
          </w:p>
        </w:tc>
        <w:tc>
          <w:tcPr>
            <w:tcW w:w="1006" w:type="dxa"/>
            <w:vAlign w:val="center"/>
          </w:tcPr>
          <w:p w14:paraId="360919D5" w14:textId="6810773F"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1,438</w:t>
            </w:r>
          </w:p>
        </w:tc>
        <w:tc>
          <w:tcPr>
            <w:tcW w:w="1149" w:type="dxa"/>
            <w:vAlign w:val="center"/>
          </w:tcPr>
          <w:p w14:paraId="360919D6" w14:textId="79031A3F"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6,684</w:t>
            </w:r>
          </w:p>
        </w:tc>
        <w:tc>
          <w:tcPr>
            <w:tcW w:w="1224" w:type="dxa"/>
            <w:vAlign w:val="center"/>
          </w:tcPr>
          <w:p w14:paraId="360919D7" w14:textId="596C112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12.76%</w:t>
            </w:r>
          </w:p>
        </w:tc>
      </w:tr>
      <w:tr w:rsidR="00195891" w:rsidRPr="004C2412" w14:paraId="360919E3" w14:textId="25628BA7" w:rsidTr="00910012">
        <w:trPr>
          <w:trHeight w:val="381"/>
        </w:trPr>
        <w:tc>
          <w:tcPr>
            <w:cnfStyle w:val="001000000000" w:firstRow="0" w:lastRow="0" w:firstColumn="1" w:lastColumn="0" w:oddVBand="0" w:evenVBand="0" w:oddHBand="0" w:evenHBand="0" w:firstRowFirstColumn="0" w:firstRowLastColumn="0" w:lastRowFirstColumn="0" w:lastRowLastColumn="0"/>
            <w:tcW w:w="4582" w:type="dxa"/>
            <w:vAlign w:val="center"/>
          </w:tcPr>
          <w:p w14:paraId="360919D9" w14:textId="47EE016E" w:rsidR="00195891" w:rsidRPr="004C2412" w:rsidRDefault="00195891" w:rsidP="00195891">
            <w:pPr>
              <w:spacing w:before="0"/>
              <w:ind w:left="0"/>
            </w:pPr>
            <w:r w:rsidRPr="004C2412">
              <w:t>Unemployment due to misconduct – UNPP</w:t>
            </w:r>
          </w:p>
        </w:tc>
        <w:tc>
          <w:tcPr>
            <w:tcW w:w="1341" w:type="dxa"/>
            <w:vAlign w:val="center"/>
          </w:tcPr>
          <w:p w14:paraId="360919DA" w14:textId="76EB179A"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185</w:t>
            </w:r>
          </w:p>
        </w:tc>
        <w:tc>
          <w:tcPr>
            <w:tcW w:w="1341" w:type="dxa"/>
            <w:vAlign w:val="center"/>
          </w:tcPr>
          <w:p w14:paraId="360919DB" w14:textId="238BF391"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99</w:t>
            </w:r>
          </w:p>
        </w:tc>
        <w:tc>
          <w:tcPr>
            <w:tcW w:w="1341" w:type="dxa"/>
            <w:vAlign w:val="center"/>
          </w:tcPr>
          <w:p w14:paraId="360919DC" w14:textId="4FFB2493" w:rsidR="00195891" w:rsidRPr="004C2412" w:rsidRDefault="008B7E99"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744" w:type="dxa"/>
            <w:vAlign w:val="center"/>
          </w:tcPr>
          <w:p w14:paraId="360919DD" w14:textId="17F794AC"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19</w:t>
            </w:r>
          </w:p>
        </w:tc>
        <w:tc>
          <w:tcPr>
            <w:tcW w:w="857" w:type="dxa"/>
            <w:vAlign w:val="center"/>
          </w:tcPr>
          <w:p w14:paraId="360919DE" w14:textId="420BCD51" w:rsidR="00195891" w:rsidRPr="004C2412" w:rsidRDefault="008B7E99"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&lt;5</w:t>
            </w:r>
          </w:p>
        </w:tc>
        <w:tc>
          <w:tcPr>
            <w:tcW w:w="1572" w:type="dxa"/>
            <w:vAlign w:val="center"/>
          </w:tcPr>
          <w:p w14:paraId="360919DF" w14:textId="361F72A4"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615</w:t>
            </w:r>
          </w:p>
        </w:tc>
        <w:tc>
          <w:tcPr>
            <w:tcW w:w="1006" w:type="dxa"/>
            <w:vAlign w:val="center"/>
          </w:tcPr>
          <w:p w14:paraId="360919E0" w14:textId="07810850"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981</w:t>
            </w:r>
          </w:p>
        </w:tc>
        <w:tc>
          <w:tcPr>
            <w:tcW w:w="1149" w:type="dxa"/>
            <w:vAlign w:val="center"/>
          </w:tcPr>
          <w:p w14:paraId="360919E1" w14:textId="2F0F7134"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4,130</w:t>
            </w:r>
          </w:p>
        </w:tc>
        <w:tc>
          <w:tcPr>
            <w:tcW w:w="1224" w:type="dxa"/>
            <w:vAlign w:val="center"/>
          </w:tcPr>
          <w:p w14:paraId="360919E2" w14:textId="790E50A7"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7.88%</w:t>
            </w:r>
          </w:p>
        </w:tc>
      </w:tr>
      <w:tr w:rsidR="00195891" w:rsidRPr="004C2412" w14:paraId="360919EE" w14:textId="4C2E9BAF" w:rsidTr="00910012">
        <w:trPr>
          <w:trHeight w:val="367"/>
        </w:trPr>
        <w:tc>
          <w:tcPr>
            <w:cnfStyle w:val="001000000000" w:firstRow="0" w:lastRow="0" w:firstColumn="1" w:lastColumn="0" w:oddVBand="0" w:evenVBand="0" w:oddHBand="0" w:evenHBand="0" w:firstRowFirstColumn="0" w:firstRowLastColumn="0" w:lastRowFirstColumn="0" w:lastRowLastColumn="0"/>
            <w:tcW w:w="4582" w:type="dxa"/>
            <w:vAlign w:val="center"/>
          </w:tcPr>
          <w:p w14:paraId="360919E4" w14:textId="7650D338" w:rsidR="00195891" w:rsidRPr="004C2412" w:rsidRDefault="00195891" w:rsidP="00195891">
            <w:pPr>
              <w:spacing w:before="0"/>
              <w:ind w:left="0"/>
            </w:pPr>
            <w:r w:rsidRPr="004C2412">
              <w:t>Persistent non-compliance – Serious</w:t>
            </w:r>
          </w:p>
        </w:tc>
        <w:tc>
          <w:tcPr>
            <w:tcW w:w="1341" w:type="dxa"/>
            <w:vAlign w:val="center"/>
          </w:tcPr>
          <w:p w14:paraId="360919E5" w14:textId="133399EC"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433</w:t>
            </w:r>
          </w:p>
        </w:tc>
        <w:tc>
          <w:tcPr>
            <w:tcW w:w="1341" w:type="dxa"/>
            <w:vAlign w:val="center"/>
          </w:tcPr>
          <w:p w14:paraId="360919E6" w14:textId="07A7FD12"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1,020</w:t>
            </w:r>
          </w:p>
        </w:tc>
        <w:tc>
          <w:tcPr>
            <w:tcW w:w="1341" w:type="dxa"/>
            <w:vAlign w:val="center"/>
          </w:tcPr>
          <w:p w14:paraId="360919E7" w14:textId="70B88A61"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416</w:t>
            </w:r>
          </w:p>
        </w:tc>
        <w:tc>
          <w:tcPr>
            <w:tcW w:w="744" w:type="dxa"/>
            <w:vAlign w:val="center"/>
          </w:tcPr>
          <w:p w14:paraId="360919E8" w14:textId="67F689E5"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15</w:t>
            </w:r>
          </w:p>
        </w:tc>
        <w:tc>
          <w:tcPr>
            <w:tcW w:w="857" w:type="dxa"/>
            <w:vAlign w:val="center"/>
          </w:tcPr>
          <w:p w14:paraId="360919E9" w14:textId="69B447A8"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8,372</w:t>
            </w:r>
          </w:p>
        </w:tc>
        <w:tc>
          <w:tcPr>
            <w:tcW w:w="1572" w:type="dxa"/>
            <w:vAlign w:val="center"/>
          </w:tcPr>
          <w:p w14:paraId="360919EA" w14:textId="7DEFE687"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0</w:t>
            </w:r>
          </w:p>
        </w:tc>
        <w:tc>
          <w:tcPr>
            <w:tcW w:w="1006" w:type="dxa"/>
            <w:vAlign w:val="center"/>
          </w:tcPr>
          <w:p w14:paraId="360919EB" w14:textId="261346DE"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10,256</w:t>
            </w:r>
          </w:p>
        </w:tc>
        <w:tc>
          <w:tcPr>
            <w:tcW w:w="1149" w:type="dxa"/>
            <w:vAlign w:val="center"/>
          </w:tcPr>
          <w:p w14:paraId="360919EC" w14:textId="344935F9"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40,049</w:t>
            </w:r>
          </w:p>
        </w:tc>
        <w:tc>
          <w:tcPr>
            <w:tcW w:w="1224" w:type="dxa"/>
            <w:vAlign w:val="center"/>
          </w:tcPr>
          <w:p w14:paraId="360919ED" w14:textId="08CE1D64"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76.45%</w:t>
            </w:r>
          </w:p>
        </w:tc>
      </w:tr>
      <w:tr w:rsidR="00195891" w:rsidRPr="004C2412" w14:paraId="360919F9" w14:textId="6F5DE8AC" w:rsidTr="00910012">
        <w:trPr>
          <w:trHeight w:val="381"/>
        </w:trPr>
        <w:tc>
          <w:tcPr>
            <w:cnfStyle w:val="001000000000" w:firstRow="0" w:lastRow="0" w:firstColumn="1" w:lastColumn="0" w:oddVBand="0" w:evenVBand="0" w:oddHBand="0" w:evenHBand="0" w:firstRowFirstColumn="0" w:firstRowLastColumn="0" w:lastRowFirstColumn="0" w:lastRowLastColumn="0"/>
            <w:tcW w:w="4582" w:type="dxa"/>
            <w:vAlign w:val="center"/>
          </w:tcPr>
          <w:p w14:paraId="360919EF" w14:textId="184D2E76" w:rsidR="00195891" w:rsidRPr="004C2412" w:rsidRDefault="00195891" w:rsidP="00195891">
            <w:pPr>
              <w:spacing w:before="0"/>
              <w:ind w:left="0"/>
            </w:pPr>
            <w:r w:rsidRPr="004C2412">
              <w:t>Did not commence suitable work – Serious</w:t>
            </w:r>
          </w:p>
        </w:tc>
        <w:tc>
          <w:tcPr>
            <w:tcW w:w="1341" w:type="dxa"/>
            <w:vAlign w:val="center"/>
          </w:tcPr>
          <w:p w14:paraId="360919F0" w14:textId="42216335"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41</w:t>
            </w:r>
          </w:p>
        </w:tc>
        <w:tc>
          <w:tcPr>
            <w:tcW w:w="1341" w:type="dxa"/>
            <w:vAlign w:val="center"/>
          </w:tcPr>
          <w:p w14:paraId="360919F1" w14:textId="0BFC275D"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52</w:t>
            </w:r>
          </w:p>
        </w:tc>
        <w:tc>
          <w:tcPr>
            <w:tcW w:w="1341" w:type="dxa"/>
            <w:vAlign w:val="center"/>
          </w:tcPr>
          <w:p w14:paraId="360919F2" w14:textId="0B66C024"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27</w:t>
            </w:r>
          </w:p>
        </w:tc>
        <w:tc>
          <w:tcPr>
            <w:tcW w:w="744" w:type="dxa"/>
            <w:vAlign w:val="center"/>
          </w:tcPr>
          <w:p w14:paraId="360919F3" w14:textId="3AA107D7"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7</w:t>
            </w:r>
          </w:p>
        </w:tc>
        <w:tc>
          <w:tcPr>
            <w:tcW w:w="857" w:type="dxa"/>
            <w:vAlign w:val="center"/>
          </w:tcPr>
          <w:p w14:paraId="360919F4" w14:textId="5B440FC0"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0</w:t>
            </w:r>
          </w:p>
        </w:tc>
        <w:tc>
          <w:tcPr>
            <w:tcW w:w="1572" w:type="dxa"/>
            <w:vAlign w:val="center"/>
          </w:tcPr>
          <w:p w14:paraId="360919F5" w14:textId="6CBF29D9"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0</w:t>
            </w:r>
          </w:p>
        </w:tc>
        <w:tc>
          <w:tcPr>
            <w:tcW w:w="1006" w:type="dxa"/>
            <w:vAlign w:val="center"/>
          </w:tcPr>
          <w:p w14:paraId="360919F6" w14:textId="31F69380"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127</w:t>
            </w:r>
          </w:p>
        </w:tc>
        <w:tc>
          <w:tcPr>
            <w:tcW w:w="1149" w:type="dxa"/>
            <w:vAlign w:val="center"/>
          </w:tcPr>
          <w:p w14:paraId="360919F7" w14:textId="345064E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576</w:t>
            </w:r>
          </w:p>
        </w:tc>
        <w:tc>
          <w:tcPr>
            <w:tcW w:w="1224" w:type="dxa"/>
            <w:vAlign w:val="center"/>
          </w:tcPr>
          <w:p w14:paraId="360919F8" w14:textId="5E4A8E98"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1.10%</w:t>
            </w:r>
          </w:p>
        </w:tc>
      </w:tr>
      <w:tr w:rsidR="00195891" w:rsidRPr="004C2412" w14:paraId="36091A04" w14:textId="6F3E1D15" w:rsidTr="00910012">
        <w:trPr>
          <w:trHeight w:val="381"/>
        </w:trPr>
        <w:tc>
          <w:tcPr>
            <w:cnfStyle w:val="001000000000" w:firstRow="0" w:lastRow="0" w:firstColumn="1" w:lastColumn="0" w:oddVBand="0" w:evenVBand="0" w:oddHBand="0" w:evenHBand="0" w:firstRowFirstColumn="0" w:firstRowLastColumn="0" w:lastRowFirstColumn="0" w:lastRowLastColumn="0"/>
            <w:tcW w:w="4582" w:type="dxa"/>
            <w:vAlign w:val="center"/>
          </w:tcPr>
          <w:p w14:paraId="360919FA" w14:textId="35E42058" w:rsidR="00195891" w:rsidRPr="004C2412" w:rsidRDefault="00195891" w:rsidP="00195891">
            <w:pPr>
              <w:spacing w:before="0"/>
              <w:ind w:left="0"/>
            </w:pPr>
            <w:r w:rsidRPr="004C2412">
              <w:t>Refused a suitable job – Serious</w:t>
            </w:r>
          </w:p>
        </w:tc>
        <w:tc>
          <w:tcPr>
            <w:tcW w:w="1341" w:type="dxa"/>
            <w:vAlign w:val="center"/>
          </w:tcPr>
          <w:p w14:paraId="360919FB" w14:textId="17E20CCA"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76</w:t>
            </w:r>
          </w:p>
        </w:tc>
        <w:tc>
          <w:tcPr>
            <w:tcW w:w="1341" w:type="dxa"/>
            <w:vAlign w:val="center"/>
          </w:tcPr>
          <w:p w14:paraId="360919FC" w14:textId="6D1632E3"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81</w:t>
            </w:r>
          </w:p>
        </w:tc>
        <w:tc>
          <w:tcPr>
            <w:tcW w:w="1341" w:type="dxa"/>
            <w:vAlign w:val="center"/>
          </w:tcPr>
          <w:p w14:paraId="360919FD" w14:textId="5770016A"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32</w:t>
            </w:r>
          </w:p>
        </w:tc>
        <w:tc>
          <w:tcPr>
            <w:tcW w:w="744" w:type="dxa"/>
            <w:vAlign w:val="center"/>
          </w:tcPr>
          <w:p w14:paraId="360919FE" w14:textId="72BF07F3"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16</w:t>
            </w:r>
          </w:p>
        </w:tc>
        <w:tc>
          <w:tcPr>
            <w:tcW w:w="857" w:type="dxa"/>
            <w:vAlign w:val="center"/>
          </w:tcPr>
          <w:p w14:paraId="360919FF" w14:textId="252FA58F"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0</w:t>
            </w:r>
          </w:p>
        </w:tc>
        <w:tc>
          <w:tcPr>
            <w:tcW w:w="1572" w:type="dxa"/>
            <w:vAlign w:val="center"/>
          </w:tcPr>
          <w:p w14:paraId="36091A00" w14:textId="295444F1"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0</w:t>
            </w:r>
          </w:p>
        </w:tc>
        <w:tc>
          <w:tcPr>
            <w:tcW w:w="1006" w:type="dxa"/>
            <w:vAlign w:val="center"/>
          </w:tcPr>
          <w:p w14:paraId="36091A01" w14:textId="64462D19"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205</w:t>
            </w:r>
          </w:p>
        </w:tc>
        <w:tc>
          <w:tcPr>
            <w:tcW w:w="1149" w:type="dxa"/>
            <w:vAlign w:val="center"/>
          </w:tcPr>
          <w:p w14:paraId="36091A02" w14:textId="55A7E999"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945</w:t>
            </w:r>
          </w:p>
        </w:tc>
        <w:tc>
          <w:tcPr>
            <w:tcW w:w="1224" w:type="dxa"/>
            <w:vAlign w:val="center"/>
          </w:tcPr>
          <w:p w14:paraId="36091A03" w14:textId="7E3F84DD"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2F250D">
              <w:t>1.80%</w:t>
            </w:r>
          </w:p>
        </w:tc>
      </w:tr>
      <w:tr w:rsidR="00195891" w:rsidRPr="004C2412" w14:paraId="36091A0F" w14:textId="3A22C048" w:rsidTr="00910012">
        <w:trPr>
          <w:cnfStyle w:val="010000000000" w:firstRow="0" w:lastRow="1"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582" w:type="dxa"/>
            <w:vAlign w:val="center"/>
          </w:tcPr>
          <w:p w14:paraId="36091A05" w14:textId="375C575C" w:rsidR="00195891" w:rsidRPr="004C2412" w:rsidRDefault="00195891" w:rsidP="00195891">
            <w:pPr>
              <w:spacing w:before="0"/>
              <w:ind w:left="0"/>
            </w:pPr>
            <w:r w:rsidRPr="004C2412">
              <w:t xml:space="preserve">Sub Total NPPs </w:t>
            </w:r>
          </w:p>
        </w:tc>
        <w:tc>
          <w:tcPr>
            <w:tcW w:w="1341" w:type="dxa"/>
            <w:vAlign w:val="center"/>
          </w:tcPr>
          <w:p w14:paraId="36091A06" w14:textId="12DAD5AA"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F250D">
              <w:t>1,063</w:t>
            </w:r>
          </w:p>
        </w:tc>
        <w:tc>
          <w:tcPr>
            <w:tcW w:w="1341" w:type="dxa"/>
            <w:vAlign w:val="center"/>
          </w:tcPr>
          <w:p w14:paraId="36091A07" w14:textId="759B3FEE"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F250D">
              <w:t>1,400</w:t>
            </w:r>
          </w:p>
        </w:tc>
        <w:tc>
          <w:tcPr>
            <w:tcW w:w="1341" w:type="dxa"/>
            <w:vAlign w:val="center"/>
          </w:tcPr>
          <w:p w14:paraId="36091A08" w14:textId="1F668D84"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F250D">
              <w:t>603</w:t>
            </w:r>
          </w:p>
        </w:tc>
        <w:tc>
          <w:tcPr>
            <w:tcW w:w="744" w:type="dxa"/>
            <w:vAlign w:val="center"/>
          </w:tcPr>
          <w:p w14:paraId="36091A09" w14:textId="6E02178E"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F250D">
              <w:t>85</w:t>
            </w:r>
          </w:p>
        </w:tc>
        <w:tc>
          <w:tcPr>
            <w:tcW w:w="857" w:type="dxa"/>
            <w:vAlign w:val="center"/>
          </w:tcPr>
          <w:p w14:paraId="36091A0A" w14:textId="32416A08"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F250D">
              <w:t>8,389</w:t>
            </w:r>
          </w:p>
        </w:tc>
        <w:tc>
          <w:tcPr>
            <w:tcW w:w="1572" w:type="dxa"/>
            <w:vAlign w:val="center"/>
          </w:tcPr>
          <w:p w14:paraId="36091A0B" w14:textId="7D612144"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F250D">
              <w:t>1,467</w:t>
            </w:r>
          </w:p>
        </w:tc>
        <w:tc>
          <w:tcPr>
            <w:tcW w:w="1006" w:type="dxa"/>
            <w:vAlign w:val="center"/>
          </w:tcPr>
          <w:p w14:paraId="36091A0C" w14:textId="3E7FEEF1"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F250D">
              <w:t>13,007</w:t>
            </w:r>
          </w:p>
        </w:tc>
        <w:tc>
          <w:tcPr>
            <w:tcW w:w="1149" w:type="dxa"/>
            <w:vAlign w:val="center"/>
          </w:tcPr>
          <w:p w14:paraId="36091A0D" w14:textId="10E4EC8B"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F250D">
              <w:t>52,384</w:t>
            </w:r>
          </w:p>
        </w:tc>
        <w:tc>
          <w:tcPr>
            <w:tcW w:w="1224" w:type="dxa"/>
            <w:vAlign w:val="center"/>
          </w:tcPr>
          <w:p w14:paraId="36091A0E" w14:textId="59E27280"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2F250D">
              <w:t>100.00%</w:t>
            </w:r>
          </w:p>
        </w:tc>
      </w:tr>
    </w:tbl>
    <w:p w14:paraId="64D21F72" w14:textId="34EBCC8F" w:rsidR="00CF2936" w:rsidRPr="004C2412" w:rsidRDefault="00C95ED9" w:rsidP="00A609AA">
      <w:pPr>
        <w:ind w:left="0"/>
        <w:rPr>
          <w:b/>
        </w:rPr>
      </w:pPr>
      <w:r w:rsidRPr="004C2412">
        <w:t xml:space="preserve">Unemployment non-payment periods are generally for eight weeks. However, a person who has received </w:t>
      </w:r>
      <w:r w:rsidRPr="004C2412">
        <w:rPr>
          <w:noProof/>
        </w:rPr>
        <w:t xml:space="preserve">Relocation Assistance to take up a job and </w:t>
      </w:r>
      <w:r w:rsidRPr="004C2412">
        <w:t xml:space="preserve">voluntarily leaves this job without a reasonable excuse, or </w:t>
      </w:r>
      <w:proofErr w:type="gramStart"/>
      <w:r w:rsidRPr="004C2412">
        <w:t>is dismissed</w:t>
      </w:r>
      <w:proofErr w:type="gramEnd"/>
      <w:r w:rsidRPr="004C2412">
        <w:t xml:space="preserve"> for misconduct within the first six months, may be subject to a non-payment penalty period of 12 weeks. This penalty </w:t>
      </w:r>
      <w:proofErr w:type="gramStart"/>
      <w:r w:rsidRPr="004C2412">
        <w:t>may also be applied</w:t>
      </w:r>
      <w:proofErr w:type="gramEnd"/>
      <w:r w:rsidRPr="004C2412">
        <w:t xml:space="preserve"> if the job seeker accepts the job and relocates but does not commence employment.</w:t>
      </w:r>
    </w:p>
    <w:p w14:paraId="544A56E2" w14:textId="2E8E8578" w:rsidR="00CF2936" w:rsidRPr="004C2412" w:rsidRDefault="00CF2936" w:rsidP="00A609AA">
      <w:pPr>
        <w:ind w:left="0"/>
      </w:pPr>
      <w:r w:rsidRPr="004C2412">
        <w:rPr>
          <w:b/>
        </w:rPr>
        <w:br w:type="page"/>
      </w:r>
    </w:p>
    <w:p w14:paraId="36091A10" w14:textId="6815F054" w:rsidR="002567EB" w:rsidRPr="004C2412" w:rsidRDefault="00347F02" w:rsidP="00A609AA">
      <w:pPr>
        <w:pStyle w:val="Heading3"/>
        <w:numPr>
          <w:ilvl w:val="0"/>
          <w:numId w:val="0"/>
        </w:numPr>
      </w:pPr>
      <w:bookmarkStart w:id="72" w:name="_Toc526864478"/>
      <w:r w:rsidRPr="004C2412">
        <w:t xml:space="preserve">17 b </w:t>
      </w:r>
      <w:r w:rsidR="00C95ED9" w:rsidRPr="004C2412">
        <w:t>–</w:t>
      </w:r>
      <w:r w:rsidRPr="004C2412">
        <w:t xml:space="preserve"> </w:t>
      </w:r>
      <w:r w:rsidR="00DB0D8D" w:rsidRPr="004C2412">
        <w:t>Short Term Financial Penalties</w:t>
      </w:r>
      <w:r w:rsidR="00C95ED9" w:rsidRPr="004C2412">
        <w:t xml:space="preserve"> and Total Financial Penalty Summary - 1 </w:t>
      </w:r>
      <w:r w:rsidR="00195891">
        <w:t>April</w:t>
      </w:r>
      <w:r w:rsidR="00195891" w:rsidRPr="004C2412">
        <w:t xml:space="preserve"> </w:t>
      </w:r>
      <w:r w:rsidR="00C95ED9" w:rsidRPr="004C2412">
        <w:t>to 3</w:t>
      </w:r>
      <w:r w:rsidR="00195891">
        <w:t>0</w:t>
      </w:r>
      <w:r w:rsidR="00C95ED9" w:rsidRPr="004C2412">
        <w:t xml:space="preserve"> </w:t>
      </w:r>
      <w:r w:rsidR="00195891">
        <w:t>June</w:t>
      </w:r>
      <w:r w:rsidR="008219FA" w:rsidRPr="004C2412">
        <w:t xml:space="preserve"> </w:t>
      </w:r>
      <w:r w:rsidR="00C95ED9" w:rsidRPr="004C2412">
        <w:t>201</w:t>
      </w:r>
      <w:r w:rsidR="008219FA" w:rsidRPr="004C2412">
        <w:t>8</w:t>
      </w:r>
      <w:bookmarkEnd w:id="72"/>
      <w:r w:rsidR="00DB0D8D" w:rsidRPr="004C2412">
        <w:t xml:space="preserve"> </w:t>
      </w:r>
    </w:p>
    <w:tbl>
      <w:tblPr>
        <w:tblStyle w:val="LeftAlignTable"/>
        <w:tblW w:w="15026" w:type="dxa"/>
        <w:tblInd w:w="-5" w:type="dxa"/>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111"/>
        <w:gridCol w:w="1418"/>
        <w:gridCol w:w="1275"/>
        <w:gridCol w:w="1276"/>
        <w:gridCol w:w="992"/>
        <w:gridCol w:w="993"/>
        <w:gridCol w:w="1559"/>
        <w:gridCol w:w="1134"/>
        <w:gridCol w:w="1134"/>
        <w:gridCol w:w="1134"/>
      </w:tblGrid>
      <w:tr w:rsidR="00B77957" w:rsidRPr="004C2412" w14:paraId="36091A1B" w14:textId="489134DC" w:rsidTr="006709E8">
        <w:trPr>
          <w:cnfStyle w:val="100000000000" w:firstRow="1" w:lastRow="0" w:firstColumn="0" w:lastColumn="0" w:oddVBand="0" w:evenVBand="0" w:oddHBand="0" w:evenHBand="0" w:firstRowFirstColumn="0" w:firstRowLastColumn="0" w:lastRowFirstColumn="0" w:lastRowLastColumn="0"/>
          <w:trHeight w:val="874"/>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vAlign w:val="center"/>
          </w:tcPr>
          <w:p w14:paraId="36091A11" w14:textId="4745BA4C" w:rsidR="0092180C" w:rsidRPr="004C2412" w:rsidRDefault="00C95ED9" w:rsidP="00910012">
            <w:pPr>
              <w:spacing w:before="0"/>
              <w:ind w:left="0"/>
            </w:pPr>
            <w:r w:rsidRPr="004C2412">
              <w:t>Type of Short Term Penalty: Non-Attendance (NAF), Reconnection and No Show No Pay (NSNP)</w:t>
            </w:r>
          </w:p>
        </w:tc>
        <w:tc>
          <w:tcPr>
            <w:tcW w:w="1418" w:type="dxa"/>
            <w:vAlign w:val="center"/>
          </w:tcPr>
          <w:p w14:paraId="36091A12" w14:textId="089C5B17" w:rsidR="0092180C"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jobactive</w:t>
            </w:r>
            <w:r w:rsidRPr="004C2412">
              <w:br/>
              <w:t>Stream A</w:t>
            </w:r>
          </w:p>
        </w:tc>
        <w:tc>
          <w:tcPr>
            <w:tcW w:w="1275" w:type="dxa"/>
            <w:vAlign w:val="center"/>
          </w:tcPr>
          <w:p w14:paraId="36091A13" w14:textId="6A331B4D" w:rsidR="0092180C"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jobactive</w:t>
            </w:r>
            <w:r w:rsidRPr="004C2412">
              <w:br/>
              <w:t>Stream B</w:t>
            </w:r>
          </w:p>
        </w:tc>
        <w:tc>
          <w:tcPr>
            <w:tcW w:w="1276" w:type="dxa"/>
            <w:vAlign w:val="center"/>
          </w:tcPr>
          <w:p w14:paraId="36091A14" w14:textId="585DF278" w:rsidR="0092180C"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jobactive</w:t>
            </w:r>
            <w:r w:rsidRPr="004C2412">
              <w:br/>
              <w:t>Stream C</w:t>
            </w:r>
          </w:p>
        </w:tc>
        <w:tc>
          <w:tcPr>
            <w:tcW w:w="992" w:type="dxa"/>
            <w:vAlign w:val="center"/>
          </w:tcPr>
          <w:p w14:paraId="36091A15" w14:textId="272BC594" w:rsidR="0092180C"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DES</w:t>
            </w:r>
          </w:p>
        </w:tc>
        <w:tc>
          <w:tcPr>
            <w:tcW w:w="993" w:type="dxa"/>
            <w:vAlign w:val="center"/>
          </w:tcPr>
          <w:p w14:paraId="36091A16" w14:textId="55478C64" w:rsidR="0092180C"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CDP</w:t>
            </w:r>
          </w:p>
        </w:tc>
        <w:tc>
          <w:tcPr>
            <w:tcW w:w="1559" w:type="dxa"/>
            <w:vAlign w:val="center"/>
          </w:tcPr>
          <w:p w14:paraId="36091A17" w14:textId="34E1B910" w:rsidR="0092180C"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Not in Employment Services</w:t>
            </w:r>
          </w:p>
        </w:tc>
        <w:tc>
          <w:tcPr>
            <w:tcW w:w="1134" w:type="dxa"/>
            <w:vAlign w:val="center"/>
          </w:tcPr>
          <w:p w14:paraId="36091A18" w14:textId="52856165" w:rsidR="0092180C"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134" w:type="dxa"/>
            <w:vAlign w:val="center"/>
          </w:tcPr>
          <w:p w14:paraId="36091A19" w14:textId="3EA52118" w:rsidR="0092180C"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c>
          <w:tcPr>
            <w:tcW w:w="1134" w:type="dxa"/>
            <w:vAlign w:val="center"/>
          </w:tcPr>
          <w:p w14:paraId="36091A1A" w14:textId="466C6CA8" w:rsidR="0092180C"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r>
      <w:tr w:rsidR="00195891" w:rsidRPr="004C2412" w14:paraId="36091A26" w14:textId="516D972E" w:rsidTr="008219FA">
        <w:trPr>
          <w:trHeight w:val="433"/>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6091A1C" w14:textId="590706A9" w:rsidR="00195891" w:rsidRPr="004C2412" w:rsidRDefault="00195891" w:rsidP="00195891">
            <w:pPr>
              <w:spacing w:before="0"/>
              <w:ind w:left="0"/>
            </w:pPr>
            <w:r w:rsidRPr="004C2412">
              <w:rPr>
                <w:noProof/>
              </w:rPr>
              <w:t>Appointment related failures – Provider (NAF and Reconnection) and DHS (Reconnection)</w:t>
            </w:r>
          </w:p>
        </w:tc>
        <w:tc>
          <w:tcPr>
            <w:tcW w:w="1418" w:type="dxa"/>
            <w:vAlign w:val="center"/>
          </w:tcPr>
          <w:p w14:paraId="36091A1D" w14:textId="05E9061C"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3,863</w:t>
            </w:r>
          </w:p>
        </w:tc>
        <w:tc>
          <w:tcPr>
            <w:tcW w:w="1275" w:type="dxa"/>
            <w:vAlign w:val="center"/>
          </w:tcPr>
          <w:p w14:paraId="36091A1E" w14:textId="7D94CE4E"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5,929</w:t>
            </w:r>
          </w:p>
        </w:tc>
        <w:tc>
          <w:tcPr>
            <w:tcW w:w="1276" w:type="dxa"/>
            <w:vAlign w:val="center"/>
          </w:tcPr>
          <w:p w14:paraId="36091A1F" w14:textId="77DDB098"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3,065</w:t>
            </w:r>
          </w:p>
        </w:tc>
        <w:tc>
          <w:tcPr>
            <w:tcW w:w="992" w:type="dxa"/>
            <w:vAlign w:val="center"/>
          </w:tcPr>
          <w:p w14:paraId="36091A20" w14:textId="384E87CC"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465</w:t>
            </w:r>
          </w:p>
        </w:tc>
        <w:tc>
          <w:tcPr>
            <w:tcW w:w="993" w:type="dxa"/>
            <w:vAlign w:val="center"/>
          </w:tcPr>
          <w:p w14:paraId="36091A21" w14:textId="002D04BD"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158</w:t>
            </w:r>
          </w:p>
        </w:tc>
        <w:tc>
          <w:tcPr>
            <w:tcW w:w="1559" w:type="dxa"/>
            <w:vAlign w:val="center"/>
          </w:tcPr>
          <w:p w14:paraId="36091A22" w14:textId="74AD1403"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w:t>
            </w:r>
          </w:p>
        </w:tc>
        <w:tc>
          <w:tcPr>
            <w:tcW w:w="1134" w:type="dxa"/>
            <w:vAlign w:val="center"/>
          </w:tcPr>
          <w:p w14:paraId="36091A23" w14:textId="7600BCE7"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13,480</w:t>
            </w:r>
          </w:p>
        </w:tc>
        <w:tc>
          <w:tcPr>
            <w:tcW w:w="1134" w:type="dxa"/>
            <w:vAlign w:val="center"/>
          </w:tcPr>
          <w:p w14:paraId="36091A24" w14:textId="683D6F1D"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57,410</w:t>
            </w:r>
          </w:p>
        </w:tc>
        <w:tc>
          <w:tcPr>
            <w:tcW w:w="1134" w:type="dxa"/>
            <w:vAlign w:val="center"/>
          </w:tcPr>
          <w:p w14:paraId="36091A25" w14:textId="652F8ED2"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16.78%</w:t>
            </w:r>
          </w:p>
        </w:tc>
      </w:tr>
      <w:tr w:rsidR="00195891" w:rsidRPr="004C2412" w14:paraId="36091A31" w14:textId="7FB3A6FD" w:rsidTr="00E40F41">
        <w:trPr>
          <w:trHeight w:val="60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6091A27" w14:textId="6CB250C3" w:rsidR="00195891" w:rsidRPr="004C2412" w:rsidRDefault="00195891" w:rsidP="00195891">
            <w:pPr>
              <w:spacing w:before="0"/>
              <w:ind w:left="0"/>
              <w:rPr>
                <w:noProof/>
              </w:rPr>
            </w:pPr>
            <w:r w:rsidRPr="004C2412">
              <w:rPr>
                <w:noProof/>
              </w:rPr>
              <w:t>Other failures to comply with a reconnection requirement that resulted in a financial penalty^</w:t>
            </w:r>
          </w:p>
        </w:tc>
        <w:tc>
          <w:tcPr>
            <w:tcW w:w="1418" w:type="dxa"/>
            <w:vAlign w:val="center"/>
          </w:tcPr>
          <w:p w14:paraId="36091A28" w14:textId="026D58E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268</w:t>
            </w:r>
          </w:p>
        </w:tc>
        <w:tc>
          <w:tcPr>
            <w:tcW w:w="1275" w:type="dxa"/>
            <w:vAlign w:val="center"/>
          </w:tcPr>
          <w:p w14:paraId="36091A29" w14:textId="6D261E30"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312</w:t>
            </w:r>
          </w:p>
        </w:tc>
        <w:tc>
          <w:tcPr>
            <w:tcW w:w="1276" w:type="dxa"/>
            <w:vAlign w:val="center"/>
          </w:tcPr>
          <w:p w14:paraId="36091A2A" w14:textId="1B40BE70" w:rsidR="00195891" w:rsidRPr="004C2412" w:rsidRDefault="00E40F4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992" w:type="dxa"/>
            <w:vAlign w:val="center"/>
          </w:tcPr>
          <w:p w14:paraId="36091A2B" w14:textId="73ECB230" w:rsidR="00195891" w:rsidRPr="00030218" w:rsidRDefault="00E40F4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E40F41">
              <w:t>&lt;5</w:t>
            </w:r>
          </w:p>
        </w:tc>
        <w:tc>
          <w:tcPr>
            <w:tcW w:w="993" w:type="dxa"/>
            <w:shd w:val="clear" w:color="auto" w:fill="auto"/>
            <w:vAlign w:val="center"/>
          </w:tcPr>
          <w:p w14:paraId="36091A2C" w14:textId="1F34EE98" w:rsidR="00195891" w:rsidRPr="00030218"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E40F41">
              <w:t>5</w:t>
            </w:r>
          </w:p>
        </w:tc>
        <w:tc>
          <w:tcPr>
            <w:tcW w:w="1559" w:type="dxa"/>
            <w:vAlign w:val="center"/>
          </w:tcPr>
          <w:p w14:paraId="36091A2D" w14:textId="5479D74B"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w:t>
            </w:r>
          </w:p>
        </w:tc>
        <w:tc>
          <w:tcPr>
            <w:tcW w:w="1134" w:type="dxa"/>
            <w:vAlign w:val="center"/>
          </w:tcPr>
          <w:p w14:paraId="36091A2E" w14:textId="72E4E7EC"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689</w:t>
            </w:r>
          </w:p>
        </w:tc>
        <w:tc>
          <w:tcPr>
            <w:tcW w:w="1134" w:type="dxa"/>
            <w:vAlign w:val="center"/>
          </w:tcPr>
          <w:p w14:paraId="36091A2F" w14:textId="2F5BEA22"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2,310</w:t>
            </w:r>
          </w:p>
        </w:tc>
        <w:tc>
          <w:tcPr>
            <w:tcW w:w="1134" w:type="dxa"/>
            <w:vAlign w:val="center"/>
          </w:tcPr>
          <w:p w14:paraId="36091A30" w14:textId="6D95C55B"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0.68%</w:t>
            </w:r>
          </w:p>
        </w:tc>
      </w:tr>
      <w:tr w:rsidR="00195891" w:rsidRPr="004C2412" w14:paraId="36091A3C" w14:textId="02DD9943" w:rsidTr="008219FA">
        <w:trPr>
          <w:trHeight w:val="60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6091A32" w14:textId="051EBFB0" w:rsidR="00195891" w:rsidRPr="004C2412" w:rsidRDefault="00195891" w:rsidP="00195891">
            <w:pPr>
              <w:spacing w:before="0"/>
              <w:ind w:left="0"/>
            </w:pPr>
            <w:r w:rsidRPr="004C2412">
              <w:t>Failure to attend activity specified in a Job Plan (NSNP)</w:t>
            </w:r>
          </w:p>
        </w:tc>
        <w:tc>
          <w:tcPr>
            <w:tcW w:w="1418" w:type="dxa"/>
            <w:vAlign w:val="center"/>
          </w:tcPr>
          <w:p w14:paraId="36091A33" w14:textId="4910A58C"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5,808</w:t>
            </w:r>
          </w:p>
        </w:tc>
        <w:tc>
          <w:tcPr>
            <w:tcW w:w="1275" w:type="dxa"/>
            <w:vAlign w:val="center"/>
          </w:tcPr>
          <w:p w14:paraId="36091A34" w14:textId="5F5FE1F4"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10,751</w:t>
            </w:r>
          </w:p>
        </w:tc>
        <w:tc>
          <w:tcPr>
            <w:tcW w:w="1276" w:type="dxa"/>
            <w:vAlign w:val="center"/>
          </w:tcPr>
          <w:p w14:paraId="36091A35" w14:textId="146953B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4,329</w:t>
            </w:r>
          </w:p>
        </w:tc>
        <w:tc>
          <w:tcPr>
            <w:tcW w:w="992" w:type="dxa"/>
            <w:vAlign w:val="center"/>
          </w:tcPr>
          <w:p w14:paraId="36091A36" w14:textId="2B9EF668"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184</w:t>
            </w:r>
          </w:p>
        </w:tc>
        <w:tc>
          <w:tcPr>
            <w:tcW w:w="993" w:type="dxa"/>
            <w:vAlign w:val="center"/>
          </w:tcPr>
          <w:p w14:paraId="36091A37" w14:textId="66CB088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45,431</w:t>
            </w:r>
          </w:p>
        </w:tc>
        <w:tc>
          <w:tcPr>
            <w:tcW w:w="1559" w:type="dxa"/>
            <w:vAlign w:val="center"/>
          </w:tcPr>
          <w:p w14:paraId="36091A38" w14:textId="28A9A051"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w:t>
            </w:r>
          </w:p>
        </w:tc>
        <w:tc>
          <w:tcPr>
            <w:tcW w:w="1134" w:type="dxa"/>
            <w:vAlign w:val="center"/>
          </w:tcPr>
          <w:p w14:paraId="36091A39" w14:textId="286D0700"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66,503</w:t>
            </w:r>
          </w:p>
        </w:tc>
        <w:tc>
          <w:tcPr>
            <w:tcW w:w="1134" w:type="dxa"/>
            <w:vAlign w:val="center"/>
          </w:tcPr>
          <w:p w14:paraId="36091A3A" w14:textId="7863D3D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277,465</w:t>
            </w:r>
          </w:p>
        </w:tc>
        <w:tc>
          <w:tcPr>
            <w:tcW w:w="1134" w:type="dxa"/>
            <w:vAlign w:val="center"/>
          </w:tcPr>
          <w:p w14:paraId="36091A3B" w14:textId="3517EA7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81.12%</w:t>
            </w:r>
          </w:p>
        </w:tc>
      </w:tr>
      <w:tr w:rsidR="00195891" w:rsidRPr="004C2412" w14:paraId="36091A47" w14:textId="62309113" w:rsidTr="008219FA">
        <w:trPr>
          <w:trHeight w:val="361"/>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6091A3D" w14:textId="031077E3" w:rsidR="00195891" w:rsidRPr="004C2412" w:rsidRDefault="00195891" w:rsidP="00195891">
            <w:pPr>
              <w:spacing w:before="0"/>
              <w:ind w:left="0"/>
            </w:pPr>
            <w:r w:rsidRPr="004C2412">
              <w:t>Failure to attend job interview (NSNP)</w:t>
            </w:r>
          </w:p>
        </w:tc>
        <w:tc>
          <w:tcPr>
            <w:tcW w:w="1418" w:type="dxa"/>
            <w:vAlign w:val="center"/>
          </w:tcPr>
          <w:p w14:paraId="36091A3E" w14:textId="106A3818"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223</w:t>
            </w:r>
          </w:p>
        </w:tc>
        <w:tc>
          <w:tcPr>
            <w:tcW w:w="1275" w:type="dxa"/>
            <w:vAlign w:val="center"/>
          </w:tcPr>
          <w:p w14:paraId="36091A3F" w14:textId="41FCE3F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311</w:t>
            </w:r>
          </w:p>
        </w:tc>
        <w:tc>
          <w:tcPr>
            <w:tcW w:w="1276" w:type="dxa"/>
            <w:vAlign w:val="center"/>
          </w:tcPr>
          <w:p w14:paraId="36091A40" w14:textId="2E613F14"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124</w:t>
            </w:r>
          </w:p>
        </w:tc>
        <w:tc>
          <w:tcPr>
            <w:tcW w:w="992" w:type="dxa"/>
            <w:vAlign w:val="center"/>
          </w:tcPr>
          <w:p w14:paraId="36091A41" w14:textId="43275A6C"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58</w:t>
            </w:r>
          </w:p>
        </w:tc>
        <w:tc>
          <w:tcPr>
            <w:tcW w:w="993" w:type="dxa"/>
            <w:vAlign w:val="center"/>
          </w:tcPr>
          <w:p w14:paraId="36091A42" w14:textId="5479A73A"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w:t>
            </w:r>
          </w:p>
        </w:tc>
        <w:tc>
          <w:tcPr>
            <w:tcW w:w="1559" w:type="dxa"/>
            <w:vAlign w:val="center"/>
          </w:tcPr>
          <w:p w14:paraId="36091A43" w14:textId="3E7BE41F"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w:t>
            </w:r>
          </w:p>
        </w:tc>
        <w:tc>
          <w:tcPr>
            <w:tcW w:w="1134" w:type="dxa"/>
            <w:vAlign w:val="center"/>
          </w:tcPr>
          <w:p w14:paraId="36091A44" w14:textId="6CC5D9E9"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716</w:t>
            </w:r>
          </w:p>
        </w:tc>
        <w:tc>
          <w:tcPr>
            <w:tcW w:w="1134" w:type="dxa"/>
            <w:vAlign w:val="center"/>
          </w:tcPr>
          <w:p w14:paraId="36091A45" w14:textId="720B55CF"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2,956</w:t>
            </w:r>
          </w:p>
        </w:tc>
        <w:tc>
          <w:tcPr>
            <w:tcW w:w="1134" w:type="dxa"/>
            <w:vAlign w:val="center"/>
          </w:tcPr>
          <w:p w14:paraId="36091A46" w14:textId="0CFBE33D"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0.86%</w:t>
            </w:r>
          </w:p>
        </w:tc>
      </w:tr>
      <w:tr w:rsidR="00195891" w:rsidRPr="004C2412" w14:paraId="36091A52" w14:textId="527E4982" w:rsidTr="008219FA">
        <w:trPr>
          <w:trHeight w:val="349"/>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6091A48" w14:textId="7BD8ACA1" w:rsidR="00195891" w:rsidRPr="004C2412" w:rsidRDefault="00195891" w:rsidP="00195891">
            <w:pPr>
              <w:spacing w:before="0"/>
              <w:ind w:left="0"/>
            </w:pPr>
            <w:r w:rsidRPr="004C2412">
              <w:t>Inappropriate conduct in a Job Plan activity (NSNP)</w:t>
            </w:r>
          </w:p>
        </w:tc>
        <w:tc>
          <w:tcPr>
            <w:tcW w:w="1418" w:type="dxa"/>
            <w:vAlign w:val="center"/>
          </w:tcPr>
          <w:p w14:paraId="36091A49" w14:textId="3B212D19"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82</w:t>
            </w:r>
          </w:p>
        </w:tc>
        <w:tc>
          <w:tcPr>
            <w:tcW w:w="1275" w:type="dxa"/>
            <w:vAlign w:val="center"/>
          </w:tcPr>
          <w:p w14:paraId="36091A4A" w14:textId="0C7D159C"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136</w:t>
            </w:r>
          </w:p>
        </w:tc>
        <w:tc>
          <w:tcPr>
            <w:tcW w:w="1276" w:type="dxa"/>
            <w:vAlign w:val="center"/>
          </w:tcPr>
          <w:p w14:paraId="36091A4B" w14:textId="7481C7D6"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62</w:t>
            </w:r>
          </w:p>
        </w:tc>
        <w:tc>
          <w:tcPr>
            <w:tcW w:w="992" w:type="dxa"/>
            <w:vAlign w:val="center"/>
          </w:tcPr>
          <w:p w14:paraId="36091A4C" w14:textId="151265BF"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30</w:t>
            </w:r>
          </w:p>
        </w:tc>
        <w:tc>
          <w:tcPr>
            <w:tcW w:w="993" w:type="dxa"/>
            <w:vAlign w:val="center"/>
          </w:tcPr>
          <w:p w14:paraId="36091A4D" w14:textId="7318D105"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9</w:t>
            </w:r>
          </w:p>
        </w:tc>
        <w:tc>
          <w:tcPr>
            <w:tcW w:w="1559" w:type="dxa"/>
            <w:vAlign w:val="center"/>
          </w:tcPr>
          <w:p w14:paraId="36091A4E" w14:textId="77C7C937"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w:t>
            </w:r>
          </w:p>
        </w:tc>
        <w:tc>
          <w:tcPr>
            <w:tcW w:w="1134" w:type="dxa"/>
            <w:vAlign w:val="center"/>
          </w:tcPr>
          <w:p w14:paraId="36091A4F" w14:textId="5E1CB9BD"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319</w:t>
            </w:r>
          </w:p>
        </w:tc>
        <w:tc>
          <w:tcPr>
            <w:tcW w:w="1134" w:type="dxa"/>
            <w:vAlign w:val="center"/>
          </w:tcPr>
          <w:p w14:paraId="36091A50" w14:textId="7497E077"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1,313</w:t>
            </w:r>
          </w:p>
        </w:tc>
        <w:tc>
          <w:tcPr>
            <w:tcW w:w="1134" w:type="dxa"/>
            <w:vAlign w:val="center"/>
          </w:tcPr>
          <w:p w14:paraId="36091A51" w14:textId="0E0C21B5"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0.38%</w:t>
            </w:r>
          </w:p>
        </w:tc>
      </w:tr>
      <w:tr w:rsidR="00195891" w:rsidRPr="004C2412" w14:paraId="36091A5D" w14:textId="3F084052" w:rsidTr="008219FA">
        <w:trPr>
          <w:trHeight w:val="616"/>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6091A53" w14:textId="46350CDF" w:rsidR="00195891" w:rsidRPr="004C2412" w:rsidRDefault="00195891" w:rsidP="00195891">
            <w:pPr>
              <w:spacing w:before="0"/>
              <w:ind w:left="0"/>
            </w:pPr>
            <w:r w:rsidRPr="004C2412">
              <w:t>Inappropriate presentation or conduct at job interview (NSNP)</w:t>
            </w:r>
          </w:p>
        </w:tc>
        <w:tc>
          <w:tcPr>
            <w:tcW w:w="1418" w:type="dxa"/>
            <w:vAlign w:val="center"/>
          </w:tcPr>
          <w:p w14:paraId="36091A54" w14:textId="2CAF5B18"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56</w:t>
            </w:r>
          </w:p>
        </w:tc>
        <w:tc>
          <w:tcPr>
            <w:tcW w:w="1275" w:type="dxa"/>
            <w:vAlign w:val="center"/>
          </w:tcPr>
          <w:p w14:paraId="36091A55" w14:textId="0146C6E9"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67</w:t>
            </w:r>
          </w:p>
        </w:tc>
        <w:tc>
          <w:tcPr>
            <w:tcW w:w="1276" w:type="dxa"/>
            <w:vAlign w:val="center"/>
          </w:tcPr>
          <w:p w14:paraId="36091A56" w14:textId="7C9D1BDD" w:rsidR="00195891" w:rsidRPr="004C2412" w:rsidRDefault="00E40F4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992" w:type="dxa"/>
            <w:vAlign w:val="center"/>
          </w:tcPr>
          <w:p w14:paraId="36091A57" w14:textId="465C09E4" w:rsidR="00195891" w:rsidRPr="004C2412" w:rsidRDefault="00E40F4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993" w:type="dxa"/>
            <w:vAlign w:val="center"/>
          </w:tcPr>
          <w:p w14:paraId="36091A58" w14:textId="2DD783EE"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w:t>
            </w:r>
          </w:p>
        </w:tc>
        <w:tc>
          <w:tcPr>
            <w:tcW w:w="1559" w:type="dxa"/>
            <w:vAlign w:val="center"/>
          </w:tcPr>
          <w:p w14:paraId="36091A59" w14:textId="22FC1611"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w:t>
            </w:r>
          </w:p>
        </w:tc>
        <w:tc>
          <w:tcPr>
            <w:tcW w:w="1134" w:type="dxa"/>
            <w:vAlign w:val="center"/>
          </w:tcPr>
          <w:p w14:paraId="36091A5A" w14:textId="2E236817"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159</w:t>
            </w:r>
          </w:p>
        </w:tc>
        <w:tc>
          <w:tcPr>
            <w:tcW w:w="1134" w:type="dxa"/>
            <w:vAlign w:val="center"/>
          </w:tcPr>
          <w:p w14:paraId="36091A5B" w14:textId="03684224"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606</w:t>
            </w:r>
          </w:p>
        </w:tc>
        <w:tc>
          <w:tcPr>
            <w:tcW w:w="1134" w:type="dxa"/>
            <w:vAlign w:val="center"/>
          </w:tcPr>
          <w:p w14:paraId="36091A5C" w14:textId="7A3DCCB9" w:rsidR="00195891" w:rsidRPr="004C2412"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C03174">
              <w:t>0.18%</w:t>
            </w:r>
          </w:p>
        </w:tc>
      </w:tr>
      <w:tr w:rsidR="00195891" w:rsidRPr="004C2412" w14:paraId="36091A68" w14:textId="58B03102" w:rsidTr="008219FA">
        <w:trPr>
          <w:trHeight w:val="483"/>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6091A5E" w14:textId="46EE1B0F" w:rsidR="00195891" w:rsidRPr="004C2412" w:rsidRDefault="00195891" w:rsidP="00195891">
            <w:pPr>
              <w:spacing w:before="0"/>
              <w:ind w:left="0"/>
              <w:rPr>
                <w:b/>
              </w:rPr>
            </w:pPr>
            <w:r w:rsidRPr="004C2412">
              <w:rPr>
                <w:b/>
              </w:rPr>
              <w:t>Sub Total Short Term Financial Penalties</w:t>
            </w:r>
          </w:p>
        </w:tc>
        <w:tc>
          <w:tcPr>
            <w:tcW w:w="1418" w:type="dxa"/>
            <w:vAlign w:val="center"/>
          </w:tcPr>
          <w:p w14:paraId="36091A5F" w14:textId="714F989F" w:rsidR="00195891" w:rsidRPr="00443621"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10,300</w:t>
            </w:r>
          </w:p>
        </w:tc>
        <w:tc>
          <w:tcPr>
            <w:tcW w:w="1275" w:type="dxa"/>
            <w:vAlign w:val="center"/>
          </w:tcPr>
          <w:p w14:paraId="36091A60" w14:textId="5D015EB3" w:rsidR="00195891" w:rsidRPr="00443621"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17,506</w:t>
            </w:r>
          </w:p>
        </w:tc>
        <w:tc>
          <w:tcPr>
            <w:tcW w:w="1276" w:type="dxa"/>
            <w:vAlign w:val="center"/>
          </w:tcPr>
          <w:p w14:paraId="36091A61" w14:textId="578A2F89" w:rsidR="00195891" w:rsidRPr="00443621"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7,704</w:t>
            </w:r>
          </w:p>
        </w:tc>
        <w:tc>
          <w:tcPr>
            <w:tcW w:w="992" w:type="dxa"/>
            <w:vAlign w:val="center"/>
          </w:tcPr>
          <w:p w14:paraId="36091A62" w14:textId="565858E3" w:rsidR="00195891" w:rsidRPr="00443621"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753</w:t>
            </w:r>
          </w:p>
        </w:tc>
        <w:tc>
          <w:tcPr>
            <w:tcW w:w="993" w:type="dxa"/>
            <w:vAlign w:val="center"/>
          </w:tcPr>
          <w:p w14:paraId="36091A63" w14:textId="288687F1" w:rsidR="00195891" w:rsidRPr="00443621"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45,603</w:t>
            </w:r>
          </w:p>
        </w:tc>
        <w:tc>
          <w:tcPr>
            <w:tcW w:w="1559" w:type="dxa"/>
            <w:vAlign w:val="center"/>
          </w:tcPr>
          <w:p w14:paraId="36091A64" w14:textId="6DF53E6A" w:rsidR="00195891" w:rsidRPr="00443621"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0</w:t>
            </w:r>
          </w:p>
        </w:tc>
        <w:tc>
          <w:tcPr>
            <w:tcW w:w="1134" w:type="dxa"/>
            <w:vAlign w:val="center"/>
          </w:tcPr>
          <w:p w14:paraId="36091A65" w14:textId="10E8EC4F" w:rsidR="00195891" w:rsidRPr="00443621"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81,866</w:t>
            </w:r>
          </w:p>
        </w:tc>
        <w:tc>
          <w:tcPr>
            <w:tcW w:w="1134" w:type="dxa"/>
            <w:vAlign w:val="center"/>
          </w:tcPr>
          <w:p w14:paraId="36091A66" w14:textId="47E665F8" w:rsidR="00195891" w:rsidRPr="00443621"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342,060</w:t>
            </w:r>
          </w:p>
        </w:tc>
        <w:tc>
          <w:tcPr>
            <w:tcW w:w="1134" w:type="dxa"/>
            <w:vAlign w:val="center"/>
          </w:tcPr>
          <w:p w14:paraId="36091A67" w14:textId="56F5E5B9" w:rsidR="00195891" w:rsidRPr="00443621" w:rsidRDefault="00195891" w:rsidP="00195891">
            <w:pPr>
              <w:spacing w:before="0"/>
              <w:ind w:left="0"/>
              <w:cnfStyle w:val="000000000000" w:firstRow="0" w:lastRow="0" w:firstColumn="0" w:lastColumn="0" w:oddVBand="0" w:evenVBand="0" w:oddHBand="0" w:evenHBand="0" w:firstRowFirstColumn="0" w:firstRowLastColumn="0" w:lastRowFirstColumn="0" w:lastRowLastColumn="0"/>
              <w:rPr>
                <w:rFonts w:cs="Gill Sans MT"/>
                <w:b/>
                <w:bCs/>
                <w:color w:val="000000"/>
              </w:rPr>
            </w:pPr>
            <w:r w:rsidRPr="00443621">
              <w:rPr>
                <w:b/>
              </w:rPr>
              <w:t>100.00%</w:t>
            </w:r>
          </w:p>
        </w:tc>
      </w:tr>
      <w:tr w:rsidR="00195891" w:rsidRPr="004C2412" w14:paraId="36091A81" w14:textId="770EF939" w:rsidTr="008219FA">
        <w:tblPrEx>
          <w:tblLook w:val="04E0" w:firstRow="1" w:lastRow="1" w:firstColumn="1" w:lastColumn="0" w:noHBand="0" w:noVBand="1"/>
        </w:tblPrEx>
        <w:trPr>
          <w:cnfStyle w:val="010000000000" w:firstRow="0" w:lastRow="1"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6091A77" w14:textId="0FB91DD1" w:rsidR="00195891" w:rsidRPr="004C2412" w:rsidRDefault="00195891" w:rsidP="00195891">
            <w:pPr>
              <w:spacing w:before="0"/>
              <w:ind w:left="0"/>
            </w:pPr>
            <w:r w:rsidRPr="004C2412">
              <w:t>Total Financial Penalties</w:t>
            </w:r>
          </w:p>
        </w:tc>
        <w:tc>
          <w:tcPr>
            <w:tcW w:w="1418" w:type="dxa"/>
            <w:vAlign w:val="center"/>
          </w:tcPr>
          <w:p w14:paraId="36091A78" w14:textId="00A6E70D"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654097">
              <w:t>11,363</w:t>
            </w:r>
          </w:p>
        </w:tc>
        <w:tc>
          <w:tcPr>
            <w:tcW w:w="1275" w:type="dxa"/>
            <w:vAlign w:val="center"/>
          </w:tcPr>
          <w:p w14:paraId="36091A79" w14:textId="74B3AFDF"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654097">
              <w:t>18,906</w:t>
            </w:r>
          </w:p>
        </w:tc>
        <w:tc>
          <w:tcPr>
            <w:tcW w:w="1276" w:type="dxa"/>
            <w:vAlign w:val="center"/>
          </w:tcPr>
          <w:p w14:paraId="36091A7A" w14:textId="59D378AF"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654097">
              <w:t>8,307</w:t>
            </w:r>
          </w:p>
        </w:tc>
        <w:tc>
          <w:tcPr>
            <w:tcW w:w="992" w:type="dxa"/>
            <w:vAlign w:val="center"/>
          </w:tcPr>
          <w:p w14:paraId="36091A7B" w14:textId="1BB4C014"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654097">
              <w:t>838</w:t>
            </w:r>
          </w:p>
        </w:tc>
        <w:tc>
          <w:tcPr>
            <w:tcW w:w="993" w:type="dxa"/>
            <w:vAlign w:val="center"/>
          </w:tcPr>
          <w:p w14:paraId="36091A7C" w14:textId="4D558636"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654097">
              <w:t>53,992</w:t>
            </w:r>
          </w:p>
        </w:tc>
        <w:tc>
          <w:tcPr>
            <w:tcW w:w="1559" w:type="dxa"/>
            <w:vAlign w:val="center"/>
          </w:tcPr>
          <w:p w14:paraId="36091A7D" w14:textId="057C0415"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654097">
              <w:t>1,467</w:t>
            </w:r>
          </w:p>
        </w:tc>
        <w:tc>
          <w:tcPr>
            <w:tcW w:w="1134" w:type="dxa"/>
            <w:vAlign w:val="center"/>
          </w:tcPr>
          <w:p w14:paraId="36091A7E" w14:textId="22E12BDD"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654097">
              <w:t>94,873</w:t>
            </w:r>
          </w:p>
        </w:tc>
        <w:tc>
          <w:tcPr>
            <w:tcW w:w="1134" w:type="dxa"/>
            <w:vAlign w:val="center"/>
          </w:tcPr>
          <w:p w14:paraId="36091A7F" w14:textId="67DE3EE0"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654097">
              <w:t>394,444</w:t>
            </w:r>
          </w:p>
        </w:tc>
        <w:tc>
          <w:tcPr>
            <w:tcW w:w="1134" w:type="dxa"/>
            <w:vAlign w:val="center"/>
          </w:tcPr>
          <w:p w14:paraId="36091A80" w14:textId="43898D08" w:rsidR="00195891" w:rsidRPr="004C2412" w:rsidRDefault="00195891" w:rsidP="00195891">
            <w:pPr>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rPr>
            </w:pPr>
            <w:r w:rsidRPr="00654097">
              <w:t>100.00%</w:t>
            </w:r>
          </w:p>
        </w:tc>
      </w:tr>
    </w:tbl>
    <w:p w14:paraId="404AF42C" w14:textId="0F306D70" w:rsidR="00B77957" w:rsidRPr="004C2412" w:rsidRDefault="00B77957" w:rsidP="00A609AA">
      <w:pPr>
        <w:ind w:left="0"/>
        <w:rPr>
          <w:noProof/>
        </w:rPr>
      </w:pPr>
      <w:r w:rsidRPr="004C2412">
        <w:rPr>
          <w:b/>
        </w:rPr>
        <w:t>^</w:t>
      </w:r>
      <w:r w:rsidRPr="004C2412">
        <w:rPr>
          <w:noProof/>
        </w:rPr>
        <w:t>For example, issue of Employment Contact Certificates and some Job Plan failures (Reconnection).</w:t>
      </w:r>
    </w:p>
    <w:p w14:paraId="36091A83" w14:textId="3BD9F44A" w:rsidR="000D7376" w:rsidRPr="004C2412" w:rsidRDefault="000D7376" w:rsidP="00A609AA">
      <w:pPr>
        <w:ind w:left="0"/>
      </w:pPr>
      <w:r w:rsidRPr="004C2412">
        <w:t>Appointment related failures comprise of financial penalties for non-attendance at a provider or Department of Human Services (including Comprehensive Compliance Assessment) appointment.</w:t>
      </w:r>
    </w:p>
    <w:p w14:paraId="36091A84" w14:textId="0CD57F00" w:rsidR="000D7376" w:rsidRPr="004C2412" w:rsidRDefault="000D7376" w:rsidP="00A609AA">
      <w:pPr>
        <w:ind w:left="0"/>
        <w:rPr>
          <w:bCs/>
        </w:rPr>
      </w:pPr>
      <w:r w:rsidRPr="004C2412">
        <w:rPr>
          <w:bCs/>
        </w:rPr>
        <w:t xml:space="preserve">Reconnection failures for not entering into a Job Plan </w:t>
      </w:r>
      <w:proofErr w:type="gramStart"/>
      <w:r w:rsidRPr="004C2412">
        <w:rPr>
          <w:bCs/>
        </w:rPr>
        <w:t>can be applied</w:t>
      </w:r>
      <w:proofErr w:type="gramEnd"/>
      <w:r w:rsidRPr="004C2412">
        <w:rPr>
          <w:bCs/>
        </w:rPr>
        <w:t xml:space="preserve"> when a job seeker does not attend an appointment with their Provider then refuses to enter into a Job Plan at their re-engagement appointment. This refusal represents the job seekers first refusal to enter into a Job Plan.</w:t>
      </w:r>
    </w:p>
    <w:p w14:paraId="25585E1F" w14:textId="69EB337E" w:rsidR="00BF33EB" w:rsidRPr="004C2412" w:rsidRDefault="00BF33EB">
      <w:pPr>
        <w:spacing w:before="0"/>
        <w:ind w:left="0"/>
        <w:rPr>
          <w:b/>
        </w:rPr>
      </w:pPr>
      <w:r w:rsidRPr="004C2412">
        <w:rPr>
          <w:b/>
        </w:rPr>
        <w:br w:type="page"/>
      </w:r>
    </w:p>
    <w:p w14:paraId="36091A85" w14:textId="1F388BDA" w:rsidR="002567EB" w:rsidRPr="004C2412" w:rsidRDefault="00347F02" w:rsidP="00A609AA">
      <w:pPr>
        <w:pStyle w:val="Heading3"/>
        <w:numPr>
          <w:ilvl w:val="0"/>
          <w:numId w:val="0"/>
        </w:numPr>
      </w:pPr>
      <w:bookmarkStart w:id="73" w:name="_Toc526864479"/>
      <w:r w:rsidRPr="004C2412">
        <w:t xml:space="preserve">17 c </w:t>
      </w:r>
      <w:r w:rsidR="00C95ED9" w:rsidRPr="004C2412">
        <w:t>–</w:t>
      </w:r>
      <w:r w:rsidRPr="004C2412">
        <w:t xml:space="preserve"> </w:t>
      </w:r>
      <w:r w:rsidR="00DB0D8D" w:rsidRPr="004C2412">
        <w:t>Connection Failures</w:t>
      </w:r>
      <w:r w:rsidR="00C95ED9" w:rsidRPr="004C2412">
        <w:t xml:space="preserve"> - 1 </w:t>
      </w:r>
      <w:r w:rsidR="00A434DB">
        <w:t>April</w:t>
      </w:r>
      <w:r w:rsidR="00A434DB" w:rsidRPr="004C2412">
        <w:t xml:space="preserve"> </w:t>
      </w:r>
      <w:r w:rsidR="00C95ED9" w:rsidRPr="004C2412">
        <w:t>to 3</w:t>
      </w:r>
      <w:r w:rsidR="00A434DB">
        <w:t>0</w:t>
      </w:r>
      <w:r w:rsidR="00C95ED9" w:rsidRPr="004C2412">
        <w:t xml:space="preserve"> </w:t>
      </w:r>
      <w:r w:rsidR="00A434DB">
        <w:t>June</w:t>
      </w:r>
      <w:r w:rsidR="00A434DB" w:rsidRPr="004C2412">
        <w:t xml:space="preserve"> </w:t>
      </w:r>
      <w:r w:rsidR="00D13EDA" w:rsidRPr="004C2412">
        <w:t>2018</w:t>
      </w:r>
      <w:bookmarkEnd w:id="73"/>
    </w:p>
    <w:tbl>
      <w:tblPr>
        <w:tblStyle w:val="LeftAlignTable"/>
        <w:tblW w:w="0" w:type="auto"/>
        <w:tblInd w:w="-5" w:type="dxa"/>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5467"/>
        <w:gridCol w:w="1313"/>
        <w:gridCol w:w="1313"/>
        <w:gridCol w:w="1313"/>
        <w:gridCol w:w="707"/>
        <w:gridCol w:w="981"/>
        <w:gridCol w:w="983"/>
        <w:gridCol w:w="1134"/>
        <w:gridCol w:w="1237"/>
      </w:tblGrid>
      <w:tr w:rsidR="00B85A0E" w:rsidRPr="004C2412" w14:paraId="36091A8F" w14:textId="16EF32DE" w:rsidTr="006709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7" w:type="dxa"/>
            <w:shd w:val="clear" w:color="auto" w:fill="auto"/>
            <w:vAlign w:val="center"/>
          </w:tcPr>
          <w:p w14:paraId="36091A86" w14:textId="70800AE9" w:rsidR="009E52F7" w:rsidRPr="004C2412" w:rsidRDefault="00B77957" w:rsidP="00910012">
            <w:pPr>
              <w:spacing w:before="0"/>
              <w:ind w:left="0"/>
            </w:pPr>
            <w:r w:rsidRPr="004C2412">
              <w:t xml:space="preserve">Types of </w:t>
            </w:r>
            <w:r w:rsidR="009E52F7" w:rsidRPr="004C2412">
              <w:t>Connection Failures</w:t>
            </w:r>
          </w:p>
        </w:tc>
        <w:tc>
          <w:tcPr>
            <w:tcW w:w="1313" w:type="dxa"/>
            <w:vAlign w:val="center"/>
          </w:tcPr>
          <w:p w14:paraId="36091A87" w14:textId="069FE6DB" w:rsidR="009E52F7"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sz w:val="20"/>
                <w:szCs w:val="20"/>
              </w:rPr>
              <w:t>j</w:t>
            </w:r>
            <w:r w:rsidR="009D5107" w:rsidRPr="004C2412">
              <w:rPr>
                <w:sz w:val="20"/>
                <w:szCs w:val="20"/>
              </w:rPr>
              <w:t>obactive</w:t>
            </w:r>
            <w:r w:rsidR="009D5107" w:rsidRPr="004C2412">
              <w:br/>
              <w:t>Stream A</w:t>
            </w:r>
          </w:p>
        </w:tc>
        <w:tc>
          <w:tcPr>
            <w:tcW w:w="1313" w:type="dxa"/>
            <w:vAlign w:val="center"/>
          </w:tcPr>
          <w:p w14:paraId="36091A88" w14:textId="64904B2D" w:rsidR="009E52F7"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sz w:val="20"/>
                <w:szCs w:val="20"/>
              </w:rPr>
              <w:t>j</w:t>
            </w:r>
            <w:r w:rsidR="009D5107" w:rsidRPr="004C2412">
              <w:rPr>
                <w:sz w:val="20"/>
                <w:szCs w:val="20"/>
              </w:rPr>
              <w:t>obactive</w:t>
            </w:r>
            <w:r w:rsidR="009D5107" w:rsidRPr="004C2412">
              <w:br/>
              <w:t>Stream B</w:t>
            </w:r>
          </w:p>
        </w:tc>
        <w:tc>
          <w:tcPr>
            <w:tcW w:w="1313" w:type="dxa"/>
            <w:vAlign w:val="center"/>
          </w:tcPr>
          <w:p w14:paraId="36091A89" w14:textId="3C14BBC7" w:rsidR="009E52F7" w:rsidRPr="004C2412" w:rsidRDefault="0092180C"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sz w:val="20"/>
                <w:szCs w:val="20"/>
              </w:rPr>
              <w:t>j</w:t>
            </w:r>
            <w:r w:rsidR="009D5107" w:rsidRPr="004C2412">
              <w:rPr>
                <w:sz w:val="20"/>
                <w:szCs w:val="20"/>
              </w:rPr>
              <w:t>obactive</w:t>
            </w:r>
            <w:r w:rsidR="009D5107" w:rsidRPr="004C2412">
              <w:br/>
            </w:r>
            <w:r w:rsidR="009E52F7" w:rsidRPr="004C2412">
              <w:t>Stream C</w:t>
            </w:r>
          </w:p>
        </w:tc>
        <w:tc>
          <w:tcPr>
            <w:tcW w:w="707" w:type="dxa"/>
            <w:vAlign w:val="center"/>
          </w:tcPr>
          <w:p w14:paraId="36091A8A" w14:textId="02749FA2"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DES</w:t>
            </w:r>
          </w:p>
        </w:tc>
        <w:tc>
          <w:tcPr>
            <w:tcW w:w="981" w:type="dxa"/>
            <w:vAlign w:val="center"/>
          </w:tcPr>
          <w:p w14:paraId="36091A8B" w14:textId="4F1CB143"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CDP</w:t>
            </w:r>
          </w:p>
        </w:tc>
        <w:tc>
          <w:tcPr>
            <w:tcW w:w="983" w:type="dxa"/>
            <w:vAlign w:val="center"/>
          </w:tcPr>
          <w:p w14:paraId="36091A8C" w14:textId="1AC94604"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134" w:type="dxa"/>
            <w:vAlign w:val="center"/>
          </w:tcPr>
          <w:p w14:paraId="36091A8D" w14:textId="425695E4"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c>
          <w:tcPr>
            <w:tcW w:w="1237" w:type="dxa"/>
            <w:vAlign w:val="center"/>
          </w:tcPr>
          <w:p w14:paraId="36091A8E" w14:textId="254D0616"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r>
      <w:tr w:rsidR="00A434DB" w:rsidRPr="004C2412" w14:paraId="36091A99" w14:textId="1DE96128" w:rsidTr="00910012">
        <w:tc>
          <w:tcPr>
            <w:cnfStyle w:val="001000000000" w:firstRow="0" w:lastRow="0" w:firstColumn="1" w:lastColumn="0" w:oddVBand="0" w:evenVBand="0" w:oddHBand="0" w:evenHBand="0" w:firstRowFirstColumn="0" w:firstRowLastColumn="0" w:lastRowFirstColumn="0" w:lastRowLastColumn="0"/>
            <w:tcW w:w="5467" w:type="dxa"/>
            <w:vAlign w:val="center"/>
          </w:tcPr>
          <w:p w14:paraId="36091A90" w14:textId="1E9A544A" w:rsidR="00A434DB" w:rsidRPr="004C2412" w:rsidRDefault="00A434DB" w:rsidP="00A434DB">
            <w:pPr>
              <w:spacing w:before="0"/>
              <w:ind w:left="0"/>
            </w:pPr>
            <w:r w:rsidRPr="004C2412">
              <w:t>Failure to attend third party appointment</w:t>
            </w:r>
            <w:r w:rsidRPr="004C2412">
              <w:rPr>
                <w:sz w:val="32"/>
                <w:szCs w:val="32"/>
                <w:vertAlign w:val="superscript"/>
              </w:rPr>
              <w:t xml:space="preserve"> ^</w:t>
            </w:r>
          </w:p>
        </w:tc>
        <w:tc>
          <w:tcPr>
            <w:tcW w:w="1313" w:type="dxa"/>
            <w:vAlign w:val="center"/>
          </w:tcPr>
          <w:p w14:paraId="36091A91" w14:textId="14AF470C"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43</w:t>
            </w:r>
          </w:p>
        </w:tc>
        <w:tc>
          <w:tcPr>
            <w:tcW w:w="1313" w:type="dxa"/>
            <w:vAlign w:val="center"/>
          </w:tcPr>
          <w:p w14:paraId="36091A92" w14:textId="0FD36B5E"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116</w:t>
            </w:r>
          </w:p>
        </w:tc>
        <w:tc>
          <w:tcPr>
            <w:tcW w:w="1313" w:type="dxa"/>
            <w:vAlign w:val="center"/>
          </w:tcPr>
          <w:p w14:paraId="36091A93" w14:textId="4BF072F8"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62</w:t>
            </w:r>
          </w:p>
        </w:tc>
        <w:tc>
          <w:tcPr>
            <w:tcW w:w="707" w:type="dxa"/>
            <w:vAlign w:val="center"/>
          </w:tcPr>
          <w:p w14:paraId="36091A94" w14:textId="0288BD30" w:rsidR="00A434DB" w:rsidRPr="004C2412" w:rsidRDefault="00E40F41"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981" w:type="dxa"/>
            <w:vAlign w:val="center"/>
          </w:tcPr>
          <w:p w14:paraId="36091A95" w14:textId="3B39C8DA" w:rsidR="00A434DB" w:rsidRPr="004C2412" w:rsidRDefault="00E40F41"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40F41">
              <w:t>&lt;5</w:t>
            </w:r>
          </w:p>
        </w:tc>
        <w:tc>
          <w:tcPr>
            <w:tcW w:w="983" w:type="dxa"/>
            <w:vAlign w:val="center"/>
          </w:tcPr>
          <w:p w14:paraId="36091A96" w14:textId="6DFCBA22"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258</w:t>
            </w:r>
          </w:p>
        </w:tc>
        <w:tc>
          <w:tcPr>
            <w:tcW w:w="1134" w:type="dxa"/>
            <w:vAlign w:val="center"/>
          </w:tcPr>
          <w:p w14:paraId="36091A97" w14:textId="2ABED1BD"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1,216</w:t>
            </w:r>
          </w:p>
        </w:tc>
        <w:tc>
          <w:tcPr>
            <w:tcW w:w="1237" w:type="dxa"/>
            <w:vAlign w:val="center"/>
          </w:tcPr>
          <w:p w14:paraId="36091A98" w14:textId="0C4ABA2B"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1.67%</w:t>
            </w:r>
          </w:p>
        </w:tc>
      </w:tr>
      <w:tr w:rsidR="00A434DB" w:rsidRPr="004C2412" w14:paraId="36091AA3" w14:textId="7F458203" w:rsidTr="00910012">
        <w:tc>
          <w:tcPr>
            <w:cnfStyle w:val="001000000000" w:firstRow="0" w:lastRow="0" w:firstColumn="1" w:lastColumn="0" w:oddVBand="0" w:evenVBand="0" w:oddHBand="0" w:evenHBand="0" w:firstRowFirstColumn="0" w:firstRowLastColumn="0" w:lastRowFirstColumn="0" w:lastRowLastColumn="0"/>
            <w:tcW w:w="5467" w:type="dxa"/>
            <w:vAlign w:val="center"/>
          </w:tcPr>
          <w:p w14:paraId="36091A9A" w14:textId="28C3AF64" w:rsidR="00A434DB" w:rsidRPr="004C2412" w:rsidRDefault="00A434DB" w:rsidP="00A434DB">
            <w:pPr>
              <w:spacing w:before="0"/>
              <w:ind w:left="0"/>
            </w:pPr>
            <w:r w:rsidRPr="004C2412">
              <w:t>Failure to attend CCA appointment</w:t>
            </w:r>
          </w:p>
        </w:tc>
        <w:tc>
          <w:tcPr>
            <w:tcW w:w="1313" w:type="dxa"/>
            <w:vAlign w:val="center"/>
          </w:tcPr>
          <w:p w14:paraId="36091A9B" w14:textId="0C84213A"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135</w:t>
            </w:r>
          </w:p>
        </w:tc>
        <w:tc>
          <w:tcPr>
            <w:tcW w:w="1313" w:type="dxa"/>
            <w:vAlign w:val="center"/>
          </w:tcPr>
          <w:p w14:paraId="36091A9C" w14:textId="0CB66A84"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404</w:t>
            </w:r>
          </w:p>
        </w:tc>
        <w:tc>
          <w:tcPr>
            <w:tcW w:w="1313" w:type="dxa"/>
            <w:vAlign w:val="center"/>
          </w:tcPr>
          <w:p w14:paraId="36091A9D" w14:textId="77B5AEC9"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187</w:t>
            </w:r>
          </w:p>
        </w:tc>
        <w:tc>
          <w:tcPr>
            <w:tcW w:w="707" w:type="dxa"/>
            <w:vAlign w:val="center"/>
          </w:tcPr>
          <w:p w14:paraId="36091A9E" w14:textId="0A4E8E05"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40F41">
              <w:t>5</w:t>
            </w:r>
          </w:p>
        </w:tc>
        <w:tc>
          <w:tcPr>
            <w:tcW w:w="981" w:type="dxa"/>
            <w:vAlign w:val="center"/>
          </w:tcPr>
          <w:p w14:paraId="36091A9F" w14:textId="1D0E73C6"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w:t>
            </w:r>
            <w:r>
              <w:t>,</w:t>
            </w:r>
            <w:r w:rsidRPr="00FE5D63">
              <w:t>177</w:t>
            </w:r>
          </w:p>
        </w:tc>
        <w:tc>
          <w:tcPr>
            <w:tcW w:w="983" w:type="dxa"/>
            <w:vAlign w:val="center"/>
          </w:tcPr>
          <w:p w14:paraId="36091AA0" w14:textId="27F79DEE"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1,908</w:t>
            </w:r>
          </w:p>
        </w:tc>
        <w:tc>
          <w:tcPr>
            <w:tcW w:w="1134" w:type="dxa"/>
            <w:vAlign w:val="center"/>
          </w:tcPr>
          <w:p w14:paraId="36091AA1" w14:textId="5C3FBA5A"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10,685</w:t>
            </w:r>
          </w:p>
        </w:tc>
        <w:tc>
          <w:tcPr>
            <w:tcW w:w="1237" w:type="dxa"/>
            <w:vAlign w:val="center"/>
          </w:tcPr>
          <w:p w14:paraId="36091AA2" w14:textId="5C7FE3AB"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14.70%</w:t>
            </w:r>
          </w:p>
        </w:tc>
      </w:tr>
      <w:tr w:rsidR="00A434DB" w:rsidRPr="004C2412" w14:paraId="36091AAD" w14:textId="059B03FB" w:rsidTr="00910012">
        <w:tc>
          <w:tcPr>
            <w:cnfStyle w:val="001000000000" w:firstRow="0" w:lastRow="0" w:firstColumn="1" w:lastColumn="0" w:oddVBand="0" w:evenVBand="0" w:oddHBand="0" w:evenHBand="0" w:firstRowFirstColumn="0" w:firstRowLastColumn="0" w:lastRowFirstColumn="0" w:lastRowLastColumn="0"/>
            <w:tcW w:w="5467" w:type="dxa"/>
            <w:vAlign w:val="center"/>
          </w:tcPr>
          <w:p w14:paraId="36091AA4" w14:textId="63F40820" w:rsidR="00A434DB" w:rsidRPr="004C2412" w:rsidRDefault="00A434DB" w:rsidP="00A434DB">
            <w:pPr>
              <w:spacing w:before="0"/>
              <w:ind w:left="0"/>
            </w:pPr>
            <w:r w:rsidRPr="004C2412">
              <w:t>Failure to comply with Job Search requirement in a Job Plan</w:t>
            </w:r>
          </w:p>
        </w:tc>
        <w:tc>
          <w:tcPr>
            <w:tcW w:w="1313" w:type="dxa"/>
            <w:vAlign w:val="center"/>
          </w:tcPr>
          <w:p w14:paraId="36091AA5" w14:textId="0D5B2732"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6</w:t>
            </w:r>
            <w:r>
              <w:t>,</w:t>
            </w:r>
            <w:r w:rsidRPr="00FE5D63">
              <w:t>588</w:t>
            </w:r>
          </w:p>
        </w:tc>
        <w:tc>
          <w:tcPr>
            <w:tcW w:w="1313" w:type="dxa"/>
            <w:vAlign w:val="center"/>
          </w:tcPr>
          <w:p w14:paraId="36091AA6" w14:textId="45637470"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5</w:t>
            </w:r>
            <w:r>
              <w:t>,</w:t>
            </w:r>
            <w:r w:rsidRPr="00FE5D63">
              <w:t>356</w:t>
            </w:r>
          </w:p>
        </w:tc>
        <w:tc>
          <w:tcPr>
            <w:tcW w:w="1313" w:type="dxa"/>
            <w:vAlign w:val="center"/>
          </w:tcPr>
          <w:p w14:paraId="36091AA7" w14:textId="5B44743B"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2</w:t>
            </w:r>
            <w:r>
              <w:t>,</w:t>
            </w:r>
            <w:r w:rsidRPr="00FE5D63">
              <w:t>807</w:t>
            </w:r>
          </w:p>
        </w:tc>
        <w:tc>
          <w:tcPr>
            <w:tcW w:w="707" w:type="dxa"/>
            <w:vAlign w:val="center"/>
          </w:tcPr>
          <w:p w14:paraId="36091AA8" w14:textId="709DA696" w:rsidR="00A434DB" w:rsidRPr="004C2412" w:rsidRDefault="00E40F41"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981" w:type="dxa"/>
            <w:vAlign w:val="center"/>
          </w:tcPr>
          <w:p w14:paraId="36091AA9" w14:textId="54F9493A" w:rsidR="00A434DB" w:rsidRPr="00030218" w:rsidRDefault="00E40F41"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E40F41">
              <w:t>&lt;5</w:t>
            </w:r>
          </w:p>
        </w:tc>
        <w:tc>
          <w:tcPr>
            <w:tcW w:w="983" w:type="dxa"/>
            <w:vAlign w:val="center"/>
          </w:tcPr>
          <w:p w14:paraId="36091AAA" w14:textId="400BA37F"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15,199</w:t>
            </w:r>
          </w:p>
        </w:tc>
        <w:tc>
          <w:tcPr>
            <w:tcW w:w="1134" w:type="dxa"/>
            <w:vAlign w:val="center"/>
          </w:tcPr>
          <w:p w14:paraId="36091AAB" w14:textId="6D372B09"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58,596</w:t>
            </w:r>
          </w:p>
        </w:tc>
        <w:tc>
          <w:tcPr>
            <w:tcW w:w="1237" w:type="dxa"/>
            <w:vAlign w:val="center"/>
          </w:tcPr>
          <w:p w14:paraId="36091AAC" w14:textId="61C95BF4"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80.61%</w:t>
            </w:r>
          </w:p>
        </w:tc>
      </w:tr>
      <w:tr w:rsidR="00A434DB" w:rsidRPr="004C2412" w14:paraId="36091AB7" w14:textId="191DAB60" w:rsidTr="00910012">
        <w:tc>
          <w:tcPr>
            <w:cnfStyle w:val="001000000000" w:firstRow="0" w:lastRow="0" w:firstColumn="1" w:lastColumn="0" w:oddVBand="0" w:evenVBand="0" w:oddHBand="0" w:evenHBand="0" w:firstRowFirstColumn="0" w:firstRowLastColumn="0" w:lastRowFirstColumn="0" w:lastRowLastColumn="0"/>
            <w:tcW w:w="5467" w:type="dxa"/>
            <w:vAlign w:val="center"/>
          </w:tcPr>
          <w:p w14:paraId="36091AAE" w14:textId="3C9311CA" w:rsidR="00A434DB" w:rsidRPr="004C2412" w:rsidRDefault="00A434DB" w:rsidP="00A434DB">
            <w:pPr>
              <w:spacing w:before="0"/>
              <w:ind w:left="0"/>
            </w:pPr>
            <w:r w:rsidRPr="004C2412">
              <w:t>Failure to enter a Job Plan with provider or the Department of Human Services</w:t>
            </w:r>
          </w:p>
        </w:tc>
        <w:tc>
          <w:tcPr>
            <w:tcW w:w="1313" w:type="dxa"/>
            <w:vAlign w:val="center"/>
          </w:tcPr>
          <w:p w14:paraId="36091AAF" w14:textId="65AC20FA"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58</w:t>
            </w:r>
          </w:p>
        </w:tc>
        <w:tc>
          <w:tcPr>
            <w:tcW w:w="1313" w:type="dxa"/>
            <w:vAlign w:val="center"/>
          </w:tcPr>
          <w:p w14:paraId="36091AB0" w14:textId="47A57D04"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63</w:t>
            </w:r>
          </w:p>
        </w:tc>
        <w:tc>
          <w:tcPr>
            <w:tcW w:w="1313" w:type="dxa"/>
            <w:vAlign w:val="center"/>
          </w:tcPr>
          <w:p w14:paraId="36091AB1" w14:textId="0731AF8A"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38</w:t>
            </w:r>
          </w:p>
        </w:tc>
        <w:tc>
          <w:tcPr>
            <w:tcW w:w="707" w:type="dxa"/>
            <w:vAlign w:val="center"/>
          </w:tcPr>
          <w:p w14:paraId="36091AB2" w14:textId="01400BAD" w:rsidR="00A434DB" w:rsidRPr="004C2412" w:rsidRDefault="00E40F41"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981" w:type="dxa"/>
            <w:vAlign w:val="center"/>
          </w:tcPr>
          <w:p w14:paraId="36091AB3" w14:textId="58F119E9" w:rsidR="00A434DB" w:rsidRPr="00030218" w:rsidRDefault="00E40F41"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E40F41">
              <w:t>&lt;5</w:t>
            </w:r>
          </w:p>
        </w:tc>
        <w:tc>
          <w:tcPr>
            <w:tcW w:w="983" w:type="dxa"/>
            <w:vAlign w:val="center"/>
          </w:tcPr>
          <w:p w14:paraId="36091AB4" w14:textId="782B868E"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186</w:t>
            </w:r>
          </w:p>
        </w:tc>
        <w:tc>
          <w:tcPr>
            <w:tcW w:w="1134" w:type="dxa"/>
            <w:vAlign w:val="center"/>
          </w:tcPr>
          <w:p w14:paraId="36091AB5" w14:textId="210BD7E2"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874</w:t>
            </w:r>
          </w:p>
        </w:tc>
        <w:tc>
          <w:tcPr>
            <w:tcW w:w="1237" w:type="dxa"/>
            <w:vAlign w:val="center"/>
          </w:tcPr>
          <w:p w14:paraId="36091AB6" w14:textId="236938EF"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1.20%</w:t>
            </w:r>
          </w:p>
        </w:tc>
      </w:tr>
      <w:tr w:rsidR="00A434DB" w:rsidRPr="004C2412" w14:paraId="36091AC1" w14:textId="6701189F" w:rsidTr="00910012">
        <w:tc>
          <w:tcPr>
            <w:cnfStyle w:val="001000000000" w:firstRow="0" w:lastRow="0" w:firstColumn="1" w:lastColumn="0" w:oddVBand="0" w:evenVBand="0" w:oddHBand="0" w:evenHBand="0" w:firstRowFirstColumn="0" w:firstRowLastColumn="0" w:lastRowFirstColumn="0" w:lastRowLastColumn="0"/>
            <w:tcW w:w="5467" w:type="dxa"/>
            <w:vAlign w:val="center"/>
          </w:tcPr>
          <w:p w14:paraId="36091AB8" w14:textId="6B4CD5DB" w:rsidR="00A434DB" w:rsidRPr="004C2412" w:rsidRDefault="00A434DB" w:rsidP="00A434DB">
            <w:pPr>
              <w:spacing w:before="0"/>
              <w:ind w:left="0"/>
            </w:pPr>
            <w:r w:rsidRPr="004C2412">
              <w:t>Failure to attend Department of Human Services appointment</w:t>
            </w:r>
          </w:p>
        </w:tc>
        <w:tc>
          <w:tcPr>
            <w:tcW w:w="1313" w:type="dxa"/>
            <w:vAlign w:val="center"/>
          </w:tcPr>
          <w:p w14:paraId="36091AB9" w14:textId="0F5C90CA"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69</w:t>
            </w:r>
          </w:p>
        </w:tc>
        <w:tc>
          <w:tcPr>
            <w:tcW w:w="1313" w:type="dxa"/>
            <w:vAlign w:val="center"/>
          </w:tcPr>
          <w:p w14:paraId="36091ABA" w14:textId="1658BDA4"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38</w:t>
            </w:r>
          </w:p>
        </w:tc>
        <w:tc>
          <w:tcPr>
            <w:tcW w:w="1313" w:type="dxa"/>
            <w:vAlign w:val="center"/>
          </w:tcPr>
          <w:p w14:paraId="36091ABB" w14:textId="4C3ED973"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75</w:t>
            </w:r>
          </w:p>
        </w:tc>
        <w:tc>
          <w:tcPr>
            <w:tcW w:w="707" w:type="dxa"/>
            <w:vAlign w:val="center"/>
          </w:tcPr>
          <w:p w14:paraId="36091ABC" w14:textId="1CFF2CD7" w:rsidR="00A434DB" w:rsidRPr="004C2412" w:rsidRDefault="00E40F41"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981" w:type="dxa"/>
            <w:vAlign w:val="center"/>
          </w:tcPr>
          <w:p w14:paraId="36091ABD" w14:textId="2FEE2C2E" w:rsidR="00A434DB" w:rsidRPr="00030218" w:rsidRDefault="00E40F41"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highlight w:val="magenta"/>
              </w:rPr>
            </w:pPr>
            <w:r w:rsidRPr="00E40F41">
              <w:t>&lt;5</w:t>
            </w:r>
          </w:p>
        </w:tc>
        <w:tc>
          <w:tcPr>
            <w:tcW w:w="983" w:type="dxa"/>
            <w:vAlign w:val="center"/>
          </w:tcPr>
          <w:p w14:paraId="36091ABE" w14:textId="6BA620FF"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221</w:t>
            </w:r>
          </w:p>
        </w:tc>
        <w:tc>
          <w:tcPr>
            <w:tcW w:w="1134" w:type="dxa"/>
            <w:vAlign w:val="center"/>
          </w:tcPr>
          <w:p w14:paraId="36091ABF" w14:textId="5A6389D3"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1,321</w:t>
            </w:r>
          </w:p>
        </w:tc>
        <w:tc>
          <w:tcPr>
            <w:tcW w:w="1237" w:type="dxa"/>
            <w:vAlign w:val="center"/>
          </w:tcPr>
          <w:p w14:paraId="36091AC0" w14:textId="09B39A25" w:rsidR="00A434DB" w:rsidRPr="004C2412" w:rsidRDefault="00A434DB" w:rsidP="00A434DB">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E5D63">
              <w:t>1.82%</w:t>
            </w:r>
          </w:p>
        </w:tc>
      </w:tr>
      <w:tr w:rsidR="00A434DB" w:rsidRPr="004C2412" w14:paraId="36091ACB" w14:textId="5A97D317" w:rsidTr="00910012">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67" w:type="dxa"/>
            <w:vAlign w:val="center"/>
          </w:tcPr>
          <w:p w14:paraId="36091AC2" w14:textId="0FDC5FC6" w:rsidR="00A434DB" w:rsidRPr="004C2412" w:rsidRDefault="00A434DB" w:rsidP="00A434DB">
            <w:pPr>
              <w:spacing w:before="0"/>
              <w:ind w:left="0"/>
            </w:pPr>
            <w:r w:rsidRPr="004C2412">
              <w:t>Total</w:t>
            </w:r>
          </w:p>
        </w:tc>
        <w:tc>
          <w:tcPr>
            <w:tcW w:w="1313" w:type="dxa"/>
            <w:vAlign w:val="center"/>
          </w:tcPr>
          <w:p w14:paraId="36091AC3" w14:textId="2BE22F8E" w:rsidR="00A434DB" w:rsidRPr="004C2412" w:rsidRDefault="00A434DB" w:rsidP="00A434D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E5D63">
              <w:t>6,893</w:t>
            </w:r>
          </w:p>
        </w:tc>
        <w:tc>
          <w:tcPr>
            <w:tcW w:w="1313" w:type="dxa"/>
            <w:vAlign w:val="center"/>
          </w:tcPr>
          <w:p w14:paraId="36091AC4" w14:textId="3E12B831" w:rsidR="00A434DB" w:rsidRPr="004C2412" w:rsidRDefault="00A434DB" w:rsidP="00A434D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E5D63">
              <w:t>5,977</w:t>
            </w:r>
          </w:p>
        </w:tc>
        <w:tc>
          <w:tcPr>
            <w:tcW w:w="1313" w:type="dxa"/>
            <w:vAlign w:val="center"/>
          </w:tcPr>
          <w:p w14:paraId="36091AC5" w14:textId="14F72CDB" w:rsidR="00A434DB" w:rsidRPr="004C2412" w:rsidRDefault="00A434DB" w:rsidP="00A434D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E5D63">
              <w:t>3,169</w:t>
            </w:r>
          </w:p>
        </w:tc>
        <w:tc>
          <w:tcPr>
            <w:tcW w:w="707" w:type="dxa"/>
            <w:vAlign w:val="center"/>
          </w:tcPr>
          <w:p w14:paraId="36091AC6" w14:textId="01247880" w:rsidR="00A434DB" w:rsidRPr="004C2412" w:rsidRDefault="00A434DB" w:rsidP="00A434D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E5D63">
              <w:t>546</w:t>
            </w:r>
          </w:p>
        </w:tc>
        <w:tc>
          <w:tcPr>
            <w:tcW w:w="981" w:type="dxa"/>
            <w:vAlign w:val="center"/>
          </w:tcPr>
          <w:p w14:paraId="36091AC7" w14:textId="219F422C" w:rsidR="00A434DB" w:rsidRPr="004C2412" w:rsidRDefault="00A434DB" w:rsidP="00A434D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E5D63">
              <w:t>1,187</w:t>
            </w:r>
          </w:p>
        </w:tc>
        <w:tc>
          <w:tcPr>
            <w:tcW w:w="983" w:type="dxa"/>
            <w:vAlign w:val="center"/>
          </w:tcPr>
          <w:p w14:paraId="36091AC8" w14:textId="44A8BBED" w:rsidR="00A434DB" w:rsidRPr="004C2412" w:rsidRDefault="00A434DB" w:rsidP="00A434D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E5D63">
              <w:t>17,772</w:t>
            </w:r>
          </w:p>
        </w:tc>
        <w:tc>
          <w:tcPr>
            <w:tcW w:w="1134" w:type="dxa"/>
            <w:vAlign w:val="center"/>
          </w:tcPr>
          <w:p w14:paraId="36091AC9" w14:textId="33F7E27F" w:rsidR="00A434DB" w:rsidRPr="004C2412" w:rsidRDefault="00A434DB" w:rsidP="00A434D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E5D63">
              <w:t>72,692</w:t>
            </w:r>
          </w:p>
        </w:tc>
        <w:tc>
          <w:tcPr>
            <w:tcW w:w="1237" w:type="dxa"/>
            <w:vAlign w:val="center"/>
          </w:tcPr>
          <w:p w14:paraId="36091ACA" w14:textId="3EEE5D13" w:rsidR="00A434DB" w:rsidRPr="004C2412" w:rsidRDefault="00A434DB" w:rsidP="00A434DB">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E5D63">
              <w:t>100.00%</w:t>
            </w:r>
          </w:p>
        </w:tc>
      </w:tr>
    </w:tbl>
    <w:p w14:paraId="36091ACC" w14:textId="045BF2A4" w:rsidR="00A44E16" w:rsidRPr="004C2412" w:rsidRDefault="00A44E16" w:rsidP="00A609AA">
      <w:pPr>
        <w:ind w:left="0"/>
      </w:pPr>
      <w:r w:rsidRPr="004C2412">
        <w:t>Failure to attend an initial appointment with a third party, such as Work for the Dole host organisation, can result in a Connection Failure.</w:t>
      </w:r>
    </w:p>
    <w:p w14:paraId="36091ACD" w14:textId="111F3E59" w:rsidR="00A44E16" w:rsidRPr="004C2412" w:rsidRDefault="00A44E16" w:rsidP="00A609AA">
      <w:pPr>
        <w:ind w:left="0"/>
        <w:rPr>
          <w:noProof/>
        </w:rPr>
      </w:pPr>
      <w:r w:rsidRPr="004C2412">
        <w:rPr>
          <w:sz w:val="28"/>
          <w:szCs w:val="28"/>
          <w:vertAlign w:val="superscript"/>
        </w:rPr>
        <w:t xml:space="preserve">^ </w:t>
      </w:r>
      <w:r w:rsidRPr="004C2412">
        <w:rPr>
          <w:noProof/>
        </w:rPr>
        <w:t>Non-attendance at employment services provider appointments is reported through a Non-Attendance Report and results in an income support payment suspension rather than a Connection Failure. Providers can recommend to the Department of Human Services that a financial penalty be applied where they consider the job seeker had no reasonable excuse for non-attendance at the appointment.</w:t>
      </w:r>
    </w:p>
    <w:p w14:paraId="36091AD0" w14:textId="581AE566" w:rsidR="002567EB" w:rsidRPr="004C2412" w:rsidRDefault="00347F02" w:rsidP="00A609AA">
      <w:pPr>
        <w:pStyle w:val="Heading3"/>
        <w:numPr>
          <w:ilvl w:val="0"/>
          <w:numId w:val="0"/>
        </w:numPr>
      </w:pPr>
      <w:bookmarkStart w:id="74" w:name="_Toc526864480"/>
      <w:r w:rsidRPr="004C2412">
        <w:t xml:space="preserve">17 d </w:t>
      </w:r>
      <w:r w:rsidR="00C95ED9" w:rsidRPr="004C2412">
        <w:t>–</w:t>
      </w:r>
      <w:r w:rsidRPr="004C2412">
        <w:t xml:space="preserve"> </w:t>
      </w:r>
      <w:r w:rsidR="00DB0D8D" w:rsidRPr="004C2412">
        <w:t>Income Support Payment Suspensions</w:t>
      </w:r>
      <w:r w:rsidR="00C95ED9" w:rsidRPr="004C2412">
        <w:t xml:space="preserve"> - 1</w:t>
      </w:r>
      <w:r w:rsidR="00D15370">
        <w:t xml:space="preserve"> April</w:t>
      </w:r>
      <w:r w:rsidR="00D15370" w:rsidRPr="004C2412">
        <w:t xml:space="preserve"> </w:t>
      </w:r>
      <w:r w:rsidR="00C95ED9" w:rsidRPr="004C2412">
        <w:t>to 3</w:t>
      </w:r>
      <w:r w:rsidR="00D15370">
        <w:t>0</w:t>
      </w:r>
      <w:r w:rsidR="00C95ED9" w:rsidRPr="004C2412">
        <w:t xml:space="preserve"> </w:t>
      </w:r>
      <w:r w:rsidR="00D15370">
        <w:t>June</w:t>
      </w:r>
      <w:r w:rsidR="00CF184E" w:rsidRPr="004C2412">
        <w:t xml:space="preserve"> 2018</w:t>
      </w:r>
      <w:bookmarkEnd w:id="74"/>
    </w:p>
    <w:tbl>
      <w:tblPr>
        <w:tblStyle w:val="LeftAlignTable"/>
        <w:tblW w:w="0" w:type="auto"/>
        <w:tblInd w:w="-5" w:type="dxa"/>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390"/>
        <w:gridCol w:w="1280"/>
        <w:gridCol w:w="1463"/>
        <w:gridCol w:w="1462"/>
        <w:gridCol w:w="1170"/>
        <w:gridCol w:w="1317"/>
        <w:gridCol w:w="1036"/>
        <w:gridCol w:w="1185"/>
        <w:gridCol w:w="1164"/>
      </w:tblGrid>
      <w:tr w:rsidR="009E52F7" w:rsidRPr="004C2412" w14:paraId="36091ADA" w14:textId="51CC1FC4" w:rsidTr="006709E8">
        <w:trPr>
          <w:cnfStyle w:val="100000000000" w:firstRow="1" w:lastRow="0" w:firstColumn="0" w:lastColumn="0" w:oddVBand="0" w:evenVBand="0" w:oddHBand="0" w:evenHBand="0" w:firstRowFirstColumn="0" w:firstRowLastColumn="0" w:lastRowFirstColumn="0" w:lastRowLastColumn="0"/>
          <w:trHeight w:val="550"/>
          <w:tblHeader/>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vAlign w:val="center"/>
          </w:tcPr>
          <w:p w14:paraId="36091AD1" w14:textId="2EDE31E8" w:rsidR="009E52F7" w:rsidRPr="004C2412" w:rsidRDefault="00B77957" w:rsidP="00910012">
            <w:pPr>
              <w:spacing w:before="0"/>
              <w:ind w:left="0"/>
            </w:pPr>
            <w:r w:rsidRPr="004C2412">
              <w:t xml:space="preserve">Types of </w:t>
            </w:r>
            <w:r w:rsidR="009E52F7" w:rsidRPr="004C2412">
              <w:t>Income Support payment suspensions</w:t>
            </w:r>
          </w:p>
        </w:tc>
        <w:tc>
          <w:tcPr>
            <w:tcW w:w="1280" w:type="dxa"/>
            <w:vAlign w:val="center"/>
          </w:tcPr>
          <w:p w14:paraId="36091AD2" w14:textId="75149CAA" w:rsidR="009E52F7" w:rsidRPr="004C2412" w:rsidRDefault="00AB1A4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j</w:t>
            </w:r>
            <w:r w:rsidR="009D5107" w:rsidRPr="004C2412">
              <w:t>obactive</w:t>
            </w:r>
            <w:r w:rsidR="009D5107" w:rsidRPr="004C2412">
              <w:br/>
            </w:r>
            <w:r w:rsidR="009E52F7" w:rsidRPr="004C2412">
              <w:t>Stream A</w:t>
            </w:r>
          </w:p>
        </w:tc>
        <w:tc>
          <w:tcPr>
            <w:tcW w:w="1463" w:type="dxa"/>
            <w:vAlign w:val="center"/>
          </w:tcPr>
          <w:p w14:paraId="36091AD3" w14:textId="2FB3E6E4" w:rsidR="009E52F7" w:rsidRPr="004C2412" w:rsidRDefault="00AB1A4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j</w:t>
            </w:r>
            <w:r w:rsidR="009D5107" w:rsidRPr="004C2412">
              <w:t>obactive</w:t>
            </w:r>
            <w:r w:rsidR="009D5107" w:rsidRPr="004C2412">
              <w:br/>
            </w:r>
            <w:r w:rsidR="009E52F7" w:rsidRPr="004C2412">
              <w:t>Stream B</w:t>
            </w:r>
          </w:p>
        </w:tc>
        <w:tc>
          <w:tcPr>
            <w:tcW w:w="1462" w:type="dxa"/>
            <w:vAlign w:val="center"/>
          </w:tcPr>
          <w:p w14:paraId="36091AD4" w14:textId="2A022518" w:rsidR="009E52F7" w:rsidRPr="004C2412" w:rsidRDefault="00AB1A4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j</w:t>
            </w:r>
            <w:r w:rsidR="009D5107" w:rsidRPr="004C2412">
              <w:t>obactive</w:t>
            </w:r>
            <w:r w:rsidR="009D5107" w:rsidRPr="004C2412">
              <w:br/>
            </w:r>
            <w:r w:rsidR="009E52F7" w:rsidRPr="004C2412">
              <w:t>Stream C</w:t>
            </w:r>
          </w:p>
        </w:tc>
        <w:tc>
          <w:tcPr>
            <w:tcW w:w="1170" w:type="dxa"/>
            <w:vAlign w:val="center"/>
          </w:tcPr>
          <w:p w14:paraId="36091AD5" w14:textId="2F55CC68"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DES</w:t>
            </w:r>
          </w:p>
        </w:tc>
        <w:tc>
          <w:tcPr>
            <w:tcW w:w="1317" w:type="dxa"/>
            <w:vAlign w:val="center"/>
          </w:tcPr>
          <w:p w14:paraId="36091AD6" w14:textId="098F7E96"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CDP</w:t>
            </w:r>
          </w:p>
        </w:tc>
        <w:tc>
          <w:tcPr>
            <w:tcW w:w="1036" w:type="dxa"/>
            <w:vAlign w:val="center"/>
          </w:tcPr>
          <w:p w14:paraId="36091AD7" w14:textId="60F7FAEF"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t>Total</w:t>
            </w:r>
          </w:p>
        </w:tc>
        <w:tc>
          <w:tcPr>
            <w:tcW w:w="1185" w:type="dxa"/>
            <w:vAlign w:val="center"/>
          </w:tcPr>
          <w:p w14:paraId="36091AD8" w14:textId="753DAA6C"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c>
          <w:tcPr>
            <w:tcW w:w="1164" w:type="dxa"/>
            <w:vAlign w:val="center"/>
          </w:tcPr>
          <w:p w14:paraId="36091AD9" w14:textId="3159818F" w:rsidR="009E52F7" w:rsidRPr="004C2412" w:rsidRDefault="009E52F7" w:rsidP="00910012">
            <w:pPr>
              <w:spacing w:before="0"/>
              <w:ind w:left="0"/>
              <w:cnfStyle w:val="100000000000" w:firstRow="1" w:lastRow="0" w:firstColumn="0" w:lastColumn="0" w:oddVBand="0" w:evenVBand="0" w:oddHBand="0" w:evenHBand="0" w:firstRowFirstColumn="0" w:firstRowLastColumn="0" w:lastRowFirstColumn="0" w:lastRowLastColumn="0"/>
            </w:pPr>
            <w:r w:rsidRPr="004C2412">
              <w:rPr>
                <w:noProof/>
              </w:rPr>
              <w:t>Financial YTD%</w:t>
            </w:r>
          </w:p>
        </w:tc>
      </w:tr>
      <w:tr w:rsidR="00D15370" w:rsidRPr="004C2412" w14:paraId="36091AE4" w14:textId="4328467D" w:rsidTr="00D15370">
        <w:trPr>
          <w:trHeight w:val="55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6091ADB" w14:textId="5AE6D948" w:rsidR="00D15370" w:rsidRPr="004C2412" w:rsidRDefault="00D15370" w:rsidP="00D15370">
            <w:pPr>
              <w:spacing w:before="0"/>
              <w:ind w:left="0"/>
            </w:pPr>
            <w:r w:rsidRPr="004C2412">
              <w:rPr>
                <w:bCs/>
              </w:rPr>
              <w:t>Income support payment suspension - non-attendance at appointment</w:t>
            </w:r>
          </w:p>
        </w:tc>
        <w:tc>
          <w:tcPr>
            <w:tcW w:w="1280" w:type="dxa"/>
            <w:vAlign w:val="center"/>
          </w:tcPr>
          <w:p w14:paraId="36091ADC" w14:textId="7093056C"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120,014</w:t>
            </w:r>
          </w:p>
        </w:tc>
        <w:tc>
          <w:tcPr>
            <w:tcW w:w="1463" w:type="dxa"/>
            <w:vAlign w:val="center"/>
          </w:tcPr>
          <w:p w14:paraId="36091ADD" w14:textId="23FC432A"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128,065</w:t>
            </w:r>
          </w:p>
        </w:tc>
        <w:tc>
          <w:tcPr>
            <w:tcW w:w="1462" w:type="dxa"/>
            <w:vAlign w:val="center"/>
          </w:tcPr>
          <w:p w14:paraId="36091ADE" w14:textId="15744F32"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66,491</w:t>
            </w:r>
          </w:p>
        </w:tc>
        <w:tc>
          <w:tcPr>
            <w:tcW w:w="1170" w:type="dxa"/>
            <w:vAlign w:val="center"/>
          </w:tcPr>
          <w:p w14:paraId="36091ADF" w14:textId="635564E3"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27,953</w:t>
            </w:r>
          </w:p>
        </w:tc>
        <w:tc>
          <w:tcPr>
            <w:tcW w:w="1317" w:type="dxa"/>
            <w:vAlign w:val="center"/>
          </w:tcPr>
          <w:p w14:paraId="36091AE0" w14:textId="17D19932"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15,191</w:t>
            </w:r>
          </w:p>
        </w:tc>
        <w:tc>
          <w:tcPr>
            <w:tcW w:w="1036" w:type="dxa"/>
            <w:vAlign w:val="center"/>
          </w:tcPr>
          <w:p w14:paraId="36091AE1" w14:textId="33F3EA93"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357,714</w:t>
            </w:r>
          </w:p>
        </w:tc>
        <w:tc>
          <w:tcPr>
            <w:tcW w:w="1185" w:type="dxa"/>
            <w:vAlign w:val="center"/>
          </w:tcPr>
          <w:p w14:paraId="36091AE2" w14:textId="37B848B8"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1,505,766</w:t>
            </w:r>
          </w:p>
        </w:tc>
        <w:tc>
          <w:tcPr>
            <w:tcW w:w="1164" w:type="dxa"/>
            <w:vAlign w:val="center"/>
          </w:tcPr>
          <w:p w14:paraId="36091AE3" w14:textId="0E866FD9"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93.56%</w:t>
            </w:r>
          </w:p>
        </w:tc>
      </w:tr>
      <w:tr w:rsidR="00D15370" w:rsidRPr="004C2412" w14:paraId="36091AEE" w14:textId="3A0F654C" w:rsidTr="00D15370">
        <w:trPr>
          <w:trHeight w:val="55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6091AE5" w14:textId="4C99957F" w:rsidR="00D15370" w:rsidRPr="004C2412" w:rsidRDefault="00D15370" w:rsidP="00D15370">
            <w:pPr>
              <w:spacing w:before="0"/>
              <w:ind w:left="0"/>
            </w:pPr>
            <w:r w:rsidRPr="004C2412">
              <w:rPr>
                <w:bCs/>
              </w:rPr>
              <w:t>Income support payment suspension – disengagement from activity</w:t>
            </w:r>
          </w:p>
        </w:tc>
        <w:tc>
          <w:tcPr>
            <w:tcW w:w="1280" w:type="dxa"/>
            <w:vAlign w:val="center"/>
          </w:tcPr>
          <w:p w14:paraId="36091AE6" w14:textId="3CF5B299"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3,980</w:t>
            </w:r>
          </w:p>
        </w:tc>
        <w:tc>
          <w:tcPr>
            <w:tcW w:w="1463" w:type="dxa"/>
            <w:vAlign w:val="center"/>
          </w:tcPr>
          <w:p w14:paraId="36091AE7" w14:textId="6FDA79EC"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6,202</w:t>
            </w:r>
          </w:p>
        </w:tc>
        <w:tc>
          <w:tcPr>
            <w:tcW w:w="1462" w:type="dxa"/>
            <w:vAlign w:val="center"/>
          </w:tcPr>
          <w:p w14:paraId="36091AE8" w14:textId="7E167D3B"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2,528</w:t>
            </w:r>
          </w:p>
        </w:tc>
        <w:tc>
          <w:tcPr>
            <w:tcW w:w="1170" w:type="dxa"/>
            <w:vAlign w:val="center"/>
          </w:tcPr>
          <w:p w14:paraId="36091AE9" w14:textId="08EF2ABA"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114</w:t>
            </w:r>
          </w:p>
        </w:tc>
        <w:tc>
          <w:tcPr>
            <w:tcW w:w="1317" w:type="dxa"/>
            <w:vAlign w:val="center"/>
          </w:tcPr>
          <w:p w14:paraId="36091AEA" w14:textId="339096BF"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10,986</w:t>
            </w:r>
          </w:p>
        </w:tc>
        <w:tc>
          <w:tcPr>
            <w:tcW w:w="1036" w:type="dxa"/>
            <w:vAlign w:val="center"/>
          </w:tcPr>
          <w:p w14:paraId="36091AEB" w14:textId="40C88A34"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23,810</w:t>
            </w:r>
          </w:p>
        </w:tc>
        <w:tc>
          <w:tcPr>
            <w:tcW w:w="1185" w:type="dxa"/>
            <w:vAlign w:val="center"/>
          </w:tcPr>
          <w:p w14:paraId="36091AEC" w14:textId="0A2FCF4D"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103,655</w:t>
            </w:r>
          </w:p>
        </w:tc>
        <w:tc>
          <w:tcPr>
            <w:tcW w:w="1164" w:type="dxa"/>
            <w:vAlign w:val="center"/>
          </w:tcPr>
          <w:p w14:paraId="36091AED" w14:textId="21EFB7BE" w:rsidR="00D15370" w:rsidRPr="004C241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6B2407">
              <w:t>6.44%</w:t>
            </w:r>
          </w:p>
        </w:tc>
      </w:tr>
      <w:tr w:rsidR="00D15370" w:rsidRPr="004C2412" w14:paraId="36091AF8" w14:textId="573CDC7F" w:rsidTr="00D15370">
        <w:trPr>
          <w:cnfStyle w:val="010000000000" w:firstRow="0" w:lastRow="1"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6091AEF" w14:textId="7BADE933" w:rsidR="00D15370" w:rsidRPr="004C2412" w:rsidRDefault="00D15370" w:rsidP="00D15370">
            <w:pPr>
              <w:spacing w:before="0"/>
              <w:ind w:left="0"/>
              <w:rPr>
                <w:bCs/>
              </w:rPr>
            </w:pPr>
            <w:r w:rsidRPr="004C2412">
              <w:rPr>
                <w:bCs/>
              </w:rPr>
              <w:t>Total Income Support payment suspensions</w:t>
            </w:r>
          </w:p>
        </w:tc>
        <w:tc>
          <w:tcPr>
            <w:tcW w:w="1280" w:type="dxa"/>
            <w:vAlign w:val="center"/>
          </w:tcPr>
          <w:p w14:paraId="36091AF0" w14:textId="04B7FCBB" w:rsidR="00D15370" w:rsidRPr="004C241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6B2407">
              <w:t>123,994</w:t>
            </w:r>
          </w:p>
        </w:tc>
        <w:tc>
          <w:tcPr>
            <w:tcW w:w="1463" w:type="dxa"/>
            <w:vAlign w:val="center"/>
          </w:tcPr>
          <w:p w14:paraId="36091AF1" w14:textId="2D610E11" w:rsidR="00D15370" w:rsidRPr="004C241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6B2407">
              <w:t>134,267</w:t>
            </w:r>
          </w:p>
        </w:tc>
        <w:tc>
          <w:tcPr>
            <w:tcW w:w="1462" w:type="dxa"/>
            <w:vAlign w:val="center"/>
          </w:tcPr>
          <w:p w14:paraId="36091AF2" w14:textId="0F6352C2" w:rsidR="00D15370" w:rsidRPr="004C241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6B2407">
              <w:t>69,019</w:t>
            </w:r>
          </w:p>
        </w:tc>
        <w:tc>
          <w:tcPr>
            <w:tcW w:w="1170" w:type="dxa"/>
            <w:vAlign w:val="center"/>
          </w:tcPr>
          <w:p w14:paraId="36091AF3" w14:textId="449C3581" w:rsidR="00D15370" w:rsidRPr="004C241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6B2407">
              <w:t>28,067</w:t>
            </w:r>
          </w:p>
        </w:tc>
        <w:tc>
          <w:tcPr>
            <w:tcW w:w="1317" w:type="dxa"/>
            <w:vAlign w:val="center"/>
          </w:tcPr>
          <w:p w14:paraId="36091AF4" w14:textId="56E28233" w:rsidR="00D15370" w:rsidRPr="004C241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6B2407">
              <w:t>26,177</w:t>
            </w:r>
          </w:p>
        </w:tc>
        <w:tc>
          <w:tcPr>
            <w:tcW w:w="1036" w:type="dxa"/>
            <w:vAlign w:val="center"/>
          </w:tcPr>
          <w:p w14:paraId="36091AF5" w14:textId="425AA7A3" w:rsidR="00D15370" w:rsidRPr="004C241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6B2407">
              <w:t>381,524</w:t>
            </w:r>
          </w:p>
        </w:tc>
        <w:tc>
          <w:tcPr>
            <w:tcW w:w="1185" w:type="dxa"/>
            <w:vAlign w:val="center"/>
          </w:tcPr>
          <w:p w14:paraId="36091AF6" w14:textId="6C42CC05" w:rsidR="00D15370" w:rsidRPr="004C241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6B2407">
              <w:t>1,609,421</w:t>
            </w:r>
          </w:p>
        </w:tc>
        <w:tc>
          <w:tcPr>
            <w:tcW w:w="1164" w:type="dxa"/>
            <w:vAlign w:val="center"/>
          </w:tcPr>
          <w:p w14:paraId="36091AF7" w14:textId="5BD9799F" w:rsidR="00D15370" w:rsidRPr="004C241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6B2407">
              <w:t>100.00%</w:t>
            </w:r>
          </w:p>
        </w:tc>
      </w:tr>
    </w:tbl>
    <w:p w14:paraId="36091AF9" w14:textId="4E86728A" w:rsidR="00BF54B3" w:rsidRPr="004C2412" w:rsidRDefault="00BF54B3" w:rsidP="00A609AA">
      <w:pPr>
        <w:ind w:left="0"/>
        <w:rPr>
          <w:noProof/>
        </w:rPr>
      </w:pPr>
      <w:r w:rsidRPr="004C2412">
        <w:rPr>
          <w:noProof/>
        </w:rPr>
        <w:t>Income support payment suspensions are applied when a job seeker fails to attend an appointment with their employment services provider and a Non-Attendance Report is submitted, or when a job seeker disengages from an activity and their provider indicates on a No Show No Pay Participation Report that they wish to discuss this with the job seeker.</w:t>
      </w:r>
    </w:p>
    <w:p w14:paraId="36091AFA" w14:textId="3457604A" w:rsidR="00BF33EB" w:rsidRPr="004C2412" w:rsidRDefault="00BF33EB">
      <w:pPr>
        <w:spacing w:before="0"/>
        <w:ind w:left="0"/>
        <w:rPr>
          <w:noProof/>
        </w:rPr>
      </w:pPr>
      <w:r w:rsidRPr="004C2412">
        <w:rPr>
          <w:noProof/>
        </w:rPr>
        <w:br w:type="page"/>
      </w:r>
    </w:p>
    <w:p w14:paraId="48670F54" w14:textId="1790AE37" w:rsidR="00422B96" w:rsidRPr="004C2412" w:rsidRDefault="00347F02" w:rsidP="00A609AA">
      <w:pPr>
        <w:pStyle w:val="Heading3"/>
        <w:numPr>
          <w:ilvl w:val="0"/>
          <w:numId w:val="0"/>
        </w:numPr>
      </w:pPr>
      <w:bookmarkStart w:id="75" w:name="_Toc526864481"/>
      <w:r w:rsidRPr="004C2412">
        <w:t xml:space="preserve">17 e </w:t>
      </w:r>
      <w:r w:rsidR="00C95ED9" w:rsidRPr="004C2412">
        <w:t>–</w:t>
      </w:r>
      <w:r w:rsidRPr="004C2412">
        <w:t xml:space="preserve"> </w:t>
      </w:r>
      <w:r w:rsidR="00422B96" w:rsidRPr="004C2412">
        <w:t>Compr</w:t>
      </w:r>
      <w:r w:rsidR="00244CB0" w:rsidRPr="004C2412">
        <w:t>ehensive Compliance Assessments</w:t>
      </w:r>
      <w:r w:rsidR="00C95ED9" w:rsidRPr="004C2412">
        <w:t xml:space="preserve"> (CCA) - 1 </w:t>
      </w:r>
      <w:r w:rsidR="00D15370">
        <w:t>April</w:t>
      </w:r>
      <w:r w:rsidR="00D15370" w:rsidRPr="004C2412">
        <w:t xml:space="preserve"> </w:t>
      </w:r>
      <w:r w:rsidR="00C95ED9" w:rsidRPr="004C2412">
        <w:t>to 3</w:t>
      </w:r>
      <w:r w:rsidR="00D15370">
        <w:t>0</w:t>
      </w:r>
      <w:r w:rsidR="00C95ED9" w:rsidRPr="004C2412">
        <w:t xml:space="preserve"> </w:t>
      </w:r>
      <w:r w:rsidR="00D15370">
        <w:t>June</w:t>
      </w:r>
      <w:r w:rsidR="00CF184E" w:rsidRPr="004C2412">
        <w:t xml:space="preserve"> 2018</w:t>
      </w:r>
      <w:bookmarkEnd w:id="75"/>
    </w:p>
    <w:tbl>
      <w:tblPr>
        <w:tblStyle w:val="LeftAlignTable"/>
        <w:tblW w:w="0" w:type="auto"/>
        <w:tblInd w:w="-5" w:type="dxa"/>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177"/>
        <w:gridCol w:w="1317"/>
        <w:gridCol w:w="1276"/>
        <w:gridCol w:w="1418"/>
        <w:gridCol w:w="1175"/>
        <w:gridCol w:w="1193"/>
        <w:gridCol w:w="1175"/>
        <w:gridCol w:w="1128"/>
        <w:gridCol w:w="1128"/>
      </w:tblGrid>
      <w:tr w:rsidR="00C95ED9" w:rsidRPr="004C2412" w14:paraId="36091B05" w14:textId="0F48DFB0" w:rsidTr="006709E8">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77" w:type="dxa"/>
            <w:shd w:val="clear" w:color="auto" w:fill="auto"/>
            <w:vAlign w:val="center"/>
          </w:tcPr>
          <w:p w14:paraId="36091AFC" w14:textId="050E7FE2" w:rsidR="00C95ED9" w:rsidRPr="00752272" w:rsidRDefault="00C95ED9" w:rsidP="00910012">
            <w:pPr>
              <w:spacing w:before="0"/>
              <w:ind w:left="0"/>
            </w:pPr>
            <w:r w:rsidRPr="00752272">
              <w:t>Finalised Comprehensive Compliance</w:t>
            </w:r>
            <w:r w:rsidRPr="00752272">
              <w:br/>
              <w:t>Assessment Outcome</w:t>
            </w:r>
          </w:p>
        </w:tc>
        <w:tc>
          <w:tcPr>
            <w:tcW w:w="1317" w:type="dxa"/>
            <w:vAlign w:val="center"/>
          </w:tcPr>
          <w:p w14:paraId="36091AFD" w14:textId="7062C95C" w:rsidR="00C95ED9" w:rsidRPr="00752272" w:rsidRDefault="00C95ED9" w:rsidP="00910012">
            <w:pPr>
              <w:spacing w:before="0"/>
              <w:ind w:left="0"/>
              <w:cnfStyle w:val="100000000000" w:firstRow="1" w:lastRow="0" w:firstColumn="0" w:lastColumn="0" w:oddVBand="0" w:evenVBand="0" w:oddHBand="0" w:evenHBand="0" w:firstRowFirstColumn="0" w:firstRowLastColumn="0" w:lastRowFirstColumn="0" w:lastRowLastColumn="0"/>
            </w:pPr>
            <w:r w:rsidRPr="00752272">
              <w:t>jobactive</w:t>
            </w:r>
            <w:r w:rsidRPr="00752272">
              <w:br/>
              <w:t>Stream A</w:t>
            </w:r>
          </w:p>
        </w:tc>
        <w:tc>
          <w:tcPr>
            <w:tcW w:w="1276" w:type="dxa"/>
            <w:vAlign w:val="center"/>
          </w:tcPr>
          <w:p w14:paraId="36091AFE" w14:textId="7D8D3CCB" w:rsidR="00C95ED9" w:rsidRPr="00752272" w:rsidRDefault="00C95ED9" w:rsidP="00910012">
            <w:pPr>
              <w:spacing w:before="0"/>
              <w:ind w:left="0"/>
              <w:cnfStyle w:val="100000000000" w:firstRow="1" w:lastRow="0" w:firstColumn="0" w:lastColumn="0" w:oddVBand="0" w:evenVBand="0" w:oddHBand="0" w:evenHBand="0" w:firstRowFirstColumn="0" w:firstRowLastColumn="0" w:lastRowFirstColumn="0" w:lastRowLastColumn="0"/>
            </w:pPr>
            <w:r w:rsidRPr="00752272">
              <w:t>jobactive</w:t>
            </w:r>
            <w:r w:rsidRPr="00752272">
              <w:br/>
              <w:t>Stream B</w:t>
            </w:r>
          </w:p>
        </w:tc>
        <w:tc>
          <w:tcPr>
            <w:tcW w:w="1418" w:type="dxa"/>
            <w:vAlign w:val="center"/>
          </w:tcPr>
          <w:p w14:paraId="36091AFF" w14:textId="74B782B1" w:rsidR="00C95ED9" w:rsidRPr="00752272" w:rsidRDefault="00C95ED9" w:rsidP="00910012">
            <w:pPr>
              <w:spacing w:before="0"/>
              <w:ind w:left="0"/>
              <w:cnfStyle w:val="100000000000" w:firstRow="1" w:lastRow="0" w:firstColumn="0" w:lastColumn="0" w:oddVBand="0" w:evenVBand="0" w:oddHBand="0" w:evenHBand="0" w:firstRowFirstColumn="0" w:firstRowLastColumn="0" w:lastRowFirstColumn="0" w:lastRowLastColumn="0"/>
            </w:pPr>
            <w:r w:rsidRPr="00752272">
              <w:t>jobactive</w:t>
            </w:r>
            <w:r w:rsidRPr="00752272">
              <w:br/>
              <w:t>Stream C</w:t>
            </w:r>
          </w:p>
        </w:tc>
        <w:tc>
          <w:tcPr>
            <w:tcW w:w="1175" w:type="dxa"/>
            <w:vAlign w:val="center"/>
          </w:tcPr>
          <w:p w14:paraId="36091B00" w14:textId="3F1DBA82" w:rsidR="00C95ED9" w:rsidRPr="00752272" w:rsidRDefault="00C95ED9" w:rsidP="00910012">
            <w:pPr>
              <w:spacing w:before="0"/>
              <w:ind w:left="0"/>
              <w:cnfStyle w:val="100000000000" w:firstRow="1" w:lastRow="0" w:firstColumn="0" w:lastColumn="0" w:oddVBand="0" w:evenVBand="0" w:oddHBand="0" w:evenHBand="0" w:firstRowFirstColumn="0" w:firstRowLastColumn="0" w:lastRowFirstColumn="0" w:lastRowLastColumn="0"/>
            </w:pPr>
            <w:r w:rsidRPr="00752272">
              <w:t>DES</w:t>
            </w:r>
          </w:p>
        </w:tc>
        <w:tc>
          <w:tcPr>
            <w:tcW w:w="1193" w:type="dxa"/>
            <w:vAlign w:val="center"/>
          </w:tcPr>
          <w:p w14:paraId="36091B01" w14:textId="7288F0F4" w:rsidR="00C95ED9" w:rsidRPr="00752272" w:rsidRDefault="00C95ED9" w:rsidP="00910012">
            <w:pPr>
              <w:spacing w:before="0"/>
              <w:ind w:left="0"/>
              <w:cnfStyle w:val="100000000000" w:firstRow="1" w:lastRow="0" w:firstColumn="0" w:lastColumn="0" w:oddVBand="0" w:evenVBand="0" w:oddHBand="0" w:evenHBand="0" w:firstRowFirstColumn="0" w:firstRowLastColumn="0" w:lastRowFirstColumn="0" w:lastRowLastColumn="0"/>
            </w:pPr>
            <w:r w:rsidRPr="00752272">
              <w:t>CDP</w:t>
            </w:r>
          </w:p>
        </w:tc>
        <w:tc>
          <w:tcPr>
            <w:tcW w:w="1175" w:type="dxa"/>
            <w:vAlign w:val="center"/>
          </w:tcPr>
          <w:p w14:paraId="36091B02" w14:textId="0A90B7C8" w:rsidR="00C95ED9" w:rsidRPr="00752272" w:rsidRDefault="00C95ED9" w:rsidP="00910012">
            <w:pPr>
              <w:spacing w:before="0"/>
              <w:ind w:left="0"/>
              <w:cnfStyle w:val="100000000000" w:firstRow="1" w:lastRow="0" w:firstColumn="0" w:lastColumn="0" w:oddVBand="0" w:evenVBand="0" w:oddHBand="0" w:evenHBand="0" w:firstRowFirstColumn="0" w:firstRowLastColumn="0" w:lastRowFirstColumn="0" w:lastRowLastColumn="0"/>
            </w:pPr>
            <w:r w:rsidRPr="00752272">
              <w:t>Total</w:t>
            </w:r>
          </w:p>
        </w:tc>
        <w:tc>
          <w:tcPr>
            <w:tcW w:w="1128" w:type="dxa"/>
            <w:vAlign w:val="center"/>
          </w:tcPr>
          <w:p w14:paraId="36091B03" w14:textId="79C1216F" w:rsidR="00C95ED9" w:rsidRPr="00752272" w:rsidRDefault="00C95ED9" w:rsidP="00910012">
            <w:pPr>
              <w:spacing w:before="0"/>
              <w:ind w:left="0"/>
              <w:cnfStyle w:val="100000000000" w:firstRow="1" w:lastRow="0" w:firstColumn="0" w:lastColumn="0" w:oddVBand="0" w:evenVBand="0" w:oddHBand="0" w:evenHBand="0" w:firstRowFirstColumn="0" w:firstRowLastColumn="0" w:lastRowFirstColumn="0" w:lastRowLastColumn="0"/>
            </w:pPr>
            <w:r w:rsidRPr="00752272">
              <w:rPr>
                <w:noProof/>
              </w:rPr>
              <w:t>Financial YTD</w:t>
            </w:r>
          </w:p>
        </w:tc>
        <w:tc>
          <w:tcPr>
            <w:tcW w:w="1128" w:type="dxa"/>
            <w:vAlign w:val="center"/>
          </w:tcPr>
          <w:p w14:paraId="36091B04" w14:textId="29B13B9E" w:rsidR="00C95ED9" w:rsidRPr="00752272" w:rsidRDefault="00C95ED9" w:rsidP="00910012">
            <w:pPr>
              <w:spacing w:before="0"/>
              <w:ind w:left="0"/>
              <w:cnfStyle w:val="100000000000" w:firstRow="1" w:lastRow="0" w:firstColumn="0" w:lastColumn="0" w:oddVBand="0" w:evenVBand="0" w:oddHBand="0" w:evenHBand="0" w:firstRowFirstColumn="0" w:firstRowLastColumn="0" w:lastRowFirstColumn="0" w:lastRowLastColumn="0"/>
            </w:pPr>
            <w:r w:rsidRPr="00752272">
              <w:rPr>
                <w:noProof/>
              </w:rPr>
              <w:t>Financial YTD%</w:t>
            </w:r>
          </w:p>
        </w:tc>
      </w:tr>
      <w:tr w:rsidR="00D15370" w:rsidRPr="004C2412" w14:paraId="36091B0F" w14:textId="3B98B46D" w:rsidTr="00910012">
        <w:trPr>
          <w:trHeight w:val="397"/>
        </w:trPr>
        <w:tc>
          <w:tcPr>
            <w:cnfStyle w:val="001000000000" w:firstRow="0" w:lastRow="0" w:firstColumn="1" w:lastColumn="0" w:oddVBand="0" w:evenVBand="0" w:oddHBand="0" w:evenHBand="0" w:firstRowFirstColumn="0" w:firstRowLastColumn="0" w:lastRowFirstColumn="0" w:lastRowLastColumn="0"/>
            <w:tcW w:w="4177" w:type="dxa"/>
            <w:vAlign w:val="center"/>
          </w:tcPr>
          <w:p w14:paraId="36091B06" w14:textId="2D5D2939" w:rsidR="00D15370" w:rsidRPr="00752272" w:rsidRDefault="00D15370" w:rsidP="00D15370">
            <w:pPr>
              <w:spacing w:before="0"/>
              <w:ind w:left="0"/>
            </w:pPr>
            <w:r w:rsidRPr="00752272">
              <w:t xml:space="preserve">JSCI updated – referral for </w:t>
            </w:r>
            <w:proofErr w:type="spellStart"/>
            <w:r w:rsidRPr="00752272">
              <w:t>ESAt</w:t>
            </w:r>
            <w:proofErr w:type="spellEnd"/>
          </w:p>
        </w:tc>
        <w:tc>
          <w:tcPr>
            <w:tcW w:w="1317" w:type="dxa"/>
            <w:vAlign w:val="center"/>
          </w:tcPr>
          <w:p w14:paraId="36091B07" w14:textId="28BC4A54"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144</w:t>
            </w:r>
          </w:p>
        </w:tc>
        <w:tc>
          <w:tcPr>
            <w:tcW w:w="1276" w:type="dxa"/>
            <w:vAlign w:val="center"/>
          </w:tcPr>
          <w:p w14:paraId="36091B08" w14:textId="61200B87"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285</w:t>
            </w:r>
          </w:p>
        </w:tc>
        <w:tc>
          <w:tcPr>
            <w:tcW w:w="1418" w:type="dxa"/>
            <w:vAlign w:val="center"/>
          </w:tcPr>
          <w:p w14:paraId="36091B09" w14:textId="216893A0" w:rsidR="00D15370" w:rsidRPr="00752272" w:rsidRDefault="00E40F41"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175" w:type="dxa"/>
            <w:vAlign w:val="center"/>
          </w:tcPr>
          <w:p w14:paraId="36091B0A" w14:textId="1632DD0C" w:rsidR="00D15370" w:rsidRPr="00752272" w:rsidRDefault="00E40F41"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193" w:type="dxa"/>
            <w:vAlign w:val="center"/>
          </w:tcPr>
          <w:p w14:paraId="36091B0B" w14:textId="0D8610B0"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72</w:t>
            </w:r>
          </w:p>
        </w:tc>
        <w:tc>
          <w:tcPr>
            <w:tcW w:w="1175" w:type="dxa"/>
            <w:vAlign w:val="center"/>
          </w:tcPr>
          <w:p w14:paraId="36091B0C" w14:textId="1968570A"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597</w:t>
            </w:r>
          </w:p>
        </w:tc>
        <w:tc>
          <w:tcPr>
            <w:tcW w:w="1128" w:type="dxa"/>
            <w:vAlign w:val="center"/>
          </w:tcPr>
          <w:p w14:paraId="36091B0D" w14:textId="2EB116F5"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2,510</w:t>
            </w:r>
          </w:p>
        </w:tc>
        <w:tc>
          <w:tcPr>
            <w:tcW w:w="1128" w:type="dxa"/>
            <w:vAlign w:val="center"/>
          </w:tcPr>
          <w:p w14:paraId="36091B0E" w14:textId="22B5C17C"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2.76%</w:t>
            </w:r>
          </w:p>
        </w:tc>
      </w:tr>
      <w:tr w:rsidR="00D15370" w:rsidRPr="004C2412" w14:paraId="36091B19" w14:textId="14A2238A" w:rsidTr="00910012">
        <w:trPr>
          <w:trHeight w:val="397"/>
        </w:trPr>
        <w:tc>
          <w:tcPr>
            <w:cnfStyle w:val="001000000000" w:firstRow="0" w:lastRow="0" w:firstColumn="1" w:lastColumn="0" w:oddVBand="0" w:evenVBand="0" w:oddHBand="0" w:evenHBand="0" w:firstRowFirstColumn="0" w:firstRowLastColumn="0" w:lastRowFirstColumn="0" w:lastRowLastColumn="0"/>
            <w:tcW w:w="4177" w:type="dxa"/>
            <w:vAlign w:val="center"/>
          </w:tcPr>
          <w:p w14:paraId="36091B10" w14:textId="33871C0E" w:rsidR="00D15370" w:rsidRPr="00752272" w:rsidRDefault="00D15370" w:rsidP="00D15370">
            <w:pPr>
              <w:spacing w:before="0"/>
              <w:ind w:left="0"/>
            </w:pPr>
            <w:r w:rsidRPr="00752272">
              <w:t>JSCI updated – eligible for higher stream</w:t>
            </w:r>
          </w:p>
        </w:tc>
        <w:tc>
          <w:tcPr>
            <w:tcW w:w="1317" w:type="dxa"/>
            <w:vAlign w:val="center"/>
          </w:tcPr>
          <w:p w14:paraId="36091B11" w14:textId="0E6473D7"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17</w:t>
            </w:r>
          </w:p>
        </w:tc>
        <w:tc>
          <w:tcPr>
            <w:tcW w:w="1276" w:type="dxa"/>
            <w:vAlign w:val="center"/>
          </w:tcPr>
          <w:p w14:paraId="36091B12" w14:textId="30BAF4AC"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27</w:t>
            </w:r>
          </w:p>
        </w:tc>
        <w:tc>
          <w:tcPr>
            <w:tcW w:w="1418" w:type="dxa"/>
            <w:vAlign w:val="center"/>
          </w:tcPr>
          <w:p w14:paraId="36091B13" w14:textId="3601B458" w:rsidR="00D15370" w:rsidRPr="00752272" w:rsidRDefault="00E40F41"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E40F41">
              <w:t>&lt;5</w:t>
            </w:r>
          </w:p>
        </w:tc>
        <w:tc>
          <w:tcPr>
            <w:tcW w:w="1175" w:type="dxa"/>
            <w:vAlign w:val="center"/>
          </w:tcPr>
          <w:p w14:paraId="36091B14" w14:textId="124B0EE8" w:rsidR="00D15370" w:rsidRPr="00752272" w:rsidRDefault="00E40F41"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t>np</w:t>
            </w:r>
          </w:p>
        </w:tc>
        <w:tc>
          <w:tcPr>
            <w:tcW w:w="1193" w:type="dxa"/>
            <w:vAlign w:val="center"/>
          </w:tcPr>
          <w:p w14:paraId="36091B15" w14:textId="1B7A6953"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0</w:t>
            </w:r>
          </w:p>
        </w:tc>
        <w:tc>
          <w:tcPr>
            <w:tcW w:w="1175" w:type="dxa"/>
            <w:vAlign w:val="center"/>
          </w:tcPr>
          <w:p w14:paraId="36091B16" w14:textId="2C535E4F"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46</w:t>
            </w:r>
          </w:p>
        </w:tc>
        <w:tc>
          <w:tcPr>
            <w:tcW w:w="1128" w:type="dxa"/>
            <w:vAlign w:val="center"/>
          </w:tcPr>
          <w:p w14:paraId="36091B17" w14:textId="7EEA3C0F"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149</w:t>
            </w:r>
          </w:p>
        </w:tc>
        <w:tc>
          <w:tcPr>
            <w:tcW w:w="1128" w:type="dxa"/>
            <w:vAlign w:val="center"/>
          </w:tcPr>
          <w:p w14:paraId="36091B18" w14:textId="2AAB86F6"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0.16%</w:t>
            </w:r>
          </w:p>
        </w:tc>
      </w:tr>
      <w:tr w:rsidR="00D15370" w:rsidRPr="004C2412" w14:paraId="36091B23" w14:textId="63D79080" w:rsidTr="00910012">
        <w:trPr>
          <w:trHeight w:val="397"/>
        </w:trPr>
        <w:tc>
          <w:tcPr>
            <w:cnfStyle w:val="001000000000" w:firstRow="0" w:lastRow="0" w:firstColumn="1" w:lastColumn="0" w:oddVBand="0" w:evenVBand="0" w:oddHBand="0" w:evenHBand="0" w:firstRowFirstColumn="0" w:firstRowLastColumn="0" w:lastRowFirstColumn="0" w:lastRowLastColumn="0"/>
            <w:tcW w:w="4177" w:type="dxa"/>
            <w:vAlign w:val="center"/>
          </w:tcPr>
          <w:p w14:paraId="36091B1A" w14:textId="2B3A2B58" w:rsidR="00D15370" w:rsidRPr="00752272" w:rsidRDefault="00D15370" w:rsidP="00D15370">
            <w:pPr>
              <w:spacing w:before="0"/>
              <w:ind w:left="0"/>
            </w:pPr>
            <w:r w:rsidRPr="00752272">
              <w:t>Persistent non-compliance (Serious Failure)</w:t>
            </w:r>
          </w:p>
        </w:tc>
        <w:tc>
          <w:tcPr>
            <w:tcW w:w="1317" w:type="dxa"/>
            <w:vAlign w:val="center"/>
          </w:tcPr>
          <w:p w14:paraId="36091B1B" w14:textId="556C575F"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433</w:t>
            </w:r>
          </w:p>
        </w:tc>
        <w:tc>
          <w:tcPr>
            <w:tcW w:w="1276" w:type="dxa"/>
            <w:vAlign w:val="center"/>
          </w:tcPr>
          <w:p w14:paraId="36091B1C" w14:textId="2A7C1A9B"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1,020</w:t>
            </w:r>
          </w:p>
        </w:tc>
        <w:tc>
          <w:tcPr>
            <w:tcW w:w="1418" w:type="dxa"/>
            <w:vAlign w:val="center"/>
          </w:tcPr>
          <w:p w14:paraId="36091B1D" w14:textId="3BF2A305"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416</w:t>
            </w:r>
          </w:p>
        </w:tc>
        <w:tc>
          <w:tcPr>
            <w:tcW w:w="1175" w:type="dxa"/>
            <w:vAlign w:val="center"/>
          </w:tcPr>
          <w:p w14:paraId="36091B1E" w14:textId="7FADD310"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15</w:t>
            </w:r>
          </w:p>
        </w:tc>
        <w:tc>
          <w:tcPr>
            <w:tcW w:w="1193" w:type="dxa"/>
            <w:vAlign w:val="center"/>
          </w:tcPr>
          <w:p w14:paraId="36091B1F" w14:textId="10D27F30"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8,372</w:t>
            </w:r>
          </w:p>
        </w:tc>
        <w:tc>
          <w:tcPr>
            <w:tcW w:w="1175" w:type="dxa"/>
            <w:vAlign w:val="center"/>
          </w:tcPr>
          <w:p w14:paraId="36091B20" w14:textId="0C2CDF91"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10,256</w:t>
            </w:r>
          </w:p>
        </w:tc>
        <w:tc>
          <w:tcPr>
            <w:tcW w:w="1128" w:type="dxa"/>
            <w:vAlign w:val="center"/>
          </w:tcPr>
          <w:p w14:paraId="36091B21" w14:textId="2B712387"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40,049</w:t>
            </w:r>
          </w:p>
        </w:tc>
        <w:tc>
          <w:tcPr>
            <w:tcW w:w="1128" w:type="dxa"/>
            <w:vAlign w:val="center"/>
          </w:tcPr>
          <w:p w14:paraId="36091B22" w14:textId="6D651002"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44.09%</w:t>
            </w:r>
          </w:p>
        </w:tc>
      </w:tr>
      <w:tr w:rsidR="00D15370" w:rsidRPr="004C2412" w14:paraId="36091B2D" w14:textId="54892CED" w:rsidTr="00910012">
        <w:trPr>
          <w:trHeight w:val="397"/>
        </w:trPr>
        <w:tc>
          <w:tcPr>
            <w:cnfStyle w:val="001000000000" w:firstRow="0" w:lastRow="0" w:firstColumn="1" w:lastColumn="0" w:oddVBand="0" w:evenVBand="0" w:oddHBand="0" w:evenHBand="0" w:firstRowFirstColumn="0" w:firstRowLastColumn="0" w:lastRowFirstColumn="0" w:lastRowLastColumn="0"/>
            <w:tcW w:w="4177" w:type="dxa"/>
            <w:vAlign w:val="center"/>
          </w:tcPr>
          <w:p w14:paraId="36091B24" w14:textId="6D9CED9D" w:rsidR="00D15370" w:rsidRPr="00752272" w:rsidRDefault="00D15370" w:rsidP="00D15370">
            <w:pPr>
              <w:spacing w:before="0"/>
              <w:ind w:left="0"/>
            </w:pPr>
            <w:r w:rsidRPr="00752272">
              <w:t>Other outcomes</w:t>
            </w:r>
          </w:p>
        </w:tc>
        <w:tc>
          <w:tcPr>
            <w:tcW w:w="1317" w:type="dxa"/>
            <w:vAlign w:val="center"/>
          </w:tcPr>
          <w:p w14:paraId="36091B25" w14:textId="04104B5C"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w:t>
            </w:r>
            <w:r>
              <w:t>,</w:t>
            </w:r>
            <w:r w:rsidRPr="00F16373">
              <w:t>272</w:t>
            </w:r>
          </w:p>
        </w:tc>
        <w:tc>
          <w:tcPr>
            <w:tcW w:w="1276" w:type="dxa"/>
            <w:vAlign w:val="center"/>
          </w:tcPr>
          <w:p w14:paraId="36091B26" w14:textId="682023F4"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2,361</w:t>
            </w:r>
          </w:p>
        </w:tc>
        <w:tc>
          <w:tcPr>
            <w:tcW w:w="1418" w:type="dxa"/>
            <w:vAlign w:val="center"/>
          </w:tcPr>
          <w:p w14:paraId="36091B27" w14:textId="3F5AB9C6"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1,136</w:t>
            </w:r>
          </w:p>
        </w:tc>
        <w:tc>
          <w:tcPr>
            <w:tcW w:w="1175" w:type="dxa"/>
            <w:vAlign w:val="center"/>
          </w:tcPr>
          <w:p w14:paraId="36091B28" w14:textId="0D696703"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87</w:t>
            </w:r>
          </w:p>
        </w:tc>
        <w:tc>
          <w:tcPr>
            <w:tcW w:w="1193" w:type="dxa"/>
            <w:vAlign w:val="center"/>
          </w:tcPr>
          <w:p w14:paraId="36091B29" w14:textId="6415BFD3"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5</w:t>
            </w:r>
            <w:r>
              <w:t>,</w:t>
            </w:r>
            <w:r w:rsidRPr="00F16373">
              <w:t>690</w:t>
            </w:r>
          </w:p>
        </w:tc>
        <w:tc>
          <w:tcPr>
            <w:tcW w:w="1175" w:type="dxa"/>
            <w:vAlign w:val="center"/>
          </w:tcPr>
          <w:p w14:paraId="36091B2A" w14:textId="294995E9"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10,546</w:t>
            </w:r>
          </w:p>
        </w:tc>
        <w:tc>
          <w:tcPr>
            <w:tcW w:w="1128" w:type="dxa"/>
            <w:vAlign w:val="center"/>
          </w:tcPr>
          <w:p w14:paraId="36091B2B" w14:textId="248C6CB4"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41,934</w:t>
            </w:r>
          </w:p>
        </w:tc>
        <w:tc>
          <w:tcPr>
            <w:tcW w:w="1128" w:type="dxa"/>
            <w:vAlign w:val="center"/>
          </w:tcPr>
          <w:p w14:paraId="36091B2C" w14:textId="6542D7A9"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46.16%</w:t>
            </w:r>
          </w:p>
        </w:tc>
      </w:tr>
      <w:tr w:rsidR="00D15370" w:rsidRPr="004C2412" w14:paraId="36091B37" w14:textId="74F54965" w:rsidTr="00910012">
        <w:trPr>
          <w:trHeight w:val="397"/>
        </w:trPr>
        <w:tc>
          <w:tcPr>
            <w:cnfStyle w:val="001000000000" w:firstRow="0" w:lastRow="0" w:firstColumn="1" w:lastColumn="0" w:oddVBand="0" w:evenVBand="0" w:oddHBand="0" w:evenHBand="0" w:firstRowFirstColumn="0" w:firstRowLastColumn="0" w:lastRowFirstColumn="0" w:lastRowLastColumn="0"/>
            <w:tcW w:w="4177" w:type="dxa"/>
            <w:vAlign w:val="center"/>
          </w:tcPr>
          <w:p w14:paraId="36091B2E" w14:textId="6B77C884" w:rsidR="00D15370" w:rsidRPr="00752272" w:rsidRDefault="00D15370" w:rsidP="00D15370">
            <w:pPr>
              <w:spacing w:before="0"/>
              <w:ind w:left="0"/>
            </w:pPr>
            <w:r w:rsidRPr="00752272">
              <w:t>No outcomes</w:t>
            </w:r>
          </w:p>
        </w:tc>
        <w:tc>
          <w:tcPr>
            <w:tcW w:w="1317" w:type="dxa"/>
            <w:vAlign w:val="center"/>
          </w:tcPr>
          <w:p w14:paraId="36091B2F" w14:textId="27D3B56E"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219</w:t>
            </w:r>
          </w:p>
        </w:tc>
        <w:tc>
          <w:tcPr>
            <w:tcW w:w="1276" w:type="dxa"/>
            <w:vAlign w:val="center"/>
          </w:tcPr>
          <w:p w14:paraId="36091B30" w14:textId="24A4205F"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277</w:t>
            </w:r>
          </w:p>
        </w:tc>
        <w:tc>
          <w:tcPr>
            <w:tcW w:w="1418" w:type="dxa"/>
            <w:vAlign w:val="center"/>
          </w:tcPr>
          <w:p w14:paraId="36091B31" w14:textId="1BB1965C"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110</w:t>
            </w:r>
          </w:p>
        </w:tc>
        <w:tc>
          <w:tcPr>
            <w:tcW w:w="1175" w:type="dxa"/>
            <w:vAlign w:val="center"/>
          </w:tcPr>
          <w:p w14:paraId="36091B32" w14:textId="6AAB5E8B"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10</w:t>
            </w:r>
          </w:p>
        </w:tc>
        <w:tc>
          <w:tcPr>
            <w:tcW w:w="1193" w:type="dxa"/>
            <w:vAlign w:val="center"/>
          </w:tcPr>
          <w:p w14:paraId="36091B33" w14:textId="56CF9050"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927</w:t>
            </w:r>
          </w:p>
        </w:tc>
        <w:tc>
          <w:tcPr>
            <w:tcW w:w="1175" w:type="dxa"/>
            <w:vAlign w:val="center"/>
          </w:tcPr>
          <w:p w14:paraId="36091B34" w14:textId="3ED91E15"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1,543</w:t>
            </w:r>
          </w:p>
        </w:tc>
        <w:tc>
          <w:tcPr>
            <w:tcW w:w="1128" w:type="dxa"/>
            <w:vAlign w:val="center"/>
          </w:tcPr>
          <w:p w14:paraId="36091B35" w14:textId="6DC1C79E"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6,200</w:t>
            </w:r>
          </w:p>
        </w:tc>
        <w:tc>
          <w:tcPr>
            <w:tcW w:w="1128" w:type="dxa"/>
            <w:vAlign w:val="center"/>
          </w:tcPr>
          <w:p w14:paraId="36091B36" w14:textId="3820DDC1" w:rsidR="00D15370" w:rsidRPr="00752272" w:rsidRDefault="00D15370" w:rsidP="00D15370">
            <w:pPr>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F16373">
              <w:t>6.83%</w:t>
            </w:r>
          </w:p>
        </w:tc>
      </w:tr>
      <w:tr w:rsidR="00D15370" w:rsidRPr="004C2412" w14:paraId="36091B41" w14:textId="56F64D64" w:rsidTr="00910012">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177" w:type="dxa"/>
            <w:vAlign w:val="center"/>
          </w:tcPr>
          <w:p w14:paraId="36091B38" w14:textId="70D3B3E9" w:rsidR="00D15370" w:rsidRPr="00752272" w:rsidRDefault="00D15370" w:rsidP="00D15370">
            <w:pPr>
              <w:spacing w:before="0"/>
              <w:ind w:left="0"/>
            </w:pPr>
            <w:r w:rsidRPr="00752272">
              <w:t>Total</w:t>
            </w:r>
          </w:p>
        </w:tc>
        <w:tc>
          <w:tcPr>
            <w:tcW w:w="1317" w:type="dxa"/>
            <w:vAlign w:val="center"/>
          </w:tcPr>
          <w:p w14:paraId="36091B39" w14:textId="1F886C0F" w:rsidR="00D15370" w:rsidRPr="0075227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16373">
              <w:t>2,085</w:t>
            </w:r>
          </w:p>
        </w:tc>
        <w:tc>
          <w:tcPr>
            <w:tcW w:w="1276" w:type="dxa"/>
            <w:vAlign w:val="center"/>
          </w:tcPr>
          <w:p w14:paraId="36091B3A" w14:textId="4A9BBD37" w:rsidR="00D15370" w:rsidRPr="0075227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16373">
              <w:t>3,970</w:t>
            </w:r>
          </w:p>
        </w:tc>
        <w:tc>
          <w:tcPr>
            <w:tcW w:w="1418" w:type="dxa"/>
            <w:vAlign w:val="center"/>
          </w:tcPr>
          <w:p w14:paraId="36091B3B" w14:textId="06131DE4" w:rsidR="00D15370" w:rsidRPr="0075227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16373">
              <w:t>1,754</w:t>
            </w:r>
          </w:p>
        </w:tc>
        <w:tc>
          <w:tcPr>
            <w:tcW w:w="1175" w:type="dxa"/>
            <w:vAlign w:val="center"/>
          </w:tcPr>
          <w:p w14:paraId="36091B3C" w14:textId="4F98E10C" w:rsidR="00D15370" w:rsidRPr="0075227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16373">
              <w:t>118</w:t>
            </w:r>
          </w:p>
        </w:tc>
        <w:tc>
          <w:tcPr>
            <w:tcW w:w="1193" w:type="dxa"/>
            <w:vAlign w:val="center"/>
          </w:tcPr>
          <w:p w14:paraId="36091B3D" w14:textId="0A0C40E4" w:rsidR="00D15370" w:rsidRPr="0075227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16373">
              <w:t>15,061</w:t>
            </w:r>
          </w:p>
        </w:tc>
        <w:tc>
          <w:tcPr>
            <w:tcW w:w="1175" w:type="dxa"/>
            <w:vAlign w:val="center"/>
          </w:tcPr>
          <w:p w14:paraId="36091B3E" w14:textId="601CD0D6" w:rsidR="00D15370" w:rsidRPr="0075227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16373">
              <w:t>22,988</w:t>
            </w:r>
          </w:p>
        </w:tc>
        <w:tc>
          <w:tcPr>
            <w:tcW w:w="1128" w:type="dxa"/>
            <w:vAlign w:val="center"/>
          </w:tcPr>
          <w:p w14:paraId="36091B3F" w14:textId="0BF0402A" w:rsidR="00D15370" w:rsidRPr="0075227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16373">
              <w:t>90,842</w:t>
            </w:r>
          </w:p>
        </w:tc>
        <w:tc>
          <w:tcPr>
            <w:tcW w:w="1128" w:type="dxa"/>
            <w:vAlign w:val="center"/>
          </w:tcPr>
          <w:p w14:paraId="36091B40" w14:textId="054C4976" w:rsidR="00D15370" w:rsidRPr="00752272" w:rsidRDefault="00D15370" w:rsidP="00D15370">
            <w:pPr>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F16373">
              <w:t>100.00%</w:t>
            </w:r>
          </w:p>
        </w:tc>
      </w:tr>
    </w:tbl>
    <w:p w14:paraId="5F7E5E7B" w14:textId="04755367" w:rsidR="00B77957" w:rsidRPr="004C2412" w:rsidRDefault="00B77957" w:rsidP="00A609AA">
      <w:pPr>
        <w:ind w:left="0"/>
        <w:rPr>
          <w:rFonts w:ascii="Arial" w:eastAsiaTheme="majorEastAsia" w:hAnsi="Arial" w:cstheme="majorBidi"/>
          <w:b/>
          <w:bCs/>
          <w:szCs w:val="28"/>
        </w:rPr>
      </w:pPr>
      <w:r w:rsidRPr="004C2412">
        <w:br w:type="page"/>
      </w:r>
    </w:p>
    <w:p w14:paraId="36091B44" w14:textId="4E82E6C8" w:rsidR="005A3646" w:rsidRPr="004C2412" w:rsidRDefault="005A3646" w:rsidP="008A2A10">
      <w:pPr>
        <w:pStyle w:val="Heading2"/>
        <w:numPr>
          <w:ilvl w:val="0"/>
          <w:numId w:val="0"/>
        </w:numPr>
        <w:spacing w:after="480"/>
      </w:pPr>
      <w:bookmarkStart w:id="76" w:name="_Toc526864482"/>
      <w:r w:rsidRPr="004C2412">
        <w:t>Glossary</w:t>
      </w:r>
      <w:bookmarkEnd w:id="76"/>
      <w:r w:rsidRPr="004C2412">
        <w:t xml:space="preserve"> </w:t>
      </w:r>
    </w:p>
    <w:p w14:paraId="36091B46" w14:textId="5A75733D" w:rsidR="007C25E4" w:rsidRPr="004C2412" w:rsidRDefault="007C25E4" w:rsidP="00A609AA">
      <w:pPr>
        <w:ind w:left="0"/>
      </w:pPr>
      <w:r w:rsidRPr="004C2412">
        <w:rPr>
          <w:b/>
        </w:rPr>
        <w:t>Active job seekers</w:t>
      </w:r>
      <w:r w:rsidR="00E549E3" w:rsidRPr="004C2412">
        <w:t xml:space="preserve"> - job seekers on activity-tested income support payments </w:t>
      </w:r>
      <w:r w:rsidR="00F65A2D" w:rsidRPr="004C2412">
        <w:t>that</w:t>
      </w:r>
      <w:r w:rsidR="00E549E3" w:rsidRPr="004C2412">
        <w:t xml:space="preserve"> </w:t>
      </w:r>
      <w:r w:rsidR="002D30F4" w:rsidRPr="004C2412">
        <w:t xml:space="preserve">are currently active </w:t>
      </w:r>
      <w:r w:rsidR="00376D9F" w:rsidRPr="004C2412">
        <w:t>in employment services</w:t>
      </w:r>
      <w:r w:rsidR="002C6688" w:rsidRPr="004C2412">
        <w:t xml:space="preserve">. These job seekers </w:t>
      </w:r>
      <w:r w:rsidR="00E549E3" w:rsidRPr="004C2412">
        <w:t>me</w:t>
      </w:r>
      <w:r w:rsidR="002C6688" w:rsidRPr="004C2412">
        <w:t>et</w:t>
      </w:r>
      <w:r w:rsidR="00E549E3" w:rsidRPr="004C2412">
        <w:t xml:space="preserve"> their </w:t>
      </w:r>
      <w:r w:rsidR="00F962E1" w:rsidRPr="004C2412">
        <w:t xml:space="preserve">mutual obligation </w:t>
      </w:r>
      <w:r w:rsidR="00E549E3" w:rsidRPr="004C2412">
        <w:t xml:space="preserve">requirements </w:t>
      </w:r>
      <w:r w:rsidR="002C6688" w:rsidRPr="004C2412">
        <w:t xml:space="preserve">for income support </w:t>
      </w:r>
      <w:r w:rsidR="00E549E3" w:rsidRPr="004C2412">
        <w:t>thr</w:t>
      </w:r>
      <w:r w:rsidR="002C6688" w:rsidRPr="004C2412">
        <w:t xml:space="preserve">ough activities such </w:t>
      </w:r>
      <w:proofErr w:type="gramStart"/>
      <w:r w:rsidR="002C6688" w:rsidRPr="004C2412">
        <w:t>as:</w:t>
      </w:r>
      <w:proofErr w:type="gramEnd"/>
      <w:r w:rsidR="002C6688" w:rsidRPr="004C2412">
        <w:t xml:space="preserve"> attending provider appointments; undertaking</w:t>
      </w:r>
      <w:r w:rsidR="00E549E3" w:rsidRPr="004C2412">
        <w:t xml:space="preserve"> activities t</w:t>
      </w:r>
      <w:r w:rsidR="00376D9F" w:rsidRPr="004C2412">
        <w:t xml:space="preserve">o </w:t>
      </w:r>
      <w:r w:rsidR="002C6688" w:rsidRPr="004C2412">
        <w:t xml:space="preserve">help them become more job ready; and </w:t>
      </w:r>
      <w:r w:rsidR="00E549E3" w:rsidRPr="004C2412">
        <w:t>looking for work.</w:t>
      </w:r>
    </w:p>
    <w:p w14:paraId="36091B47" w14:textId="11E67507" w:rsidR="00F962E1" w:rsidRPr="004C2412" w:rsidRDefault="007C25E4" w:rsidP="00A609AA">
      <w:pPr>
        <w:ind w:left="0"/>
      </w:pPr>
      <w:r w:rsidRPr="004C2412">
        <w:rPr>
          <w:b/>
        </w:rPr>
        <w:t>Approved activity</w:t>
      </w:r>
      <w:r w:rsidRPr="004C2412">
        <w:t xml:space="preserve"> </w:t>
      </w:r>
      <w:r w:rsidR="00F962E1" w:rsidRPr="004C2412">
        <w:t xml:space="preserve">– </w:t>
      </w:r>
      <w:r w:rsidR="00A2137C" w:rsidRPr="004C2412">
        <w:t xml:space="preserve">job seekers </w:t>
      </w:r>
      <w:r w:rsidR="00F962E1" w:rsidRPr="004C2412">
        <w:t xml:space="preserve">fully meeting their activity test requirements through doing </w:t>
      </w:r>
      <w:r w:rsidR="006E3063" w:rsidRPr="004C2412">
        <w:t xml:space="preserve">a sufficient amount of </w:t>
      </w:r>
      <w:r w:rsidR="00F962E1" w:rsidRPr="004C2412">
        <w:t>approved activities, such as part-time work or education, for a specified period (e.g. Principal Carer Parents undertaking 30 hours a fortnight of paid work and/or study). The</w:t>
      </w:r>
      <w:r w:rsidR="006E3063" w:rsidRPr="004C2412">
        <w:t>se job seekers do not have to use</w:t>
      </w:r>
      <w:r w:rsidR="00F962E1" w:rsidRPr="004C2412">
        <w:t xml:space="preserve"> employment services for</w:t>
      </w:r>
      <w:r w:rsidR="006E3063" w:rsidRPr="004C2412">
        <w:t xml:space="preserve"> the period they are doing a sufficient amount of</w:t>
      </w:r>
      <w:r w:rsidR="00F962E1" w:rsidRPr="004C2412">
        <w:t xml:space="preserve"> approved activity or activities.</w:t>
      </w:r>
    </w:p>
    <w:p w14:paraId="36091B48" w14:textId="0DFE0298" w:rsidR="007C25E4" w:rsidRPr="004C2412" w:rsidRDefault="007C25E4" w:rsidP="00A609AA">
      <w:pPr>
        <w:ind w:left="0"/>
      </w:pPr>
      <w:r w:rsidRPr="004C2412">
        <w:rPr>
          <w:b/>
        </w:rPr>
        <w:t xml:space="preserve">Caring responsibilities </w:t>
      </w:r>
      <w:r w:rsidRPr="004C2412">
        <w:t>- means that the Department of Human Services determined the job seeker had caring responsibilities preventing them from complying with the requirement (for example, caring for a sick dependant or relative).</w:t>
      </w:r>
    </w:p>
    <w:p w14:paraId="36091B49" w14:textId="099EA1BB" w:rsidR="00F26022" w:rsidRPr="004C2412" w:rsidRDefault="00F26022" w:rsidP="00A609AA">
      <w:pPr>
        <w:ind w:left="0"/>
      </w:pPr>
      <w:r w:rsidRPr="004C2412">
        <w:rPr>
          <w:b/>
        </w:rPr>
        <w:t>Comprehensive Compliance Assessment (CCA)</w:t>
      </w:r>
      <w:r w:rsidRPr="004C2412">
        <w:t xml:space="preserve"> </w:t>
      </w:r>
      <w:r w:rsidR="002D7A36" w:rsidRPr="004C2412">
        <w:t xml:space="preserve">- </w:t>
      </w:r>
      <w:proofErr w:type="gramStart"/>
      <w:r w:rsidRPr="004C2412">
        <w:t>must be conducted</w:t>
      </w:r>
      <w:proofErr w:type="gramEnd"/>
      <w:r w:rsidRPr="004C2412">
        <w:t xml:space="preserve"> before a job seeker can have a penalty applied for persistent non-compliance.</w:t>
      </w:r>
      <w:r w:rsidR="006E003F" w:rsidRPr="004C2412">
        <w:t xml:space="preserve"> </w:t>
      </w:r>
      <w:r w:rsidR="00F124B8" w:rsidRPr="004C2412">
        <w:t xml:space="preserve">A </w:t>
      </w:r>
      <w:r w:rsidRPr="004C2412">
        <w:t xml:space="preserve">CCA </w:t>
      </w:r>
      <w:proofErr w:type="gramStart"/>
      <w:r w:rsidRPr="004C2412">
        <w:t>is conducted</w:t>
      </w:r>
      <w:proofErr w:type="gramEnd"/>
      <w:r w:rsidRPr="004C2412">
        <w:t xml:space="preserve"> where a job seeker has:</w:t>
      </w:r>
    </w:p>
    <w:p w14:paraId="36091B4A" w14:textId="4FE10218" w:rsidR="004A318C" w:rsidRPr="004C2412" w:rsidRDefault="004A318C" w:rsidP="00A609AA">
      <w:pPr>
        <w:ind w:left="0"/>
      </w:pPr>
      <w:r w:rsidRPr="004C2412">
        <w:t xml:space="preserve">three (3) applied failures as a result of failing to attend an appointment, enter into a Job Plan or satisfactorily meet their Job Search Requirement within a </w:t>
      </w:r>
      <w:r w:rsidR="00A609AA" w:rsidRPr="004C2412">
        <w:t>six-month</w:t>
      </w:r>
      <w:r w:rsidRPr="004C2412">
        <w:t xml:space="preserve"> period; or</w:t>
      </w:r>
    </w:p>
    <w:p w14:paraId="36091B4B" w14:textId="19749059" w:rsidR="00F26022" w:rsidRPr="004C2412" w:rsidRDefault="00F26022" w:rsidP="00A609AA">
      <w:pPr>
        <w:ind w:left="0"/>
      </w:pPr>
      <w:proofErr w:type="gramStart"/>
      <w:r w:rsidRPr="004C2412">
        <w:t>three</w:t>
      </w:r>
      <w:proofErr w:type="gramEnd"/>
      <w:r w:rsidRPr="004C2412">
        <w:t xml:space="preserve"> (3) days of applied No Show</w:t>
      </w:r>
      <w:r w:rsidR="00A609AA" w:rsidRPr="004C2412">
        <w:t xml:space="preserve"> No Pay penalties, within a six-month</w:t>
      </w:r>
      <w:r w:rsidRPr="004C2412">
        <w:t xml:space="preserve"> period.</w:t>
      </w:r>
    </w:p>
    <w:p w14:paraId="36091B4C" w14:textId="59147F96" w:rsidR="00F26022" w:rsidRPr="004C2412" w:rsidRDefault="00F124B8" w:rsidP="00A609AA">
      <w:pPr>
        <w:ind w:left="0"/>
      </w:pPr>
      <w:proofErr w:type="gramStart"/>
      <w:r w:rsidRPr="004C2412">
        <w:t xml:space="preserve">A </w:t>
      </w:r>
      <w:r w:rsidR="00F26022" w:rsidRPr="004C2412">
        <w:t>CCA can also be requested at any time by either an employment services provider or the Department of Human Services</w:t>
      </w:r>
      <w:proofErr w:type="gramEnd"/>
      <w:r w:rsidR="00F26022" w:rsidRPr="004C2412">
        <w:t xml:space="preserve"> if a job seeker is fai</w:t>
      </w:r>
      <w:r w:rsidR="004A318C" w:rsidRPr="004C2412">
        <w:t xml:space="preserve">ling to meet their </w:t>
      </w:r>
      <w:r w:rsidR="00865387" w:rsidRPr="004C2412">
        <w:t xml:space="preserve">activity test </w:t>
      </w:r>
      <w:r w:rsidR="00F26022" w:rsidRPr="004C2412">
        <w:t>requirements to determine why the job seeker is failing to meet their requirements.</w:t>
      </w:r>
    </w:p>
    <w:p w14:paraId="36091B4D" w14:textId="1052CEB7" w:rsidR="00941F49" w:rsidRPr="004C2412" w:rsidRDefault="007C25E4" w:rsidP="00A609AA">
      <w:pPr>
        <w:ind w:left="0"/>
      </w:pPr>
      <w:r w:rsidRPr="004C2412">
        <w:rPr>
          <w:b/>
        </w:rPr>
        <w:t xml:space="preserve">Compliance Activity </w:t>
      </w:r>
      <w:r w:rsidRPr="004C2412">
        <w:t xml:space="preserve">- the non-payment period </w:t>
      </w:r>
      <w:proofErr w:type="gramStart"/>
      <w:r w:rsidRPr="004C2412">
        <w:t>was waived</w:t>
      </w:r>
      <w:proofErr w:type="gramEnd"/>
      <w:r w:rsidRPr="004C2412">
        <w:t xml:space="preserve"> due to the job seeker agreeing to undertake a Compliance Activity involving weekly participation typically of 25 hours.</w:t>
      </w:r>
    </w:p>
    <w:p w14:paraId="36091B4E" w14:textId="3AC13CE0" w:rsidR="00F4796B" w:rsidRPr="004C2412" w:rsidRDefault="00F4796B" w:rsidP="00A609AA">
      <w:pPr>
        <w:ind w:left="0"/>
      </w:pPr>
      <w:r w:rsidRPr="004C2412">
        <w:rPr>
          <w:b/>
        </w:rPr>
        <w:t>Connection Failures</w:t>
      </w:r>
      <w:r w:rsidRPr="004C2412">
        <w:t xml:space="preserve"> occur when a job seeker, without reasonable excuse:</w:t>
      </w:r>
    </w:p>
    <w:p w14:paraId="36091B52" w14:textId="698DF100" w:rsidR="00F4796B" w:rsidRPr="004C2412" w:rsidRDefault="00F4796B" w:rsidP="00A609AA">
      <w:pPr>
        <w:ind w:left="0"/>
      </w:pPr>
      <w:r w:rsidRPr="004C2412">
        <w:t>does not attend an initial appointment with a third party provider (e</w:t>
      </w:r>
      <w:r w:rsidR="00D845C9" w:rsidRPr="004C2412">
        <w:t>.</w:t>
      </w:r>
      <w:r w:rsidRPr="004C2412">
        <w:t>g</w:t>
      </w:r>
      <w:r w:rsidR="00D845C9" w:rsidRPr="004C2412">
        <w:t>.</w:t>
      </w:r>
      <w:r w:rsidRPr="004C2412">
        <w:t xml:space="preserve"> a Work for the Dole host organisation or training provider – not an employment </w:t>
      </w:r>
      <w:r w:rsidR="00D845C9" w:rsidRPr="004C2412">
        <w:t xml:space="preserve">services </w:t>
      </w:r>
      <w:r w:rsidRPr="004C2412">
        <w:t>provider);</w:t>
      </w:r>
      <w:r w:rsidR="00EB0285" w:rsidRPr="004C2412">
        <w:t xml:space="preserve"> </w:t>
      </w:r>
      <w:r w:rsidRPr="004C2412">
        <w:t>refuses to enter into a Job Plan;</w:t>
      </w:r>
      <w:r w:rsidR="00EB0285" w:rsidRPr="004C2412">
        <w:t xml:space="preserve"> </w:t>
      </w:r>
      <w:r w:rsidRPr="004C2412">
        <w:t>fails to meet a job search requirement in their Job Plan.</w:t>
      </w:r>
      <w:r w:rsidR="00EB0285" w:rsidRPr="004C2412">
        <w:t xml:space="preserve"> </w:t>
      </w:r>
      <w:r w:rsidRPr="004C2412">
        <w:t>Job seekers do not incur financial penalties if they have a Connection Failure applied.</w:t>
      </w:r>
    </w:p>
    <w:p w14:paraId="36091B53" w14:textId="75AD3F4F" w:rsidR="007C25E4" w:rsidRPr="004C2412" w:rsidRDefault="007C25E4" w:rsidP="00A609AA">
      <w:pPr>
        <w:ind w:left="0"/>
      </w:pPr>
      <w:r w:rsidRPr="004C2412">
        <w:rPr>
          <w:b/>
        </w:rPr>
        <w:t>Cultural / language issues</w:t>
      </w:r>
      <w:r w:rsidRPr="004C2412">
        <w:t xml:space="preserve"> - means that the Department of Human Services</w:t>
      </w:r>
      <w:r w:rsidR="00BF54B3" w:rsidRPr="004C2412">
        <w:t xml:space="preserve"> has</w:t>
      </w:r>
      <w:r w:rsidRPr="004C2412">
        <w:t xml:space="preserve"> determined cultural diversity, language, literacy or numeracy issues prevented the job seeker from being able to understand or comply with the requirement.</w:t>
      </w:r>
      <w:r w:rsidR="00BF54B3" w:rsidRPr="004C2412">
        <w:t xml:space="preserve"> </w:t>
      </w:r>
      <w:proofErr w:type="gramStart"/>
      <w:r w:rsidR="00BF54B3" w:rsidRPr="004C2412">
        <w:t>The impact of these factors must be considered by decision-makers in setting requirements and determining failures</w:t>
      </w:r>
      <w:proofErr w:type="gramEnd"/>
      <w:r w:rsidR="00BF54B3" w:rsidRPr="004C2412">
        <w:t>.</w:t>
      </w:r>
    </w:p>
    <w:p w14:paraId="36091B54" w14:textId="65533F1D" w:rsidR="007C25E4" w:rsidRPr="004C2412" w:rsidRDefault="007C25E4" w:rsidP="00A609AA">
      <w:pPr>
        <w:ind w:left="0"/>
      </w:pPr>
      <w:r w:rsidRPr="004C2412">
        <w:rPr>
          <w:b/>
        </w:rPr>
        <w:t>Discretion</w:t>
      </w:r>
      <w:r w:rsidR="002D7A36" w:rsidRPr="004C2412">
        <w:rPr>
          <w:b/>
        </w:rPr>
        <w:t xml:space="preserve"> </w:t>
      </w:r>
      <w:r w:rsidR="002D7A36" w:rsidRPr="004C2412">
        <w:t>-</w:t>
      </w:r>
      <w:r w:rsidRPr="004C2412">
        <w:rPr>
          <w:b/>
        </w:rPr>
        <w:t xml:space="preserve"> </w:t>
      </w:r>
      <w:r w:rsidRPr="004C2412">
        <w:t>means that the provider considers the job seeker did not have a reasonable excuse for not attending the appointment but they have nonetheless decided not to submit a Non-Attendance Report to the Department of Human Services and are instead using another method to re-engage the job seeker (e.g. booking a new appointment for the job seeker).</w:t>
      </w:r>
    </w:p>
    <w:p w14:paraId="36091B55" w14:textId="0AB891AC" w:rsidR="00F26022" w:rsidRPr="004C2412" w:rsidRDefault="00F26022" w:rsidP="00A609AA">
      <w:pPr>
        <w:ind w:left="0"/>
      </w:pPr>
      <w:r w:rsidRPr="004C2412">
        <w:rPr>
          <w:b/>
        </w:rPr>
        <w:t xml:space="preserve">Explanatory Notes </w:t>
      </w:r>
      <w:r w:rsidR="00A13041" w:rsidRPr="004C2412">
        <w:rPr>
          <w:b/>
        </w:rPr>
        <w:t xml:space="preserve">- </w:t>
      </w:r>
      <w:r w:rsidR="00A13041" w:rsidRPr="004C2412">
        <w:t>this</w:t>
      </w:r>
      <w:r w:rsidR="00A13041" w:rsidRPr="004C2412">
        <w:rPr>
          <w:b/>
        </w:rPr>
        <w:t xml:space="preserve"> </w:t>
      </w:r>
      <w:r w:rsidRPr="004C2412">
        <w:t xml:space="preserve">document </w:t>
      </w:r>
      <w:proofErr w:type="gramStart"/>
      <w:r w:rsidRPr="004C2412">
        <w:t>can be found</w:t>
      </w:r>
      <w:proofErr w:type="gramEnd"/>
      <w:r w:rsidRPr="004C2412">
        <w:t xml:space="preserve"> on the Department of </w:t>
      </w:r>
      <w:r w:rsidR="00B70E9D">
        <w:t>Jobs and Small Business</w:t>
      </w:r>
      <w:r w:rsidRPr="004C2412">
        <w:t xml:space="preserve"> website and provides further information on job seeker compliance penalties.</w:t>
      </w:r>
    </w:p>
    <w:p w14:paraId="36091B56" w14:textId="2EBB6BD3" w:rsidR="007C25E4" w:rsidRPr="004C2412" w:rsidRDefault="007C25E4" w:rsidP="00A609AA">
      <w:pPr>
        <w:ind w:left="0"/>
      </w:pPr>
      <w:r w:rsidRPr="00081E89">
        <w:rPr>
          <w:b/>
        </w:rPr>
        <w:t>Failure to attend activity</w:t>
      </w:r>
      <w:r w:rsidRPr="004C2412">
        <w:t xml:space="preserve"> - means failure to attend an activity specified as a compulsory term in a Job Plan.</w:t>
      </w:r>
    </w:p>
    <w:p w14:paraId="36091B57" w14:textId="128E780D" w:rsidR="007C25E4" w:rsidRPr="004C2412" w:rsidRDefault="007C25E4" w:rsidP="00A609AA">
      <w:pPr>
        <w:ind w:left="0"/>
      </w:pPr>
      <w:r w:rsidRPr="00081E89">
        <w:rPr>
          <w:b/>
        </w:rPr>
        <w:t>Financial Hardship</w:t>
      </w:r>
      <w:r w:rsidRPr="004C2412">
        <w:t xml:space="preserve"> - means that the non-payment period </w:t>
      </w:r>
      <w:proofErr w:type="gramStart"/>
      <w:r w:rsidRPr="004C2412">
        <w:t>was waived</w:t>
      </w:r>
      <w:proofErr w:type="gramEnd"/>
      <w:r w:rsidRPr="004C2412">
        <w:t xml:space="preserve"> due to the job seeker being unable to undertake a Compliance Activity and having liquid assets below a specified amount.</w:t>
      </w:r>
    </w:p>
    <w:p w14:paraId="36091B58" w14:textId="61B209AE" w:rsidR="007C25E4" w:rsidRPr="004C2412" w:rsidRDefault="007C25E4" w:rsidP="00A609AA">
      <w:pPr>
        <w:ind w:left="0"/>
      </w:pPr>
      <w:r w:rsidRPr="00081E89">
        <w:rPr>
          <w:b/>
        </w:rPr>
        <w:t>Financial Penalties</w:t>
      </w:r>
      <w:r w:rsidRPr="004C2412">
        <w:t xml:space="preserve"> </w:t>
      </w:r>
      <w:r w:rsidR="00560EE2" w:rsidRPr="004C2412">
        <w:t>- a</w:t>
      </w:r>
      <w:r w:rsidRPr="004C2412">
        <w:t xml:space="preserve"> job seeker can incur a non-payment period for persistent and wilful non-compliance or for refusing an offer of suitable work, for voluntarily leaving work or </w:t>
      </w:r>
      <w:proofErr w:type="gramStart"/>
      <w:r w:rsidRPr="004C2412">
        <w:t>being dismissed</w:t>
      </w:r>
      <w:proofErr w:type="gramEnd"/>
      <w:r w:rsidRPr="004C2412">
        <w:t xml:space="preserve"> for misc</w:t>
      </w:r>
      <w:r w:rsidR="00560EE2" w:rsidRPr="004C2412">
        <w:t>onduct. A No Show No Pay</w:t>
      </w:r>
      <w:r w:rsidRPr="004C2412">
        <w:t xml:space="preserve"> penalty </w:t>
      </w:r>
      <w:proofErr w:type="gramStart"/>
      <w:r w:rsidRPr="004C2412">
        <w:t>can be applied</w:t>
      </w:r>
      <w:proofErr w:type="gramEnd"/>
      <w:r w:rsidRPr="004C2412">
        <w:t xml:space="preserve"> for failing to attend activities within the Job Plan, or for failing to attend a job interview. A reconnection penalty </w:t>
      </w:r>
      <w:proofErr w:type="gramStart"/>
      <w:r w:rsidRPr="004C2412">
        <w:t>can be applied</w:t>
      </w:r>
      <w:proofErr w:type="gramEnd"/>
      <w:r w:rsidRPr="004C2412">
        <w:t xml:space="preserve"> for failing to attend a reconnection appointment, or for failing to return a satisfactory Job Seeker Diary.</w:t>
      </w:r>
    </w:p>
    <w:p w14:paraId="36091B59" w14:textId="354D164D" w:rsidR="007C25E4" w:rsidRPr="004C2412" w:rsidRDefault="007C25E4" w:rsidP="00A609AA">
      <w:pPr>
        <w:ind w:left="0"/>
      </w:pPr>
      <w:r w:rsidRPr="004C2412">
        <w:rPr>
          <w:b/>
        </w:rPr>
        <w:t xml:space="preserve">Foreseeable or unacceptable activity prevented compliance </w:t>
      </w:r>
      <w:r w:rsidRPr="004C2412">
        <w:t>- the job seeker claimed to have been undertaking other acceptable activities at the time of the requirement, such as a legal commitment (</w:t>
      </w:r>
      <w:r w:rsidR="00DB01A3" w:rsidRPr="004C2412">
        <w:t>e.g.</w:t>
      </w:r>
      <w:r w:rsidRPr="004C2412">
        <w:t xml:space="preserve"> attending court), attending a job interview or working. If a failure is applied in </w:t>
      </w:r>
      <w:proofErr w:type="gramStart"/>
      <w:r w:rsidRPr="004C2412">
        <w:t>these</w:t>
      </w:r>
      <w:proofErr w:type="gramEnd"/>
      <w:r w:rsidRPr="004C2412">
        <w:t xml:space="preserv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14:paraId="36091B5A" w14:textId="64C86944" w:rsidR="007C25E4" w:rsidRPr="004C2412" w:rsidRDefault="007C25E4" w:rsidP="00A609AA">
      <w:pPr>
        <w:ind w:left="0"/>
      </w:pPr>
      <w:r w:rsidRPr="004C2412">
        <w:rPr>
          <w:b/>
        </w:rPr>
        <w:t xml:space="preserve">Homelessness </w:t>
      </w:r>
      <w:r w:rsidRPr="004C2412">
        <w:t>- means that the Department of Human Services determined a job seeker’s homelessness prevented the job seeker from being able to comply with the requirement.</w:t>
      </w:r>
    </w:p>
    <w:p w14:paraId="36091B5B" w14:textId="3A75AD02" w:rsidR="007C25E4" w:rsidRPr="004C2412" w:rsidRDefault="007C25E4" w:rsidP="00A609AA">
      <w:pPr>
        <w:ind w:left="0"/>
      </w:pPr>
      <w:r w:rsidRPr="004C2412">
        <w:rPr>
          <w:b/>
        </w:rPr>
        <w:t xml:space="preserve">Income Support Payment suspensions </w:t>
      </w:r>
      <w:r w:rsidR="00560EE2" w:rsidRPr="004C2412">
        <w:rPr>
          <w:b/>
        </w:rPr>
        <w:t xml:space="preserve">- </w:t>
      </w:r>
      <w:r w:rsidRPr="004C2412">
        <w:t xml:space="preserve">are applied when a job seeker fails to attend an appointment with their employment provider or when a provider advises the Department of Human Services that a job seeker has disengaged from an activity. As payment </w:t>
      </w:r>
      <w:proofErr w:type="gramStart"/>
      <w:r w:rsidRPr="004C2412">
        <w:t>is restored</w:t>
      </w:r>
      <w:proofErr w:type="gramEnd"/>
      <w:r w:rsidRPr="004C2412">
        <w:t xml:space="preserve"> once the job seeker attends a re</w:t>
      </w:r>
      <w:r w:rsidR="00B70E9D">
        <w:t>-</w:t>
      </w:r>
      <w:r w:rsidRPr="004C2412">
        <w:t xml:space="preserve">engagement appointment, payment suspension is not a failure or financial penalty under the compliance framework. A failure and/or penalty </w:t>
      </w:r>
      <w:proofErr w:type="gramStart"/>
      <w:r w:rsidRPr="004C2412">
        <w:t>may be separately applied where the Department of Human Services determines that the job seeker had no reasonable excuse for their non-attendance or failed to give prior notice of a reasonable excuse when it was reasonable to expect them to do so</w:t>
      </w:r>
      <w:proofErr w:type="gramEnd"/>
      <w:r w:rsidRPr="004C2412">
        <w:t>.</w:t>
      </w:r>
    </w:p>
    <w:p w14:paraId="5194391B" w14:textId="77777777" w:rsidR="008A2A10" w:rsidRPr="004C2412" w:rsidRDefault="008A2A10" w:rsidP="00A609AA">
      <w:pPr>
        <w:ind w:left="0"/>
        <w:rPr>
          <w:b/>
        </w:rPr>
      </w:pPr>
      <w:r w:rsidRPr="004C2412">
        <w:rPr>
          <w:b/>
        </w:rPr>
        <w:br w:type="page"/>
      </w:r>
    </w:p>
    <w:p w14:paraId="36091B5C" w14:textId="4DDDD07D" w:rsidR="007C25E4" w:rsidRPr="004C2412" w:rsidRDefault="007C25E4" w:rsidP="00A609AA">
      <w:pPr>
        <w:ind w:left="0"/>
      </w:pPr>
      <w:r w:rsidRPr="004C2412">
        <w:rPr>
          <w:b/>
        </w:rPr>
        <w:t>Invalid reason</w:t>
      </w:r>
      <w:r w:rsidRPr="004C2412">
        <w:t xml:space="preserve"> - means that the provider considers the job seeker did not have a reasonable excuse for not attending the appointment, or they have been unable to make contact with the job seeker. If a provider records a result of ‘invalid reason’, they will submit a Non-Attendance Report to the Department of Human Services. Where the Non-Attendance Report </w:t>
      </w:r>
      <w:proofErr w:type="gramStart"/>
      <w:r w:rsidRPr="004C2412">
        <w:t>is not successfully submitted</w:t>
      </w:r>
      <w:proofErr w:type="gramEnd"/>
      <w:r w:rsidRPr="004C2412">
        <w:t xml:space="preserve"> to the Department of Human Services, the ‘invalid’</w:t>
      </w:r>
      <w:r w:rsidR="00F124B8" w:rsidRPr="004C2412">
        <w:t xml:space="preserve"> </w:t>
      </w:r>
      <w:r w:rsidRPr="004C2412">
        <w:t>reason result will be automatically updated to a ‘discretion’ result.</w:t>
      </w:r>
    </w:p>
    <w:p w14:paraId="36091B5D" w14:textId="5D21B23A" w:rsidR="007C25E4" w:rsidRPr="004C2412" w:rsidRDefault="007C25E4" w:rsidP="00A609AA">
      <w:pPr>
        <w:ind w:left="0"/>
      </w:pPr>
      <w:r w:rsidRPr="004C2412">
        <w:rPr>
          <w:b/>
        </w:rPr>
        <w:t>Job seeker chose not to participate</w:t>
      </w:r>
      <w:r w:rsidRPr="004C2412">
        <w:t xml:space="preserve"> - the job seeker did not want to attend an appointment or activity because the time was not convenient for the job seeker, because the job seeker did not see value in attending or because they indicated that they did not care whether they attended or not.</w:t>
      </w:r>
    </w:p>
    <w:p w14:paraId="36091B5E" w14:textId="5CDA1274" w:rsidR="007C25E4" w:rsidRPr="004C2412" w:rsidRDefault="007C25E4" w:rsidP="00A609AA">
      <w:pPr>
        <w:ind w:left="0"/>
      </w:pPr>
      <w:r w:rsidRPr="004C2412">
        <w:rPr>
          <w:b/>
        </w:rPr>
        <w:t>Job seeker considered work offered was unsuitable</w:t>
      </w:r>
      <w:r w:rsidRPr="004C2412">
        <w:t xml:space="preserve"> - the job seeker failed to attend a job interview because, for example, they did not like the prospective job, did not think they would have the necessary skills or did not think it would pay enough. </w:t>
      </w:r>
      <w:proofErr w:type="gramStart"/>
      <w:r w:rsidRPr="004C2412">
        <w:t>Before applying a failure in these circumstances, the Department of Human Services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roofErr w:type="gramEnd"/>
    </w:p>
    <w:p w14:paraId="36091B5F" w14:textId="59D6663D" w:rsidR="007C25E4" w:rsidRPr="004C2412" w:rsidRDefault="007C25E4" w:rsidP="00A609AA">
      <w:pPr>
        <w:ind w:left="0"/>
      </w:pPr>
      <w:r w:rsidRPr="004C2412">
        <w:rPr>
          <w:b/>
        </w:rPr>
        <w:t xml:space="preserve">Job seeker denied </w:t>
      </w:r>
      <w:proofErr w:type="gramStart"/>
      <w:r w:rsidRPr="004C2412">
        <w:rPr>
          <w:b/>
        </w:rPr>
        <w:t>being notified</w:t>
      </w:r>
      <w:proofErr w:type="gramEnd"/>
      <w:r w:rsidRPr="004C2412">
        <w:rPr>
          <w:b/>
        </w:rPr>
        <w:t xml:space="preserve"> </w:t>
      </w:r>
      <w:r w:rsidRPr="004C2412">
        <w:t xml:space="preserve">- the job seeker believed they were not notified of the requirement. The Department of Human Services must be satisfied that the job seeker </w:t>
      </w:r>
      <w:proofErr w:type="gramStart"/>
      <w:r w:rsidRPr="004C2412">
        <w:t>was properly notified</w:t>
      </w:r>
      <w:proofErr w:type="gramEnd"/>
      <w:r w:rsidRPr="004C2412">
        <w:t xml:space="preserve"> of their requirement before a failure can be applied. In these cases, the Department of Human Services was satisfied that this had occurred and found no reason to accept the job seeker’s explanation.</w:t>
      </w:r>
    </w:p>
    <w:p w14:paraId="36091B60" w14:textId="25562BA9" w:rsidR="007C25E4" w:rsidRPr="004C2412" w:rsidRDefault="007C25E4" w:rsidP="00A609AA">
      <w:pPr>
        <w:ind w:left="0"/>
      </w:pPr>
      <w:r w:rsidRPr="004C2412">
        <w:rPr>
          <w:b/>
        </w:rPr>
        <w:t xml:space="preserve">Job seeker error </w:t>
      </w:r>
      <w:r w:rsidRPr="004C2412">
        <w:t>- the job seeker got the time or date of a requirement wrong, they slept in or forgot to attend.</w:t>
      </w:r>
    </w:p>
    <w:p w14:paraId="36091B61" w14:textId="181C5CD2" w:rsidR="007C25E4" w:rsidRPr="004C2412" w:rsidRDefault="007C25E4" w:rsidP="00A609AA">
      <w:pPr>
        <w:ind w:left="0"/>
      </w:pPr>
      <w:r w:rsidRPr="004C2412">
        <w:rPr>
          <w:b/>
        </w:rPr>
        <w:t xml:space="preserve">Job seeker had reasonable excuse </w:t>
      </w:r>
      <w:r w:rsidRPr="004C2412">
        <w:t xml:space="preserve">- means that the Department of Human Services determined the job seeker had a reasonable excuse for failing to comply with the requirement and therefore a Participation Failure </w:t>
      </w:r>
      <w:proofErr w:type="gramStart"/>
      <w:r w:rsidRPr="004C2412">
        <w:t>should not be applied</w:t>
      </w:r>
      <w:proofErr w:type="gramEnd"/>
      <w:r w:rsidRPr="004C2412">
        <w:t>.</w:t>
      </w:r>
    </w:p>
    <w:p w14:paraId="36091B62" w14:textId="586D2062" w:rsidR="007C25E4" w:rsidRPr="004C2412" w:rsidRDefault="007C25E4" w:rsidP="00A609AA">
      <w:pPr>
        <w:ind w:left="0"/>
      </w:pPr>
      <w:r w:rsidRPr="004C2412">
        <w:rPr>
          <w:b/>
        </w:rPr>
        <w:t>JSCI – Eligible for higher stream</w:t>
      </w:r>
      <w:r w:rsidRPr="004C2412">
        <w:t xml:space="preserve"> - means a job seeker had their JSCI updated and the outcome of the JSCI was for the job seeker to </w:t>
      </w:r>
      <w:proofErr w:type="gramStart"/>
      <w:r w:rsidRPr="004C2412">
        <w:t>be referred</w:t>
      </w:r>
      <w:proofErr w:type="gramEnd"/>
      <w:r w:rsidRPr="004C2412">
        <w:t xml:space="preserve"> to a higher stream of service in the jobactive system.</w:t>
      </w:r>
    </w:p>
    <w:p w14:paraId="36091B63" w14:textId="12A9AD12" w:rsidR="007C25E4" w:rsidRPr="004C2412" w:rsidRDefault="007C25E4" w:rsidP="00A609AA">
      <w:pPr>
        <w:ind w:left="0"/>
      </w:pPr>
      <w:r w:rsidRPr="004C2412">
        <w:rPr>
          <w:b/>
        </w:rPr>
        <w:t xml:space="preserve">JSCI - Referral for </w:t>
      </w:r>
      <w:proofErr w:type="spellStart"/>
      <w:r w:rsidRPr="004C2412">
        <w:rPr>
          <w:b/>
        </w:rPr>
        <w:t>ESAt</w:t>
      </w:r>
      <w:proofErr w:type="spellEnd"/>
      <w:r w:rsidRPr="004C2412">
        <w:rPr>
          <w:b/>
        </w:rPr>
        <w:t xml:space="preserve"> </w:t>
      </w:r>
      <w:r w:rsidRPr="004C2412">
        <w:t>- me</w:t>
      </w:r>
      <w:r w:rsidR="001B5875" w:rsidRPr="004C2412">
        <w:t>ans a job seeker had their JSCI</w:t>
      </w:r>
      <w:r w:rsidRPr="004C2412">
        <w:t xml:space="preserve"> updated and the outcome of the JSCI was for the job seeker to </w:t>
      </w:r>
      <w:proofErr w:type="gramStart"/>
      <w:r w:rsidRPr="004C2412">
        <w:t>be referred</w:t>
      </w:r>
      <w:proofErr w:type="gramEnd"/>
      <w:r w:rsidRPr="004C2412">
        <w:t xml:space="preserve"> to an Employment Services Assessment. Employment Services Assessments superseded Job Capacity Assessments from 1 October 2011.</w:t>
      </w:r>
    </w:p>
    <w:p w14:paraId="36091B64" w14:textId="30E93C8F" w:rsidR="007C25E4" w:rsidRPr="004C2412" w:rsidRDefault="007C25E4" w:rsidP="00A609AA">
      <w:pPr>
        <w:ind w:left="0"/>
      </w:pPr>
      <w:r w:rsidRPr="004C2412">
        <w:rPr>
          <w:b/>
        </w:rPr>
        <w:t>Manageable or unproven medical issue</w:t>
      </w:r>
      <w:r w:rsidRPr="004C2412">
        <w:t xml:space="preserve"> - the job seeker indicated a medical condition prevented their attendance, but their explanation </w:t>
      </w:r>
      <w:proofErr w:type="gramStart"/>
      <w:r w:rsidRPr="004C2412">
        <w:t>was not accepted</w:t>
      </w:r>
      <w:proofErr w:type="gramEnd"/>
      <w:r w:rsidRPr="004C2412">
        <w:t xml:space="preserve"> as reasonable. This will generally be because the job seeker did not appear ill or provide evidence of their illness, or where evidence </w:t>
      </w:r>
      <w:proofErr w:type="gramStart"/>
      <w:r w:rsidRPr="004C2412">
        <w:t>was provided</w:t>
      </w:r>
      <w:proofErr w:type="gramEnd"/>
      <w:r w:rsidRPr="004C2412">
        <w:t xml:space="preserve"> but the condition was manageable and should not have prevented attendance at the time of the appointment or activity. This category also covers situations where the excuse relates to substance or alcohol use or mental health issues but where the decision-maker has determined that in this instance the person’s condition would not have prevented compliance.</w:t>
      </w:r>
    </w:p>
    <w:p w14:paraId="36091B65" w14:textId="53C9A7E1" w:rsidR="007C25E4" w:rsidRPr="004C2412" w:rsidRDefault="007C25E4" w:rsidP="00A609AA">
      <w:pPr>
        <w:ind w:left="0"/>
      </w:pPr>
      <w:r w:rsidRPr="004C2412">
        <w:rPr>
          <w:b/>
        </w:rPr>
        <w:t xml:space="preserve">Medical reason </w:t>
      </w:r>
      <w:proofErr w:type="gramStart"/>
      <w:r w:rsidRPr="004C2412">
        <w:rPr>
          <w:b/>
        </w:rPr>
        <w:t>A</w:t>
      </w:r>
      <w:proofErr w:type="gramEnd"/>
      <w:r w:rsidRPr="004C2412">
        <w:rPr>
          <w:b/>
        </w:rPr>
        <w:t xml:space="preserve"> </w:t>
      </w:r>
      <w:r w:rsidRPr="004C2412">
        <w:t>- means that the Department of Human Services determined a medical reason prevented the job seeker from</w:t>
      </w:r>
      <w:r w:rsidR="001B5875" w:rsidRPr="004C2412">
        <w:t xml:space="preserve"> complying with the requirement </w:t>
      </w:r>
      <w:r w:rsidRPr="004C2412">
        <w:t xml:space="preserve">but the job seeker did not provide specific evidence relating to this particular incident. Included in this category are instances where the job seeker had previously provided evidence of the medical condition or it </w:t>
      </w:r>
      <w:proofErr w:type="gramStart"/>
      <w:r w:rsidRPr="004C2412">
        <w:t>was not considered</w:t>
      </w:r>
      <w:proofErr w:type="gramEnd"/>
      <w:r w:rsidRPr="004C2412">
        <w:t xml:space="preserve"> reasonable or necessary for the job seeker to attend a doctor.</w:t>
      </w:r>
    </w:p>
    <w:p w14:paraId="36091B66" w14:textId="183AA1BB" w:rsidR="007C25E4" w:rsidRPr="004C2412" w:rsidRDefault="007C25E4" w:rsidP="00A609AA">
      <w:pPr>
        <w:ind w:left="0"/>
      </w:pPr>
      <w:r w:rsidRPr="004C2412">
        <w:rPr>
          <w:b/>
        </w:rPr>
        <w:t>Medical reason B</w:t>
      </w:r>
      <w:r w:rsidRPr="004C2412">
        <w:t xml:space="preserve"> - means that the Department of Human Services determined a medical reason prevented the job seeker from</w:t>
      </w:r>
      <w:r w:rsidR="004119F6" w:rsidRPr="004C2412">
        <w:t xml:space="preserve"> complying with the requirement</w:t>
      </w:r>
      <w:r w:rsidRPr="004C2412">
        <w:t xml:space="preserve"> and the job seeker provided specific evidence relating to the particular incident.</w:t>
      </w:r>
    </w:p>
    <w:p w14:paraId="36091B67" w14:textId="1950E335" w:rsidR="007C25E4" w:rsidRPr="004C2412" w:rsidRDefault="007C25E4" w:rsidP="00A609AA">
      <w:pPr>
        <w:ind w:left="0"/>
      </w:pPr>
      <w:r w:rsidRPr="004C2412">
        <w:rPr>
          <w:b/>
        </w:rPr>
        <w:t>Nature of requirements</w:t>
      </w:r>
      <w:r w:rsidRPr="004C2412">
        <w:t xml:space="preserve"> - means that the Department of Human Services determined the requirement with which the job seeker did not comply was not reasonable or appropriate to the circumstances of the job seeker. This includes, for example, where a job seeker </w:t>
      </w:r>
      <w:proofErr w:type="gramStart"/>
      <w:r w:rsidRPr="004C2412">
        <w:t>was referred</w:t>
      </w:r>
      <w:proofErr w:type="gramEnd"/>
      <w:r w:rsidRPr="004C2412">
        <w:t xml:space="preserve"> to an unsuitable activity, where attendance required </w:t>
      </w:r>
      <w:r w:rsidR="004119F6" w:rsidRPr="004C2412">
        <w:t>an unreasonable travel distance</w:t>
      </w:r>
      <w:r w:rsidRPr="004C2412">
        <w:t xml:space="preserve"> or where a job did not meet minimum work conditions or enable a job seeker to arrange or access childcare.</w:t>
      </w:r>
    </w:p>
    <w:p w14:paraId="36091B68" w14:textId="160808C1" w:rsidR="004C223C" w:rsidRPr="004C2412" w:rsidRDefault="004C223C" w:rsidP="00A609AA">
      <w:pPr>
        <w:ind w:left="0"/>
      </w:pPr>
      <w:r w:rsidRPr="004C2412">
        <w:rPr>
          <w:b/>
        </w:rPr>
        <w:t>Non-Attendance Failure</w:t>
      </w:r>
      <w:r w:rsidR="004119F6" w:rsidRPr="004C2412">
        <w:rPr>
          <w:b/>
        </w:rPr>
        <w:t xml:space="preserve"> </w:t>
      </w:r>
      <w:r w:rsidR="007E15CD" w:rsidRPr="004C2412">
        <w:rPr>
          <w:b/>
        </w:rPr>
        <w:t xml:space="preserve">(NAF) </w:t>
      </w:r>
      <w:r w:rsidR="004119F6" w:rsidRPr="004C2412">
        <w:rPr>
          <w:b/>
        </w:rPr>
        <w:t>-</w:t>
      </w:r>
      <w:r w:rsidRPr="004C2412">
        <w:t xml:space="preserve"> </w:t>
      </w:r>
      <w:proofErr w:type="gramStart"/>
      <w:r w:rsidRPr="004C2412">
        <w:t>is applied</w:t>
      </w:r>
      <w:proofErr w:type="gramEnd"/>
      <w:r w:rsidRPr="004C2412">
        <w:t xml:space="preserve"> when a job seeker has no reasonable excuse for not attending their initial appointment or fails to give prior notice of a reasonable excuse if it was reasonable to expect them to do so.</w:t>
      </w:r>
      <w:r w:rsidR="00F30D86" w:rsidRPr="004C2412">
        <w:t xml:space="preserve"> A Non-Attendance Failure results in a loss of one-tenth of the job seeker’s fortnightly income support payment for each business day for the day the job seeker </w:t>
      </w:r>
      <w:proofErr w:type="gramStart"/>
      <w:r w:rsidR="00F30D86" w:rsidRPr="004C2412">
        <w:t>was notified</w:t>
      </w:r>
      <w:proofErr w:type="gramEnd"/>
      <w:r w:rsidR="00F30D86" w:rsidRPr="004C2412">
        <w:t xml:space="preserve"> until the day the job seeker attends.</w:t>
      </w:r>
    </w:p>
    <w:p w14:paraId="36091B69" w14:textId="5841C3AB" w:rsidR="004C223C" w:rsidRPr="004C2412" w:rsidRDefault="004C223C" w:rsidP="00A609AA">
      <w:pPr>
        <w:ind w:left="0"/>
      </w:pPr>
      <w:r w:rsidRPr="004C2412">
        <w:rPr>
          <w:b/>
        </w:rPr>
        <w:t>Non-Attendance Report</w:t>
      </w:r>
      <w:r w:rsidR="004119F6" w:rsidRPr="004C2412">
        <w:rPr>
          <w:b/>
        </w:rPr>
        <w:t xml:space="preserve"> -</w:t>
      </w:r>
      <w:r w:rsidRPr="004C2412">
        <w:t xml:space="preserve"> </w:t>
      </w:r>
      <w:proofErr w:type="gramStart"/>
      <w:r w:rsidRPr="004C2412">
        <w:t>is submitted</w:t>
      </w:r>
      <w:proofErr w:type="gramEnd"/>
      <w:r w:rsidRPr="004C2412">
        <w:t xml:space="preserve"> by an employment services provider when a job seeker fails to attend a regular provider appointment. The Non-Attendance Report replaced the Connection Failure Participation </w:t>
      </w:r>
      <w:proofErr w:type="gramStart"/>
      <w:r w:rsidRPr="004C2412">
        <w:t>Report which</w:t>
      </w:r>
      <w:proofErr w:type="gramEnd"/>
      <w:r w:rsidRPr="004C2412">
        <w:t xml:space="preserve"> was used to report this type of non-attendance </w:t>
      </w:r>
      <w:r w:rsidRPr="00797272">
        <w:t>from 1 July 2014.</w:t>
      </w:r>
    </w:p>
    <w:p w14:paraId="36091B6A" w14:textId="39C83197" w:rsidR="007C25E4" w:rsidRPr="004C2412" w:rsidRDefault="007C25E4" w:rsidP="00A609AA">
      <w:pPr>
        <w:ind w:left="0"/>
      </w:pPr>
      <w:r w:rsidRPr="004C2412">
        <w:rPr>
          <w:b/>
        </w:rPr>
        <w:t>No change in Employment Services Program or Stream</w:t>
      </w:r>
      <w:r w:rsidRPr="004C2412">
        <w:t xml:space="preserve"> - means there has been no recommendation to change the job seeker’s Employment Services Programme or Stream. CCAs in this category can recommend one or more outcomes that </w:t>
      </w:r>
      <w:proofErr w:type="gramStart"/>
      <w:r w:rsidRPr="004C2412">
        <w:t>can be undertaken or arranged by the job seeker’s current provider</w:t>
      </w:r>
      <w:proofErr w:type="gramEnd"/>
      <w:r w:rsidRPr="004C2412">
        <w:t xml:space="preserve"> or they may not recommend any particular action.</w:t>
      </w:r>
    </w:p>
    <w:p w14:paraId="36091B6B" w14:textId="2C49BDA0" w:rsidR="007C25E4" w:rsidRPr="004C2412" w:rsidRDefault="007C25E4" w:rsidP="00A609AA">
      <w:pPr>
        <w:ind w:left="0"/>
      </w:pPr>
      <w:r w:rsidRPr="004C2412">
        <w:rPr>
          <w:b/>
        </w:rPr>
        <w:t xml:space="preserve">No Outcomes </w:t>
      </w:r>
      <w:r w:rsidR="00F124B8" w:rsidRPr="004C2412">
        <w:t xml:space="preserve">- </w:t>
      </w:r>
      <w:r w:rsidRPr="004C2412">
        <w:t>there were no outcomes or other action recommended by the Department of Human Services as part of the CCA. This means that the Department of Human Services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14:paraId="36091B6C" w14:textId="23C3D5E9" w:rsidR="007C25E4" w:rsidRPr="004C2412" w:rsidRDefault="007C25E4" w:rsidP="00A609AA">
      <w:pPr>
        <w:ind w:left="0"/>
      </w:pPr>
      <w:r w:rsidRPr="004C2412">
        <w:rPr>
          <w:b/>
        </w:rPr>
        <w:t>No reason offered</w:t>
      </w:r>
      <w:r w:rsidRPr="004C2412">
        <w:t xml:space="preserve"> - the job seeker did not offer a reason for their non-attendance.</w:t>
      </w:r>
    </w:p>
    <w:p w14:paraId="36091B6D" w14:textId="44A4B459" w:rsidR="00F30D86" w:rsidRPr="004C2412" w:rsidRDefault="00F30D86" w:rsidP="00A609AA">
      <w:pPr>
        <w:ind w:left="0"/>
        <w:rPr>
          <w:b/>
        </w:rPr>
      </w:pPr>
      <w:r w:rsidRPr="004C2412">
        <w:rPr>
          <w:b/>
        </w:rPr>
        <w:t xml:space="preserve">No Show No Pay </w:t>
      </w:r>
      <w:r w:rsidR="007E15CD" w:rsidRPr="004C2412">
        <w:rPr>
          <w:b/>
        </w:rPr>
        <w:t xml:space="preserve">(NSNP) </w:t>
      </w:r>
      <w:r w:rsidRPr="004C2412">
        <w:rPr>
          <w:b/>
        </w:rPr>
        <w:t xml:space="preserve">Failure </w:t>
      </w:r>
      <w:r w:rsidRPr="004C2412">
        <w:t>- may be applied if the job seeker has failed to either attend or behave appropriately at an activity in the Job Plan, or attend or behave appropriately at a job interview with a prospective employer. Following an investigation by DHS into the non-compliance, the job seeker may lose one-tenth of their fortnightly income support payment for every day they do not participate and did not have a reasonable excuse.</w:t>
      </w:r>
    </w:p>
    <w:p w14:paraId="36091B6E" w14:textId="51B75996" w:rsidR="007C25E4" w:rsidRPr="004C2412" w:rsidRDefault="007C25E4" w:rsidP="00A609AA">
      <w:pPr>
        <w:ind w:left="0"/>
      </w:pPr>
      <w:r w:rsidRPr="004C2412">
        <w:rPr>
          <w:b/>
        </w:rPr>
        <w:t xml:space="preserve">Notifying requirements </w:t>
      </w:r>
      <w:r w:rsidR="00F124B8" w:rsidRPr="004C2412">
        <w:t xml:space="preserve">- </w:t>
      </w:r>
      <w:r w:rsidRPr="004C2412">
        <w:t>means that the Department of Human Services determined the job seeker did not receive notificat</w:t>
      </w:r>
      <w:r w:rsidR="004119F6" w:rsidRPr="004C2412">
        <w:t xml:space="preserve">ion, </w:t>
      </w:r>
      <w:proofErr w:type="gramStart"/>
      <w:r w:rsidR="004119F6" w:rsidRPr="004C2412">
        <w:t>was not notified</w:t>
      </w:r>
      <w:proofErr w:type="gramEnd"/>
      <w:r w:rsidR="004119F6" w:rsidRPr="004C2412">
        <w:t xml:space="preserve"> correctly</w:t>
      </w:r>
      <w:r w:rsidRPr="004C2412">
        <w:t xml:space="preserve"> or was not given enough time to meet their requirement. This includes, for example, instances where mail may have gone astray or the job seeker had no permanent residence for mail to </w:t>
      </w:r>
      <w:proofErr w:type="gramStart"/>
      <w:r w:rsidRPr="004C2412">
        <w:t>be sent</w:t>
      </w:r>
      <w:proofErr w:type="gramEnd"/>
      <w:r w:rsidRPr="004C2412">
        <w:t xml:space="preserve"> to.</w:t>
      </w:r>
    </w:p>
    <w:p w14:paraId="12D5A279" w14:textId="520189F2" w:rsidR="00F02E7D" w:rsidRPr="004C2412" w:rsidRDefault="00F02E7D" w:rsidP="00A609AA">
      <w:pPr>
        <w:ind w:left="0"/>
      </w:pPr>
      <w:r w:rsidRPr="004C2412">
        <w:rPr>
          <w:b/>
        </w:rPr>
        <w:t>NSA</w:t>
      </w:r>
      <w:r w:rsidRPr="004C2412">
        <w:t xml:space="preserve"> - New Start Allowance</w:t>
      </w:r>
      <w:r w:rsidR="00F65699" w:rsidRPr="004C2412">
        <w:t>.</w:t>
      </w:r>
    </w:p>
    <w:p w14:paraId="36091B6F" w14:textId="41F1D7AA" w:rsidR="007C25E4" w:rsidRPr="004C2412" w:rsidRDefault="007C25E4" w:rsidP="00A609AA">
      <w:pPr>
        <w:ind w:left="0"/>
      </w:pPr>
      <w:r w:rsidRPr="004C2412">
        <w:rPr>
          <w:b/>
        </w:rPr>
        <w:t xml:space="preserve">Number of job seekers with a Vulnerability Indicator </w:t>
      </w:r>
      <w:r w:rsidRPr="004C2412">
        <w:t>- means job seekers who, at the end of the quarter, had one or more Vulnerability Indicators on their record.</w:t>
      </w:r>
    </w:p>
    <w:p w14:paraId="36091B70" w14:textId="7DFF55EA" w:rsidR="007C25E4" w:rsidRPr="004C2412" w:rsidRDefault="007C25E4" w:rsidP="00A609AA">
      <w:pPr>
        <w:ind w:left="0"/>
      </w:pPr>
      <w:r w:rsidRPr="004C2412">
        <w:rPr>
          <w:b/>
        </w:rPr>
        <w:t>Other</w:t>
      </w:r>
      <w:r w:rsidR="00F124B8" w:rsidRPr="004C2412">
        <w:t xml:space="preserve"> - </w:t>
      </w:r>
      <w:r w:rsidRPr="004C2412">
        <w:t>includes all other Participation Reports or Provider Appointment Reports rejected on the grounds that the job seeker had a reasonable excuse for not complying (for example, a police restriction, community service order or legal appointment).</w:t>
      </w:r>
    </w:p>
    <w:p w14:paraId="36091B71" w14:textId="1A9B05A1" w:rsidR="007C25E4" w:rsidRPr="004C2412" w:rsidRDefault="007C25E4" w:rsidP="00A609AA">
      <w:pPr>
        <w:ind w:left="0"/>
      </w:pPr>
      <w:r w:rsidRPr="004C2412">
        <w:rPr>
          <w:b/>
        </w:rPr>
        <w:t xml:space="preserve">Other acceptable activity </w:t>
      </w:r>
      <w:r w:rsidRPr="004C2412">
        <w:t xml:space="preserve">- means that the Department of Human Services determined the job seeker was participating in an activity that made it acceptable not to meet the requirement (for example, undertaking paid work, attending an interview, </w:t>
      </w:r>
      <w:r w:rsidR="00DB01A3" w:rsidRPr="004C2412">
        <w:t>etc.</w:t>
      </w:r>
      <w:r w:rsidRPr="004C2412">
        <w:t>).</w:t>
      </w:r>
    </w:p>
    <w:p w14:paraId="36091B72" w14:textId="52544F29" w:rsidR="00EC3067" w:rsidRPr="004C2412" w:rsidRDefault="00EC3067" w:rsidP="00A609AA">
      <w:pPr>
        <w:ind w:left="0"/>
      </w:pPr>
      <w:r w:rsidRPr="004C2412">
        <w:rPr>
          <w:b/>
        </w:rPr>
        <w:t>Other job seekers</w:t>
      </w:r>
      <w:r w:rsidRPr="004C2412">
        <w:t xml:space="preserve"> –</w:t>
      </w:r>
      <w:r w:rsidR="00084FA0" w:rsidRPr="004C2412">
        <w:t xml:space="preserve"> </w:t>
      </w:r>
      <w:r w:rsidRPr="004C2412">
        <w:t>jo</w:t>
      </w:r>
      <w:r w:rsidR="00084FA0" w:rsidRPr="004C2412">
        <w:t xml:space="preserve">b seekers that do not </w:t>
      </w:r>
      <w:r w:rsidR="0027383C" w:rsidRPr="004C2412">
        <w:t>currently have to use</w:t>
      </w:r>
      <w:r w:rsidR="00084FA0" w:rsidRPr="004C2412">
        <w:t xml:space="preserve"> employment services because they</w:t>
      </w:r>
      <w:r w:rsidRPr="004C2412">
        <w:t xml:space="preserve"> have </w:t>
      </w:r>
      <w:r w:rsidR="005A0371" w:rsidRPr="004C2412">
        <w:t>a</w:t>
      </w:r>
      <w:r w:rsidRPr="004C2412">
        <w:t xml:space="preserve"> ‘Temporary exemption’, ‘Reduced work capacity’ or are undert</w:t>
      </w:r>
      <w:r w:rsidR="00084FA0" w:rsidRPr="004C2412">
        <w:t>akin</w:t>
      </w:r>
      <w:r w:rsidR="00A2137C" w:rsidRPr="004C2412">
        <w:t xml:space="preserve">g an ‘Approved activity’. These job seekers </w:t>
      </w:r>
      <w:r w:rsidR="0027383C" w:rsidRPr="004C2412">
        <w:t xml:space="preserve">can use </w:t>
      </w:r>
      <w:r w:rsidR="00A2137C" w:rsidRPr="004C2412">
        <w:t>employment services</w:t>
      </w:r>
      <w:r w:rsidR="0027383C" w:rsidRPr="004C2412">
        <w:t xml:space="preserve"> voluntarily, but are not required to do so</w:t>
      </w:r>
      <w:r w:rsidR="00A2137C" w:rsidRPr="004C2412">
        <w:t>.</w:t>
      </w:r>
    </w:p>
    <w:p w14:paraId="36091B73" w14:textId="7E763B3D" w:rsidR="007C25E4" w:rsidRPr="004C2412" w:rsidRDefault="007C25E4" w:rsidP="00A609AA">
      <w:pPr>
        <w:ind w:left="0"/>
      </w:pPr>
      <w:r w:rsidRPr="004C2412">
        <w:rPr>
          <w:b/>
        </w:rPr>
        <w:t>Other Outcomes</w:t>
      </w:r>
      <w:r w:rsidRPr="004C2412">
        <w:t xml:space="preserve"> - includes any sort of recommended outcome that does not involve a change of Employment Services Programme or Stream and can therefore be undertaken or arranged by the job seeker’s current provider. These include suggested changes to the job seeker’s Job Plan to include any vocational or non-vocational activities designed to help the job seeker to become more job-ready (e.g. a referral for housing assistance or literacy and numeracy training).</w:t>
      </w:r>
    </w:p>
    <w:p w14:paraId="36091B74" w14:textId="577D9ACE" w:rsidR="007C25E4" w:rsidRPr="004C2412" w:rsidRDefault="007C25E4" w:rsidP="00A609AA">
      <w:pPr>
        <w:ind w:left="0"/>
      </w:pPr>
      <w:r w:rsidRPr="004C2412">
        <w:rPr>
          <w:b/>
        </w:rPr>
        <w:t xml:space="preserve">Personal crisis </w:t>
      </w:r>
      <w:r w:rsidRPr="004C2412">
        <w:t>- means that the Department of Human Services determined a personal crisis prevented the job seeker from complying with the requirement (for example, a bereavement of a family member).</w:t>
      </w:r>
    </w:p>
    <w:p w14:paraId="36091B75" w14:textId="4ABDCDE0" w:rsidR="007C25E4" w:rsidRPr="004C2412" w:rsidRDefault="007C25E4" w:rsidP="00A609AA">
      <w:pPr>
        <w:ind w:left="0"/>
      </w:pPr>
      <w:r w:rsidRPr="004C2412">
        <w:rPr>
          <w:b/>
        </w:rPr>
        <w:t>Personal matter</w:t>
      </w:r>
      <w:r w:rsidRPr="004C2412">
        <w:t xml:space="preserve"> - the job seeker indicated </w:t>
      </w:r>
      <w:r w:rsidR="004119F6" w:rsidRPr="004C2412">
        <w:t xml:space="preserve">that </w:t>
      </w:r>
      <w:r w:rsidRPr="004C2412">
        <w:t xml:space="preserve">they had personal relationship issues, caring responsibilities, </w:t>
      </w:r>
      <w:r w:rsidR="004119F6" w:rsidRPr="004C2412">
        <w:t>difficulties with accommodation</w:t>
      </w:r>
      <w:r w:rsidRPr="004C2412">
        <w:t xml:space="preserve"> or bereavement following the death of a friend, relative or pet. While such circumstances can </w:t>
      </w:r>
      <w:proofErr w:type="gramStart"/>
      <w:r w:rsidRPr="004C2412">
        <w:t>impact on</w:t>
      </w:r>
      <w:proofErr w:type="gramEnd"/>
      <w:r w:rsidRPr="004C2412">
        <w:t xml:space="preserve"> a job seeker’s capacity to comply, the Department of Human Services decision-maker found that they did not do so in these instances.</w:t>
      </w:r>
    </w:p>
    <w:p w14:paraId="572B420E" w14:textId="7BC7271F" w:rsidR="00F02E7D" w:rsidRPr="004C2412" w:rsidRDefault="00B70E9D" w:rsidP="00A609AA">
      <w:pPr>
        <w:ind w:left="0"/>
      </w:pPr>
      <w:r>
        <w:rPr>
          <w:b/>
        </w:rPr>
        <w:t>PPS</w:t>
      </w:r>
      <w:r w:rsidR="00F02E7D" w:rsidRPr="004C2412">
        <w:t xml:space="preserve"> - Parenting Payment Single</w:t>
      </w:r>
      <w:r w:rsidR="00F65699" w:rsidRPr="004C2412">
        <w:t>.</w:t>
      </w:r>
    </w:p>
    <w:p w14:paraId="36091B76" w14:textId="01F64645" w:rsidR="004C223C" w:rsidRPr="004C2412" w:rsidRDefault="004C223C" w:rsidP="00A609AA">
      <w:pPr>
        <w:ind w:left="0"/>
      </w:pPr>
      <w:r w:rsidRPr="004C2412">
        <w:rPr>
          <w:b/>
        </w:rPr>
        <w:t>Provider Appointment Report</w:t>
      </w:r>
      <w:r w:rsidRPr="004C2412">
        <w:t xml:space="preserve"> </w:t>
      </w:r>
      <w:r w:rsidR="004119F6" w:rsidRPr="004C2412">
        <w:t xml:space="preserve">- </w:t>
      </w:r>
      <w:proofErr w:type="gramStart"/>
      <w:r w:rsidRPr="004C2412">
        <w:t>is submitted</w:t>
      </w:r>
      <w:proofErr w:type="gramEnd"/>
      <w:r w:rsidRPr="004C2412">
        <w:t xml:space="preserve"> by providers when they want a job seeker</w:t>
      </w:r>
      <w:r w:rsidR="00F124B8" w:rsidRPr="004C2412">
        <w:t>’</w:t>
      </w:r>
      <w:r w:rsidRPr="004C2412">
        <w:t xml:space="preserve">s income support payment suspension to remain and to recommend to the Department of Human Services </w:t>
      </w:r>
      <w:r w:rsidR="00F124B8" w:rsidRPr="004C2412">
        <w:t xml:space="preserve">that </w:t>
      </w:r>
      <w:r w:rsidRPr="004C2412">
        <w:t>a</w:t>
      </w:r>
      <w:r w:rsidR="00680E4C" w:rsidRPr="004C2412">
        <w:t xml:space="preserve"> financial penalty be applied.</w:t>
      </w:r>
    </w:p>
    <w:p w14:paraId="36091B77" w14:textId="5B5842D8" w:rsidR="007C25E4" w:rsidRPr="004C2412" w:rsidRDefault="007C25E4" w:rsidP="00A609AA">
      <w:pPr>
        <w:ind w:left="0"/>
      </w:pPr>
      <w:r w:rsidRPr="004C2412">
        <w:rPr>
          <w:b/>
        </w:rPr>
        <w:t xml:space="preserve">Reason not recorded </w:t>
      </w:r>
      <w:r w:rsidRPr="004C2412">
        <w:t xml:space="preserve">- are failures that are not attendance-related. While the job seeker’s reason for non-compliance must be considered before the failure can be applied, it is not recorded in a </w:t>
      </w:r>
      <w:proofErr w:type="gramStart"/>
      <w:r w:rsidRPr="004C2412">
        <w:t>way which</w:t>
      </w:r>
      <w:proofErr w:type="gramEnd"/>
      <w:r w:rsidRPr="004C2412">
        <w:t xml:space="preserve"> can be easily extracted for the purposes of this data.</w:t>
      </w:r>
    </w:p>
    <w:p w14:paraId="36091B78" w14:textId="0B40F01B" w:rsidR="007C25E4" w:rsidRPr="004C2412" w:rsidRDefault="007C25E4" w:rsidP="00A609AA">
      <w:pPr>
        <w:ind w:left="0"/>
      </w:pPr>
      <w:r w:rsidRPr="004C2412">
        <w:rPr>
          <w:b/>
        </w:rPr>
        <w:t xml:space="preserve">Reasonable excuse but no prior notice </w:t>
      </w:r>
      <w:r w:rsidRPr="004C2412">
        <w:t>- the job seeker had a reasonable excuse for not attending their appointment but failed to give prior notice of their inability to attend an appointment when it would have been reasonable to expect them to do so.</w:t>
      </w:r>
    </w:p>
    <w:p w14:paraId="36091B79" w14:textId="6E018EF8" w:rsidR="00B33FF0" w:rsidRPr="004C2412" w:rsidRDefault="00B33FF0" w:rsidP="00A609AA">
      <w:pPr>
        <w:ind w:left="0"/>
        <w:rPr>
          <w:b/>
        </w:rPr>
      </w:pPr>
      <w:r w:rsidRPr="004C2412">
        <w:rPr>
          <w:b/>
        </w:rPr>
        <w:t xml:space="preserve">Reconnection Failure </w:t>
      </w:r>
      <w:r w:rsidRPr="004C2412">
        <w:t xml:space="preserve">- may be applied </w:t>
      </w:r>
      <w:proofErr w:type="gramStart"/>
      <w:r w:rsidRPr="004C2412">
        <w:t>as a result</w:t>
      </w:r>
      <w:proofErr w:type="gramEnd"/>
      <w:r w:rsidRPr="004C2412">
        <w:t xml:space="preserve"> of a provider submitting a Provider Appointment Report (PAR) for non-attendance at a Re-engagement appointment or if the provider reports to DHS that a job seeker fails to meet another reconnection requirement without a reasonable excuse. A Reconnection Failure results in loss of payment from the date of the failure until the day the job seeker meets a further reconnection requirement.</w:t>
      </w:r>
    </w:p>
    <w:p w14:paraId="36091B7A" w14:textId="03D47FA4" w:rsidR="007C25E4" w:rsidRPr="004C2412" w:rsidRDefault="007C25E4" w:rsidP="00A609AA">
      <w:pPr>
        <w:ind w:left="0"/>
      </w:pPr>
      <w:r w:rsidRPr="004C2412">
        <w:rPr>
          <w:b/>
        </w:rPr>
        <w:t xml:space="preserve">Reduced work capacity </w:t>
      </w:r>
      <w:r w:rsidR="00CC3FE3" w:rsidRPr="004C2412">
        <w:t xml:space="preserve">- </w:t>
      </w:r>
      <w:r w:rsidR="00A153E5" w:rsidRPr="004C2412">
        <w:t xml:space="preserve">job seekers with </w:t>
      </w:r>
      <w:r w:rsidRPr="004C2412">
        <w:t>a</w:t>
      </w:r>
      <w:r w:rsidR="0027383C" w:rsidRPr="004C2412">
        <w:t>n assessed</w:t>
      </w:r>
      <w:r w:rsidRPr="004C2412">
        <w:t xml:space="preserve"> </w:t>
      </w:r>
      <w:r w:rsidR="001913B1" w:rsidRPr="004C2412">
        <w:t xml:space="preserve">temporary or partial </w:t>
      </w:r>
      <w:r w:rsidRPr="004C2412">
        <w:t>reduced work capacity of 0-14 hours a week</w:t>
      </w:r>
      <w:r w:rsidR="001913B1" w:rsidRPr="004C2412">
        <w:t xml:space="preserve"> </w:t>
      </w:r>
      <w:r w:rsidR="00A153E5" w:rsidRPr="004C2412">
        <w:t>do not have to</w:t>
      </w:r>
      <w:r w:rsidR="00EC3067" w:rsidRPr="004C2412">
        <w:t xml:space="preserve"> </w:t>
      </w:r>
      <w:r w:rsidR="00A153E5" w:rsidRPr="004C2412">
        <w:t>be</w:t>
      </w:r>
      <w:r w:rsidR="00EC3067" w:rsidRPr="004C2412">
        <w:t xml:space="preserve"> </w:t>
      </w:r>
      <w:r w:rsidR="00A153E5" w:rsidRPr="004C2412">
        <w:t xml:space="preserve">in employment services, and </w:t>
      </w:r>
      <w:r w:rsidRPr="004C2412">
        <w:t xml:space="preserve">are able </w:t>
      </w:r>
      <w:proofErr w:type="gramStart"/>
      <w:r w:rsidRPr="004C2412">
        <w:t>to fully satisfy</w:t>
      </w:r>
      <w:proofErr w:type="gramEnd"/>
      <w:r w:rsidRPr="004C2412">
        <w:t xml:space="preserve"> their </w:t>
      </w:r>
      <w:r w:rsidR="00865387" w:rsidRPr="004C2412">
        <w:t xml:space="preserve">activity test </w:t>
      </w:r>
      <w:r w:rsidRPr="004C2412">
        <w:t>requirements through a quarterly interview with th</w:t>
      </w:r>
      <w:r w:rsidR="00680E4C" w:rsidRPr="004C2412">
        <w:t>e Department of Human Services.</w:t>
      </w:r>
    </w:p>
    <w:p w14:paraId="36091B7B" w14:textId="0AA92B3E" w:rsidR="009763C2" w:rsidRPr="004C2412" w:rsidRDefault="009763C2" w:rsidP="00A609AA">
      <w:pPr>
        <w:ind w:left="0"/>
      </w:pPr>
      <w:r w:rsidRPr="004C2412">
        <w:rPr>
          <w:b/>
        </w:rPr>
        <w:t xml:space="preserve">Serious Failure </w:t>
      </w:r>
      <w:r w:rsidRPr="004C2412">
        <w:t>- may be applied for either refusing a suitable job offer, failing to commence in a suitable job (after having accepted it); or persistent and wilful non- compliance (can only be applied following a Comprehensive Compliance Assessment to ensure that the job seeker’s behaviour is not the result of unidentified barriers to participation beyond their control).</w:t>
      </w:r>
    </w:p>
    <w:p w14:paraId="36091B7C" w14:textId="520A019B" w:rsidR="007C25E4" w:rsidRPr="004C2412" w:rsidRDefault="007C25E4" w:rsidP="00A609AA">
      <w:pPr>
        <w:ind w:left="0"/>
      </w:pPr>
      <w:r w:rsidRPr="004C2412">
        <w:rPr>
          <w:b/>
        </w:rPr>
        <w:t xml:space="preserve">Submitting PRs/PARs </w:t>
      </w:r>
      <w:r w:rsidRPr="004C2412">
        <w:t xml:space="preserve">- means that the Department of Human Services rejected the Participation Report or Provider Appointment Report </w:t>
      </w:r>
      <w:proofErr w:type="gramStart"/>
      <w:r w:rsidRPr="004C2412">
        <w:t>on the grounds that</w:t>
      </w:r>
      <w:proofErr w:type="gramEnd"/>
      <w:r w:rsidRPr="004C2412">
        <w:t xml:space="preserve"> it was not valid. This includes, for example, where the report </w:t>
      </w:r>
      <w:proofErr w:type="gramStart"/>
      <w:r w:rsidRPr="004C2412">
        <w:t>was submitted</w:t>
      </w:r>
      <w:proofErr w:type="gramEnd"/>
      <w:r w:rsidRPr="004C2412">
        <w:t xml:space="preserve"> for a period during which the job seeker had an exemption or was not receiving any payments; it was submitted for a requirement not contained in the Job Plan; or the report was filled out incorrectly containing the wrong code or date of incident.</w:t>
      </w:r>
    </w:p>
    <w:p w14:paraId="36091B7D" w14:textId="79C94F50" w:rsidR="007C25E4" w:rsidRPr="004C2412" w:rsidRDefault="002A4EB2" w:rsidP="00A609AA">
      <w:pPr>
        <w:ind w:left="0"/>
      </w:pPr>
      <w:r w:rsidRPr="004C2412">
        <w:rPr>
          <w:b/>
        </w:rPr>
        <w:t>Temporary exemption</w:t>
      </w:r>
      <w:r w:rsidR="007C25E4" w:rsidRPr="004C2412">
        <w:t xml:space="preserve"> </w:t>
      </w:r>
      <w:r w:rsidR="00F124B8" w:rsidRPr="004C2412">
        <w:t xml:space="preserve">- </w:t>
      </w:r>
      <w:r w:rsidR="00F962E1" w:rsidRPr="004C2412">
        <w:t xml:space="preserve">job seekers can be granted an exemption by the Department of Human Services, for a specified </w:t>
      </w:r>
      <w:proofErr w:type="gramStart"/>
      <w:r w:rsidR="00F962E1" w:rsidRPr="004C2412">
        <w:t>period of time</w:t>
      </w:r>
      <w:proofErr w:type="gramEnd"/>
      <w:r w:rsidR="00F962E1" w:rsidRPr="004C2412">
        <w:t xml:space="preserve">, from complying with their requirements. Exemptions </w:t>
      </w:r>
      <w:proofErr w:type="gramStart"/>
      <w:r w:rsidR="00F962E1" w:rsidRPr="004C2412">
        <w:t>are granted</w:t>
      </w:r>
      <w:proofErr w:type="gramEnd"/>
      <w:r w:rsidR="00F962E1" w:rsidRPr="004C2412">
        <w:t xml:space="preserve"> if the job seeker does not have the capacity to undertake mutual obligation requirements due to the impact of personal or other circumstances beyond their control (e.g. temporary medical incapacity). Job seekers do not have to </w:t>
      </w:r>
      <w:r w:rsidR="0027383C" w:rsidRPr="004C2412">
        <w:t>use</w:t>
      </w:r>
      <w:r w:rsidR="00F962E1" w:rsidRPr="004C2412">
        <w:t xml:space="preserve"> employment services for the duration of their exemption.</w:t>
      </w:r>
    </w:p>
    <w:p w14:paraId="36091B7E" w14:textId="3A544BF3" w:rsidR="007C25E4" w:rsidRPr="004C2412" w:rsidRDefault="007C25E4" w:rsidP="00A609AA">
      <w:pPr>
        <w:ind w:left="0"/>
      </w:pPr>
      <w:r w:rsidRPr="004C2412">
        <w:rPr>
          <w:b/>
        </w:rPr>
        <w:t xml:space="preserve">The Department of Human Services </w:t>
      </w:r>
      <w:r w:rsidRPr="004C2412">
        <w:t>– From 1 July 2011, Centrelink became part of the Department of Human Services. Data releases dated prior to 1 July 2011 may refer to Centrelink instead of the Department of Human Services.</w:t>
      </w:r>
    </w:p>
    <w:p w14:paraId="36091B7F" w14:textId="6817AB5D" w:rsidR="00376D9F" w:rsidRPr="004C2412" w:rsidRDefault="002C6688" w:rsidP="00A609AA">
      <w:pPr>
        <w:ind w:left="0"/>
      </w:pPr>
      <w:r w:rsidRPr="004C2412">
        <w:rPr>
          <w:b/>
        </w:rPr>
        <w:t>Total job seekers</w:t>
      </w:r>
      <w:r w:rsidRPr="004C2412">
        <w:t xml:space="preserve"> -</w:t>
      </w:r>
      <w:r w:rsidR="0027383C" w:rsidRPr="004C2412">
        <w:t xml:space="preserve"> are all people receiving an income support payment with mutual obligation requirements (but excluding recipients of Disability Support pension). It comprises ‘Active job seekers’ who currently need to use employment services (i.e. jobactive, Disability Employment Services (DES), the Community Development Programme (CDP) or the Transition to Work (TTW) Service), as well as ‘Other job seekers’ who have a ‘Temporary exemption’, ‘Reduced work capacity’ or are und</w:t>
      </w:r>
      <w:r w:rsidR="00F65699" w:rsidRPr="004C2412">
        <w:t>ertaking an ‘Approved activity’.</w:t>
      </w:r>
    </w:p>
    <w:p w14:paraId="36091B80" w14:textId="72B3CC87" w:rsidR="007C25E4" w:rsidRPr="004C2412" w:rsidRDefault="007C25E4" w:rsidP="00A609AA">
      <w:pPr>
        <w:ind w:left="0"/>
      </w:pPr>
      <w:r w:rsidRPr="004C2412">
        <w:rPr>
          <w:b/>
        </w:rPr>
        <w:t>Transport difficulties -</w:t>
      </w:r>
      <w:r w:rsidRPr="004C2412">
        <w:t xml:space="preserve"> means that the Department of Human Services determined unforeseeable transport difficulties prevented the job seeker from complying with the requirement (for example, a car breaking down or public transport services being cancelled or disrupted).</w:t>
      </w:r>
    </w:p>
    <w:p w14:paraId="36091B81" w14:textId="77B8AFDC" w:rsidR="007C25E4" w:rsidRPr="004C2412" w:rsidRDefault="007C25E4" w:rsidP="00A609AA">
      <w:pPr>
        <w:ind w:left="0"/>
      </w:pPr>
      <w:r w:rsidRPr="004C2412">
        <w:rPr>
          <w:b/>
        </w:rPr>
        <w:t xml:space="preserve">Valid reason </w:t>
      </w:r>
      <w:r w:rsidRPr="004C2412">
        <w:t>- means that the provider considers the job seeker had a reasonable excuse for not attending the appointment.</w:t>
      </w:r>
    </w:p>
    <w:p w14:paraId="36091B82" w14:textId="16A558D2" w:rsidR="007C25E4" w:rsidRPr="004C2412" w:rsidRDefault="007C25E4" w:rsidP="00A609AA">
      <w:pPr>
        <w:ind w:left="0"/>
      </w:pPr>
      <w:r w:rsidRPr="004C2412">
        <w:rPr>
          <w:b/>
        </w:rPr>
        <w:t xml:space="preserve">Vulnerability </w:t>
      </w:r>
      <w:r w:rsidR="00A24D72" w:rsidRPr="004C2412">
        <w:rPr>
          <w:b/>
        </w:rPr>
        <w:t>Indicator</w:t>
      </w:r>
      <w:r w:rsidRPr="004C2412">
        <w:t xml:space="preserve">- means that a job seeker has a diagnosed condition or personal circumstance (e.g. homelessness, mental illness) that may currently </w:t>
      </w:r>
      <w:proofErr w:type="gramStart"/>
      <w:r w:rsidRPr="004C2412">
        <w:t>impact on</w:t>
      </w:r>
      <w:proofErr w:type="gramEnd"/>
      <w:r w:rsidRPr="004C2412">
        <w:t xml:space="preserve"> thei</w:t>
      </w:r>
      <w:r w:rsidR="00865387" w:rsidRPr="004C2412">
        <w:t>r capacity to comply with activity test</w:t>
      </w:r>
      <w:r w:rsidRPr="004C2412">
        <w:t xml:space="preserve"> requirements, although it does not exempt a job seeker from these requirements.</w:t>
      </w:r>
    </w:p>
    <w:p w14:paraId="2AD62FC6" w14:textId="1629027A" w:rsidR="00155D0F" w:rsidRPr="004C2412" w:rsidRDefault="00F02E7D" w:rsidP="00A609AA">
      <w:pPr>
        <w:ind w:left="0"/>
      </w:pPr>
      <w:r w:rsidRPr="004C2412">
        <w:rPr>
          <w:b/>
        </w:rPr>
        <w:t xml:space="preserve">YAL </w:t>
      </w:r>
      <w:r w:rsidRPr="004C2412">
        <w:t>- Youth Allowance</w:t>
      </w:r>
      <w:r w:rsidR="00F65699" w:rsidRPr="004C2412">
        <w:t>.</w:t>
      </w:r>
      <w:r w:rsidRPr="004C2412">
        <w:t xml:space="preserve"> </w:t>
      </w:r>
    </w:p>
    <w:p w14:paraId="36091B83" w14:textId="008BD830" w:rsidR="005A3646" w:rsidRPr="004C2412" w:rsidRDefault="005A3646" w:rsidP="00A609AA">
      <w:pPr>
        <w:ind w:left="0"/>
      </w:pPr>
      <w:r w:rsidRPr="004C2412">
        <w:rPr>
          <w:b/>
        </w:rPr>
        <w:t xml:space="preserve">Notes: </w:t>
      </w:r>
    </w:p>
    <w:p w14:paraId="36091B84" w14:textId="540034CC" w:rsidR="005A3646" w:rsidRPr="004C2412" w:rsidRDefault="005A3646" w:rsidP="00A609AA">
      <w:pPr>
        <w:ind w:left="0"/>
      </w:pPr>
      <w:proofErr w:type="gramStart"/>
      <w:r w:rsidRPr="004C2412">
        <w:t xml:space="preserve">The above tables show all compliance actions that were applied or finalised during the </w:t>
      </w:r>
      <w:r w:rsidR="0078760E">
        <w:t>fourth</w:t>
      </w:r>
      <w:r w:rsidR="0078760E" w:rsidRPr="004C2412">
        <w:t xml:space="preserve"> </w:t>
      </w:r>
      <w:r w:rsidRPr="004C2412">
        <w:t xml:space="preserve">quarter of the </w:t>
      </w:r>
      <w:r w:rsidR="00000A13" w:rsidRPr="004C2412">
        <w:t>201</w:t>
      </w:r>
      <w:r w:rsidR="005124E5" w:rsidRPr="004C2412">
        <w:t>7</w:t>
      </w:r>
      <w:r w:rsidR="009D5107" w:rsidRPr="004C2412">
        <w:t xml:space="preserve"> - </w:t>
      </w:r>
      <w:r w:rsidR="009361D3" w:rsidRPr="004C2412">
        <w:t>1</w:t>
      </w:r>
      <w:r w:rsidR="005124E5" w:rsidRPr="004C2412">
        <w:t>8</w:t>
      </w:r>
      <w:r w:rsidRPr="004C2412">
        <w:t xml:space="preserve"> financial year (i.e. applied/finalised in the period </w:t>
      </w:r>
      <w:r w:rsidR="00390C8B" w:rsidRPr="004C2412">
        <w:t>1/</w:t>
      </w:r>
      <w:r w:rsidR="00797272">
        <w:t>4</w:t>
      </w:r>
      <w:r w:rsidR="00390C8B" w:rsidRPr="004C2412">
        <w:t>/201</w:t>
      </w:r>
      <w:r w:rsidR="004C2412" w:rsidRPr="004C2412">
        <w:t>8</w:t>
      </w:r>
      <w:r w:rsidR="00390C8B" w:rsidRPr="004C2412">
        <w:t xml:space="preserve"> </w:t>
      </w:r>
      <w:r w:rsidR="009A3511" w:rsidRPr="004C2412">
        <w:t>–</w:t>
      </w:r>
      <w:r w:rsidR="00390C8B" w:rsidRPr="004C2412">
        <w:t xml:space="preserve"> </w:t>
      </w:r>
      <w:r w:rsidR="004C2412" w:rsidRPr="004C2412">
        <w:t>3</w:t>
      </w:r>
      <w:r w:rsidR="00797272">
        <w:t>0</w:t>
      </w:r>
      <w:r w:rsidR="004C2412" w:rsidRPr="004C2412">
        <w:t>/</w:t>
      </w:r>
      <w:r w:rsidR="00797272">
        <w:t>06</w:t>
      </w:r>
      <w:r w:rsidR="00272E0B" w:rsidRPr="004C2412">
        <w:t>/</w:t>
      </w:r>
      <w:r w:rsidR="002349C7" w:rsidRPr="004C2412">
        <w:t>2</w:t>
      </w:r>
      <w:r w:rsidR="00D458D7" w:rsidRPr="004C2412">
        <w:t>01</w:t>
      </w:r>
      <w:r w:rsidR="004C2412" w:rsidRPr="004C2412">
        <w:t>8</w:t>
      </w:r>
      <w:r w:rsidR="00390C8B" w:rsidRPr="004C2412">
        <w:t xml:space="preserve"> </w:t>
      </w:r>
      <w:r w:rsidRPr="004C2412">
        <w:t xml:space="preserve">inclusive) </w:t>
      </w:r>
      <w:r w:rsidR="00443621">
        <w:t xml:space="preserve">or during the 2017-18 financial year (i.e. applied/finalised in the period 1/7/17 – 30/6/18 inclusive) </w:t>
      </w:r>
      <w:r w:rsidRPr="004C2412">
        <w:t xml:space="preserve">and not under review, revoked or otherwise overturned as at </w:t>
      </w:r>
      <w:r w:rsidR="004C2412" w:rsidRPr="004C2412">
        <w:t>14</w:t>
      </w:r>
      <w:r w:rsidR="005124E5" w:rsidRPr="004C2412">
        <w:t xml:space="preserve"> </w:t>
      </w:r>
      <w:r w:rsidR="00797272">
        <w:t xml:space="preserve">August </w:t>
      </w:r>
      <w:r w:rsidR="002349C7" w:rsidRPr="004C2412">
        <w:t>2018</w:t>
      </w:r>
      <w:r w:rsidRPr="004C2412">
        <w:t>.</w:t>
      </w:r>
      <w:proofErr w:type="gramEnd"/>
      <w:r w:rsidRPr="004C2412">
        <w:t xml:space="preserve"> This lag is to allow for revie</w:t>
      </w:r>
      <w:r w:rsidR="00680E4C" w:rsidRPr="004C2412">
        <w:t>ws and appeals to be finalised.</w:t>
      </w:r>
    </w:p>
    <w:p w14:paraId="36091B85" w14:textId="7BF54D95" w:rsidR="005A3646" w:rsidRPr="004C2412" w:rsidRDefault="005A3646" w:rsidP="00A609AA">
      <w:pPr>
        <w:ind w:left="0"/>
      </w:pPr>
      <w:r w:rsidRPr="004C2412">
        <w:t xml:space="preserve">The tables </w:t>
      </w:r>
      <w:r w:rsidR="00D93365" w:rsidRPr="004C2412">
        <w:t xml:space="preserve">in Part B </w:t>
      </w:r>
      <w:r w:rsidRPr="004C2412">
        <w:t>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14:paraId="36091B86" w14:textId="320F07FD" w:rsidR="005A3646" w:rsidRPr="004C2412" w:rsidRDefault="005A3646" w:rsidP="00A609AA">
      <w:pPr>
        <w:ind w:left="0"/>
      </w:pPr>
      <w:r w:rsidRPr="004C2412">
        <w:t xml:space="preserve">The Allowance Type breakdown refers to the payment type that a job seeker was in receipt of at the time of </w:t>
      </w:r>
      <w:r w:rsidR="00D93365" w:rsidRPr="004C2412">
        <w:t xml:space="preserve">the compliance action i.e. </w:t>
      </w:r>
      <w:proofErr w:type="spellStart"/>
      <w:r w:rsidR="00D93365" w:rsidRPr="004C2412">
        <w:t>News</w:t>
      </w:r>
      <w:r w:rsidRPr="004C2412">
        <w:t>tart</w:t>
      </w:r>
      <w:proofErr w:type="spellEnd"/>
      <w:r w:rsidRPr="004C2412">
        <w:t xml:space="preserve"> Allowanc</w:t>
      </w:r>
      <w:r w:rsidR="00E14382" w:rsidRPr="004C2412">
        <w:t xml:space="preserve">e (NSA), Youth Allowance (YAL) </w:t>
      </w:r>
      <w:r w:rsidRPr="004C2412">
        <w:t>&amp; Parenting Payment Single (PPS).</w:t>
      </w:r>
    </w:p>
    <w:p w14:paraId="36091B87" w14:textId="1E5F00B9" w:rsidR="005A3646" w:rsidRPr="004C2412" w:rsidRDefault="005A3646" w:rsidP="00A609AA">
      <w:pPr>
        <w:ind w:left="0"/>
      </w:pPr>
      <w:r w:rsidRPr="004C2412">
        <w:t>Where very small numbers of compliance a</w:t>
      </w:r>
      <w:r w:rsidR="00972D98" w:rsidRPr="004C2412">
        <w:t xml:space="preserve">ctions (less than </w:t>
      </w:r>
      <w:r w:rsidR="002602C9" w:rsidRPr="004C2412">
        <w:t>5</w:t>
      </w:r>
      <w:r w:rsidRPr="004C2412">
        <w:t xml:space="preserve">) of a particular type occur, the actual number </w:t>
      </w:r>
      <w:proofErr w:type="gramStart"/>
      <w:r w:rsidRPr="004C2412">
        <w:t>is not published</w:t>
      </w:r>
      <w:proofErr w:type="gramEnd"/>
      <w:r w:rsidRPr="004C2412">
        <w:t>.</w:t>
      </w:r>
      <w:r w:rsidR="00972D98" w:rsidRPr="004C2412">
        <w:t xml:space="preserve"> An </w:t>
      </w:r>
      <w:r w:rsidR="000158E9">
        <w:t>‘</w:t>
      </w:r>
      <w:r w:rsidR="000158E9" w:rsidRPr="000158E9">
        <w:rPr>
          <w:i/>
        </w:rPr>
        <w:t>np</w:t>
      </w:r>
      <w:r w:rsidR="000158E9">
        <w:t>’</w:t>
      </w:r>
      <w:r w:rsidR="00972D98" w:rsidRPr="004C2412">
        <w:t xml:space="preserve"> is used where the &lt;</w:t>
      </w:r>
      <w:proofErr w:type="gramStart"/>
      <w:r w:rsidR="002602C9" w:rsidRPr="004C2412">
        <w:t>5</w:t>
      </w:r>
      <w:proofErr w:type="gramEnd"/>
      <w:r w:rsidR="001B1FD7" w:rsidRPr="004C2412">
        <w:t xml:space="preserve"> can be derived through totals or other values.</w:t>
      </w:r>
      <w:r w:rsidR="00FB7040" w:rsidRPr="004C2412">
        <w:t xml:space="preserve"> </w:t>
      </w:r>
    </w:p>
    <w:p w14:paraId="36091B88" w14:textId="3D39CC35" w:rsidR="005A3646" w:rsidRPr="004C2412" w:rsidRDefault="005A3646" w:rsidP="00A609AA">
      <w:pPr>
        <w:ind w:left="0"/>
      </w:pPr>
      <w:r w:rsidRPr="004C2412">
        <w:t>Many of the tables include financial year to date figures</w:t>
      </w:r>
      <w:r w:rsidR="00D93365" w:rsidRPr="004C2412">
        <w:t>. H</w:t>
      </w:r>
      <w:r w:rsidRPr="004C2412">
        <w:t>owever</w:t>
      </w:r>
      <w:r w:rsidR="00D93365" w:rsidRPr="004C2412">
        <w:t>,</w:t>
      </w:r>
      <w:r w:rsidRPr="004C2412">
        <w:t xml:space="preserve"> </w:t>
      </w:r>
      <w:proofErr w:type="gramStart"/>
      <w:r w:rsidRPr="004C2412">
        <w:t>there are some tables that</w:t>
      </w:r>
      <w:proofErr w:type="gramEnd"/>
      <w:r w:rsidRPr="004C2412">
        <w:t xml:space="preserve"> do not include financial year to date figures due to the way the data is captured.</w:t>
      </w:r>
    </w:p>
    <w:p w14:paraId="36091B89" w14:textId="11D3E26D" w:rsidR="005A3646" w:rsidRPr="00FB63AD" w:rsidRDefault="005A3646" w:rsidP="00A609AA">
      <w:pPr>
        <w:ind w:left="0"/>
      </w:pPr>
      <w:r w:rsidRPr="004C2412">
        <w:t xml:space="preserve">This data </w:t>
      </w:r>
      <w:proofErr w:type="gramStart"/>
      <w:r w:rsidRPr="004C2412">
        <w:t>was extracted</w:t>
      </w:r>
      <w:proofErr w:type="gramEnd"/>
      <w:r w:rsidRPr="004C2412">
        <w:t xml:space="preserve"> by the Department of </w:t>
      </w:r>
      <w:r w:rsidR="00E14382" w:rsidRPr="004C2412">
        <w:t>Social Services, sourcing information through</w:t>
      </w:r>
      <w:r w:rsidRPr="004C2412">
        <w:t xml:space="preserve"> the </w:t>
      </w:r>
      <w:r w:rsidR="008A670E" w:rsidRPr="004C2412">
        <w:t xml:space="preserve">Employment </w:t>
      </w:r>
      <w:r w:rsidR="00E14382" w:rsidRPr="004C2412">
        <w:t>Business Intelligence Warehouse</w:t>
      </w:r>
      <w:r w:rsidRPr="004C2412">
        <w:t>.</w:t>
      </w:r>
    </w:p>
    <w:sectPr w:rsidR="005A3646" w:rsidRPr="00FB63AD" w:rsidSect="00763831">
      <w:pgSz w:w="16838" w:h="11906" w:orient="landscape"/>
      <w:pgMar w:top="142" w:right="962" w:bottom="720"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91B8C" w14:textId="77777777" w:rsidR="006709E8" w:rsidRDefault="006709E8" w:rsidP="00C7637E">
      <w:pPr>
        <w:spacing w:before="0" w:after="0" w:line="240" w:lineRule="auto"/>
      </w:pPr>
      <w:r>
        <w:separator/>
      </w:r>
    </w:p>
  </w:endnote>
  <w:endnote w:type="continuationSeparator" w:id="0">
    <w:p w14:paraId="36091B8D" w14:textId="77777777" w:rsidR="006709E8" w:rsidRDefault="006709E8" w:rsidP="00C76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592015"/>
      <w:docPartObj>
        <w:docPartGallery w:val="Page Numbers (Bottom of Page)"/>
        <w:docPartUnique/>
      </w:docPartObj>
    </w:sdtPr>
    <w:sdtEndPr/>
    <w:sdtContent>
      <w:p w14:paraId="65311657" w14:textId="59E33F30" w:rsidR="006709E8" w:rsidRDefault="006709E8">
        <w:pPr>
          <w:pStyle w:val="Footer"/>
          <w:jc w:val="right"/>
        </w:pPr>
        <w:r>
          <w:t xml:space="preserve">Page | </w:t>
        </w:r>
        <w:r>
          <w:fldChar w:fldCharType="begin"/>
        </w:r>
        <w:r>
          <w:instrText xml:space="preserve"> PAGE   \* MERGEFORMAT </w:instrText>
        </w:r>
        <w:r>
          <w:fldChar w:fldCharType="separate"/>
        </w:r>
        <w:r w:rsidR="00D85615">
          <w:rPr>
            <w:noProof/>
          </w:rPr>
          <w:t>2</w:t>
        </w:r>
        <w:r>
          <w:rPr>
            <w:noProof/>
          </w:rPr>
          <w:fldChar w:fldCharType="end"/>
        </w:r>
        <w:r>
          <w:t xml:space="preserve"> </w:t>
        </w:r>
      </w:p>
    </w:sdtContent>
  </w:sdt>
  <w:p w14:paraId="23FE4351" w14:textId="77777777" w:rsidR="006709E8" w:rsidRDefault="00670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91B8A" w14:textId="77777777" w:rsidR="006709E8" w:rsidRDefault="006709E8" w:rsidP="00C7637E">
      <w:pPr>
        <w:spacing w:before="0" w:after="0" w:line="240" w:lineRule="auto"/>
      </w:pPr>
      <w:r>
        <w:separator/>
      </w:r>
    </w:p>
  </w:footnote>
  <w:footnote w:type="continuationSeparator" w:id="0">
    <w:p w14:paraId="36091B8B" w14:textId="77777777" w:rsidR="006709E8" w:rsidRDefault="006709E8" w:rsidP="00C763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91B91" w14:textId="77777777" w:rsidR="006709E8" w:rsidRPr="00B10E31" w:rsidRDefault="006709E8" w:rsidP="005F668D">
    <w:pPr>
      <w:pStyle w:val="Header"/>
      <w:tabs>
        <w:tab w:val="left" w:pos="3177"/>
        <w:tab w:val="right" w:pos="14884"/>
      </w:tabs>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7EDA"/>
    <w:multiLevelType w:val="hybridMultilevel"/>
    <w:tmpl w:val="90EC3E34"/>
    <w:lvl w:ilvl="0" w:tplc="C3B8FF58">
      <w:numFmt w:val="bullet"/>
      <w:lvlText w:val="•"/>
      <w:lvlJc w:val="left"/>
      <w:pPr>
        <w:ind w:left="2159" w:hanging="435"/>
      </w:pPr>
      <w:rPr>
        <w:rFonts w:ascii="Gill Sans MT" w:eastAsiaTheme="minorHAnsi" w:hAnsi="Gill Sans MT" w:cstheme="minorBidi" w:hint="default"/>
      </w:rPr>
    </w:lvl>
    <w:lvl w:ilvl="1" w:tplc="0C090003" w:tentative="1">
      <w:start w:val="1"/>
      <w:numFmt w:val="bullet"/>
      <w:lvlText w:val="o"/>
      <w:lvlJc w:val="left"/>
      <w:pPr>
        <w:ind w:left="2804" w:hanging="360"/>
      </w:pPr>
      <w:rPr>
        <w:rFonts w:ascii="Courier New" w:hAnsi="Courier New" w:cs="Courier New" w:hint="default"/>
      </w:rPr>
    </w:lvl>
    <w:lvl w:ilvl="2" w:tplc="0C090005" w:tentative="1">
      <w:start w:val="1"/>
      <w:numFmt w:val="bullet"/>
      <w:lvlText w:val=""/>
      <w:lvlJc w:val="left"/>
      <w:pPr>
        <w:ind w:left="3524" w:hanging="360"/>
      </w:pPr>
      <w:rPr>
        <w:rFonts w:ascii="Wingdings" w:hAnsi="Wingdings" w:hint="default"/>
      </w:rPr>
    </w:lvl>
    <w:lvl w:ilvl="3" w:tplc="0C090001" w:tentative="1">
      <w:start w:val="1"/>
      <w:numFmt w:val="bullet"/>
      <w:lvlText w:val=""/>
      <w:lvlJc w:val="left"/>
      <w:pPr>
        <w:ind w:left="4244" w:hanging="360"/>
      </w:pPr>
      <w:rPr>
        <w:rFonts w:ascii="Symbol" w:hAnsi="Symbol" w:hint="default"/>
      </w:rPr>
    </w:lvl>
    <w:lvl w:ilvl="4" w:tplc="0C090003" w:tentative="1">
      <w:start w:val="1"/>
      <w:numFmt w:val="bullet"/>
      <w:lvlText w:val="o"/>
      <w:lvlJc w:val="left"/>
      <w:pPr>
        <w:ind w:left="4964" w:hanging="360"/>
      </w:pPr>
      <w:rPr>
        <w:rFonts w:ascii="Courier New" w:hAnsi="Courier New" w:cs="Courier New" w:hint="default"/>
      </w:rPr>
    </w:lvl>
    <w:lvl w:ilvl="5" w:tplc="0C090005" w:tentative="1">
      <w:start w:val="1"/>
      <w:numFmt w:val="bullet"/>
      <w:lvlText w:val=""/>
      <w:lvlJc w:val="left"/>
      <w:pPr>
        <w:ind w:left="5684" w:hanging="360"/>
      </w:pPr>
      <w:rPr>
        <w:rFonts w:ascii="Wingdings" w:hAnsi="Wingdings" w:hint="default"/>
      </w:rPr>
    </w:lvl>
    <w:lvl w:ilvl="6" w:tplc="0C090001" w:tentative="1">
      <w:start w:val="1"/>
      <w:numFmt w:val="bullet"/>
      <w:lvlText w:val=""/>
      <w:lvlJc w:val="left"/>
      <w:pPr>
        <w:ind w:left="6404" w:hanging="360"/>
      </w:pPr>
      <w:rPr>
        <w:rFonts w:ascii="Symbol" w:hAnsi="Symbol" w:hint="default"/>
      </w:rPr>
    </w:lvl>
    <w:lvl w:ilvl="7" w:tplc="0C090003" w:tentative="1">
      <w:start w:val="1"/>
      <w:numFmt w:val="bullet"/>
      <w:lvlText w:val="o"/>
      <w:lvlJc w:val="left"/>
      <w:pPr>
        <w:ind w:left="7124" w:hanging="360"/>
      </w:pPr>
      <w:rPr>
        <w:rFonts w:ascii="Courier New" w:hAnsi="Courier New" w:cs="Courier New" w:hint="default"/>
      </w:rPr>
    </w:lvl>
    <w:lvl w:ilvl="8" w:tplc="0C090005" w:tentative="1">
      <w:start w:val="1"/>
      <w:numFmt w:val="bullet"/>
      <w:lvlText w:val=""/>
      <w:lvlJc w:val="left"/>
      <w:pPr>
        <w:ind w:left="7844" w:hanging="360"/>
      </w:pPr>
      <w:rPr>
        <w:rFonts w:ascii="Wingdings" w:hAnsi="Wingdings" w:hint="default"/>
      </w:rPr>
    </w:lvl>
  </w:abstractNum>
  <w:abstractNum w:abstractNumId="1" w15:restartNumberingAfterBreak="0">
    <w:nsid w:val="0D0232A9"/>
    <w:multiLevelType w:val="hybridMultilevel"/>
    <w:tmpl w:val="95882D9C"/>
    <w:lvl w:ilvl="0" w:tplc="46BE7090">
      <w:start w:val="1"/>
      <w:numFmt w:val="lowerLetter"/>
      <w:pStyle w:val="Heading3"/>
      <w:lvlText w:val="%1."/>
      <w:lvlJc w:val="left"/>
      <w:pPr>
        <w:ind w:left="100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15:restartNumberingAfterBreak="0">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15:restartNumberingAfterBreak="0">
    <w:nsid w:val="31DA44F9"/>
    <w:multiLevelType w:val="hybridMultilevel"/>
    <w:tmpl w:val="6DD05218"/>
    <w:lvl w:ilvl="0" w:tplc="CF14E48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5" w15:restartNumberingAfterBreak="0">
    <w:nsid w:val="39756A7A"/>
    <w:multiLevelType w:val="hybridMultilevel"/>
    <w:tmpl w:val="3A7E3B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6D40257"/>
    <w:multiLevelType w:val="hybridMultilevel"/>
    <w:tmpl w:val="FEF0EF58"/>
    <w:lvl w:ilvl="0" w:tplc="CF14E480">
      <w:start w:val="1"/>
      <w:numFmt w:val="bullet"/>
      <w:lvlText w:val=""/>
      <w:lvlJc w:val="left"/>
      <w:pPr>
        <w:ind w:left="1003" w:hanging="360"/>
      </w:pPr>
      <w:rPr>
        <w:rFonts w:ascii="Symbol" w:hAnsi="Symbol" w:hint="default"/>
      </w:rPr>
    </w:lvl>
    <w:lvl w:ilvl="1" w:tplc="0C090003" w:tentative="1">
      <w:start w:val="1"/>
      <w:numFmt w:val="bullet"/>
      <w:lvlText w:val="o"/>
      <w:lvlJc w:val="left"/>
      <w:pPr>
        <w:ind w:left="1723" w:hanging="360"/>
      </w:pPr>
      <w:rPr>
        <w:rFonts w:ascii="Courier New" w:hAnsi="Courier New" w:cs="Courier New" w:hint="default"/>
      </w:rPr>
    </w:lvl>
    <w:lvl w:ilvl="2" w:tplc="0C090005" w:tentative="1">
      <w:start w:val="1"/>
      <w:numFmt w:val="bullet"/>
      <w:lvlText w:val=""/>
      <w:lvlJc w:val="left"/>
      <w:pPr>
        <w:ind w:left="2443" w:hanging="360"/>
      </w:pPr>
      <w:rPr>
        <w:rFonts w:ascii="Wingdings" w:hAnsi="Wingdings" w:hint="default"/>
      </w:rPr>
    </w:lvl>
    <w:lvl w:ilvl="3" w:tplc="0C090001" w:tentative="1">
      <w:start w:val="1"/>
      <w:numFmt w:val="bullet"/>
      <w:lvlText w:val=""/>
      <w:lvlJc w:val="left"/>
      <w:pPr>
        <w:ind w:left="3163" w:hanging="360"/>
      </w:pPr>
      <w:rPr>
        <w:rFonts w:ascii="Symbol" w:hAnsi="Symbol" w:hint="default"/>
      </w:rPr>
    </w:lvl>
    <w:lvl w:ilvl="4" w:tplc="0C090003" w:tentative="1">
      <w:start w:val="1"/>
      <w:numFmt w:val="bullet"/>
      <w:lvlText w:val="o"/>
      <w:lvlJc w:val="left"/>
      <w:pPr>
        <w:ind w:left="3883" w:hanging="360"/>
      </w:pPr>
      <w:rPr>
        <w:rFonts w:ascii="Courier New" w:hAnsi="Courier New" w:cs="Courier New" w:hint="default"/>
      </w:rPr>
    </w:lvl>
    <w:lvl w:ilvl="5" w:tplc="0C090005" w:tentative="1">
      <w:start w:val="1"/>
      <w:numFmt w:val="bullet"/>
      <w:lvlText w:val=""/>
      <w:lvlJc w:val="left"/>
      <w:pPr>
        <w:ind w:left="4603" w:hanging="360"/>
      </w:pPr>
      <w:rPr>
        <w:rFonts w:ascii="Wingdings" w:hAnsi="Wingdings" w:hint="default"/>
      </w:rPr>
    </w:lvl>
    <w:lvl w:ilvl="6" w:tplc="0C090001" w:tentative="1">
      <w:start w:val="1"/>
      <w:numFmt w:val="bullet"/>
      <w:lvlText w:val=""/>
      <w:lvlJc w:val="left"/>
      <w:pPr>
        <w:ind w:left="5323" w:hanging="360"/>
      </w:pPr>
      <w:rPr>
        <w:rFonts w:ascii="Symbol" w:hAnsi="Symbol" w:hint="default"/>
      </w:rPr>
    </w:lvl>
    <w:lvl w:ilvl="7" w:tplc="0C090003" w:tentative="1">
      <w:start w:val="1"/>
      <w:numFmt w:val="bullet"/>
      <w:lvlText w:val="o"/>
      <w:lvlJc w:val="left"/>
      <w:pPr>
        <w:ind w:left="6043" w:hanging="360"/>
      </w:pPr>
      <w:rPr>
        <w:rFonts w:ascii="Courier New" w:hAnsi="Courier New" w:cs="Courier New" w:hint="default"/>
      </w:rPr>
    </w:lvl>
    <w:lvl w:ilvl="8" w:tplc="0C090005" w:tentative="1">
      <w:start w:val="1"/>
      <w:numFmt w:val="bullet"/>
      <w:lvlText w:val=""/>
      <w:lvlJc w:val="left"/>
      <w:pPr>
        <w:ind w:left="6763" w:hanging="360"/>
      </w:pPr>
      <w:rPr>
        <w:rFonts w:ascii="Wingdings" w:hAnsi="Wingdings" w:hint="default"/>
      </w:rPr>
    </w:lvl>
  </w:abstractNum>
  <w:abstractNum w:abstractNumId="7" w15:restartNumberingAfterBreak="0">
    <w:nsid w:val="4F76347E"/>
    <w:multiLevelType w:val="hybridMultilevel"/>
    <w:tmpl w:val="1DB87378"/>
    <w:lvl w:ilvl="0" w:tplc="65F00200">
      <w:start w:val="6"/>
      <w:numFmt w:val="bullet"/>
      <w:lvlText w:val="-"/>
      <w:lvlJc w:val="left"/>
      <w:pPr>
        <w:ind w:left="720" w:hanging="360"/>
      </w:pPr>
      <w:rPr>
        <w:rFonts w:ascii="Gill Sans MT" w:eastAsia="Times New Roman" w:hAnsi="Gill Sans M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7553E9"/>
    <w:multiLevelType w:val="hybridMultilevel"/>
    <w:tmpl w:val="A580D08E"/>
    <w:lvl w:ilvl="0" w:tplc="B8D8C254">
      <w:numFmt w:val="bullet"/>
      <w:lvlText w:val="-"/>
      <w:lvlJc w:val="left"/>
      <w:pPr>
        <w:ind w:left="643" w:hanging="360"/>
      </w:pPr>
      <w:rPr>
        <w:rFonts w:ascii="Gill Sans MT" w:eastAsiaTheme="minorHAnsi" w:hAnsi="Gill Sans MT" w:cstheme="minorBidi"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9" w15:restartNumberingAfterBreak="0">
    <w:nsid w:val="63267BC7"/>
    <w:multiLevelType w:val="hybridMultilevel"/>
    <w:tmpl w:val="8D187A22"/>
    <w:lvl w:ilvl="0" w:tplc="CF14E480">
      <w:start w:val="1"/>
      <w:numFmt w:val="bullet"/>
      <w:lvlText w:val=""/>
      <w:lvlJc w:val="left"/>
      <w:pPr>
        <w:ind w:left="1503" w:hanging="360"/>
      </w:pPr>
      <w:rPr>
        <w:rFonts w:ascii="Symbol" w:hAnsi="Symbol" w:hint="default"/>
      </w:rPr>
    </w:lvl>
    <w:lvl w:ilvl="1" w:tplc="0C090003" w:tentative="1">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10" w15:restartNumberingAfterBreak="0">
    <w:nsid w:val="7A6006A5"/>
    <w:multiLevelType w:val="hybridMultilevel"/>
    <w:tmpl w:val="701C824E"/>
    <w:lvl w:ilvl="0" w:tplc="0C09000F">
      <w:start w:val="1"/>
      <w:numFmt w:val="decimal"/>
      <w:pStyle w:val="Heading2"/>
      <w:lvlText w:val="%1."/>
      <w:lvlJc w:val="left"/>
      <w:pPr>
        <w:ind w:left="927" w:hanging="360"/>
      </w:pPr>
      <w:rPr>
        <w:rFonts w:hint="default"/>
      </w:rPr>
    </w:lvl>
    <w:lvl w:ilvl="1" w:tplc="0C090019">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num w:numId="1">
    <w:abstractNumId w:val="10"/>
  </w:num>
  <w:num w:numId="2">
    <w:abstractNumId w:val="0"/>
  </w:num>
  <w:num w:numId="3">
    <w:abstractNumId w:val="2"/>
  </w:num>
  <w:num w:numId="4">
    <w:abstractNumId w:val="4"/>
  </w:num>
  <w:num w:numId="5">
    <w:abstractNumId w:val="9"/>
  </w:num>
  <w:num w:numId="6">
    <w:abstractNumId w:val="3"/>
  </w:num>
  <w:num w:numId="7">
    <w:abstractNumId w:val="5"/>
  </w:num>
  <w:num w:numId="8">
    <w:abstractNumId w:val="1"/>
  </w:num>
  <w:num w:numId="9">
    <w:abstractNumId w:val="7"/>
  </w:num>
  <w:num w:numId="10">
    <w:abstractNumId w:val="6"/>
  </w:num>
  <w:num w:numId="11">
    <w:abstractNumId w:val="8"/>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161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s>
  <w:rsids>
    <w:rsidRoot w:val="00003259"/>
    <w:rsid w:val="000000B5"/>
    <w:rsid w:val="00000A13"/>
    <w:rsid w:val="00001540"/>
    <w:rsid w:val="00001967"/>
    <w:rsid w:val="00003259"/>
    <w:rsid w:val="00007277"/>
    <w:rsid w:val="00010A81"/>
    <w:rsid w:val="00010AB5"/>
    <w:rsid w:val="0001211D"/>
    <w:rsid w:val="00012C2F"/>
    <w:rsid w:val="0001314D"/>
    <w:rsid w:val="000158E3"/>
    <w:rsid w:val="000158E9"/>
    <w:rsid w:val="000178B1"/>
    <w:rsid w:val="00022423"/>
    <w:rsid w:val="00023D5D"/>
    <w:rsid w:val="00024056"/>
    <w:rsid w:val="000242A2"/>
    <w:rsid w:val="00026E56"/>
    <w:rsid w:val="00030218"/>
    <w:rsid w:val="000315F1"/>
    <w:rsid w:val="00031C59"/>
    <w:rsid w:val="00033348"/>
    <w:rsid w:val="00033DF5"/>
    <w:rsid w:val="0003431F"/>
    <w:rsid w:val="00034DCA"/>
    <w:rsid w:val="00034EF4"/>
    <w:rsid w:val="00036B4A"/>
    <w:rsid w:val="00036D73"/>
    <w:rsid w:val="0004009F"/>
    <w:rsid w:val="00041A58"/>
    <w:rsid w:val="00041C6E"/>
    <w:rsid w:val="00043B1A"/>
    <w:rsid w:val="00044D26"/>
    <w:rsid w:val="000474CB"/>
    <w:rsid w:val="00052513"/>
    <w:rsid w:val="00052EA2"/>
    <w:rsid w:val="00053C13"/>
    <w:rsid w:val="00054BD6"/>
    <w:rsid w:val="0005523D"/>
    <w:rsid w:val="00055720"/>
    <w:rsid w:val="000564D1"/>
    <w:rsid w:val="000570A8"/>
    <w:rsid w:val="00060615"/>
    <w:rsid w:val="00063A1B"/>
    <w:rsid w:val="00064180"/>
    <w:rsid w:val="00065847"/>
    <w:rsid w:val="00066E69"/>
    <w:rsid w:val="00070530"/>
    <w:rsid w:val="0007155C"/>
    <w:rsid w:val="000736AD"/>
    <w:rsid w:val="00074775"/>
    <w:rsid w:val="000770FC"/>
    <w:rsid w:val="000817B9"/>
    <w:rsid w:val="00081E89"/>
    <w:rsid w:val="00081F87"/>
    <w:rsid w:val="00083309"/>
    <w:rsid w:val="00083B00"/>
    <w:rsid w:val="00084FA0"/>
    <w:rsid w:val="0008643E"/>
    <w:rsid w:val="00090D52"/>
    <w:rsid w:val="0009269F"/>
    <w:rsid w:val="000929BD"/>
    <w:rsid w:val="00092B18"/>
    <w:rsid w:val="00092D51"/>
    <w:rsid w:val="000934DA"/>
    <w:rsid w:val="00093804"/>
    <w:rsid w:val="00094E0F"/>
    <w:rsid w:val="00094EDD"/>
    <w:rsid w:val="00095D92"/>
    <w:rsid w:val="00096968"/>
    <w:rsid w:val="000A2CE6"/>
    <w:rsid w:val="000A3F25"/>
    <w:rsid w:val="000A4474"/>
    <w:rsid w:val="000A4899"/>
    <w:rsid w:val="000A7452"/>
    <w:rsid w:val="000B00B7"/>
    <w:rsid w:val="000B257F"/>
    <w:rsid w:val="000B28B7"/>
    <w:rsid w:val="000B310D"/>
    <w:rsid w:val="000B4AEF"/>
    <w:rsid w:val="000B68D8"/>
    <w:rsid w:val="000C02DB"/>
    <w:rsid w:val="000C091E"/>
    <w:rsid w:val="000C1C5A"/>
    <w:rsid w:val="000C2CC1"/>
    <w:rsid w:val="000C4253"/>
    <w:rsid w:val="000C551E"/>
    <w:rsid w:val="000C5CB6"/>
    <w:rsid w:val="000D0FBC"/>
    <w:rsid w:val="000D4B34"/>
    <w:rsid w:val="000D5E93"/>
    <w:rsid w:val="000D7376"/>
    <w:rsid w:val="000E3DF4"/>
    <w:rsid w:val="000E3F32"/>
    <w:rsid w:val="000E4CAA"/>
    <w:rsid w:val="000E5096"/>
    <w:rsid w:val="000E5927"/>
    <w:rsid w:val="000F2357"/>
    <w:rsid w:val="000F2F9C"/>
    <w:rsid w:val="000F5AB0"/>
    <w:rsid w:val="000F6F73"/>
    <w:rsid w:val="000F71D3"/>
    <w:rsid w:val="001010B4"/>
    <w:rsid w:val="0010116A"/>
    <w:rsid w:val="001018A1"/>
    <w:rsid w:val="00102FF4"/>
    <w:rsid w:val="00104CB3"/>
    <w:rsid w:val="00106C5C"/>
    <w:rsid w:val="001112BC"/>
    <w:rsid w:val="00111B9F"/>
    <w:rsid w:val="00111DBF"/>
    <w:rsid w:val="00112355"/>
    <w:rsid w:val="001124F7"/>
    <w:rsid w:val="00113864"/>
    <w:rsid w:val="00113A47"/>
    <w:rsid w:val="00113BEF"/>
    <w:rsid w:val="00113E2B"/>
    <w:rsid w:val="00115666"/>
    <w:rsid w:val="00116D06"/>
    <w:rsid w:val="00117B2B"/>
    <w:rsid w:val="00117C27"/>
    <w:rsid w:val="001201E4"/>
    <w:rsid w:val="00122730"/>
    <w:rsid w:val="001243B0"/>
    <w:rsid w:val="00124ADD"/>
    <w:rsid w:val="00124ED6"/>
    <w:rsid w:val="00125577"/>
    <w:rsid w:val="0012559F"/>
    <w:rsid w:val="00126458"/>
    <w:rsid w:val="00127D89"/>
    <w:rsid w:val="00131442"/>
    <w:rsid w:val="001333AA"/>
    <w:rsid w:val="001338FF"/>
    <w:rsid w:val="00134221"/>
    <w:rsid w:val="001347AD"/>
    <w:rsid w:val="00134FC7"/>
    <w:rsid w:val="00135D0E"/>
    <w:rsid w:val="0013652F"/>
    <w:rsid w:val="00137F21"/>
    <w:rsid w:val="0014305B"/>
    <w:rsid w:val="00143BD5"/>
    <w:rsid w:val="0014655B"/>
    <w:rsid w:val="0014688F"/>
    <w:rsid w:val="00147817"/>
    <w:rsid w:val="001523BE"/>
    <w:rsid w:val="00152AF5"/>
    <w:rsid w:val="00153BC2"/>
    <w:rsid w:val="00153D93"/>
    <w:rsid w:val="00154E49"/>
    <w:rsid w:val="00155D0F"/>
    <w:rsid w:val="00160B1A"/>
    <w:rsid w:val="00163A63"/>
    <w:rsid w:val="00165278"/>
    <w:rsid w:val="00165363"/>
    <w:rsid w:val="001655D5"/>
    <w:rsid w:val="00166CCE"/>
    <w:rsid w:val="00174B14"/>
    <w:rsid w:val="001752BB"/>
    <w:rsid w:val="00175324"/>
    <w:rsid w:val="00176227"/>
    <w:rsid w:val="0017743D"/>
    <w:rsid w:val="001774BF"/>
    <w:rsid w:val="00182485"/>
    <w:rsid w:val="001833F0"/>
    <w:rsid w:val="001840B1"/>
    <w:rsid w:val="00184512"/>
    <w:rsid w:val="0018480E"/>
    <w:rsid w:val="00187AE6"/>
    <w:rsid w:val="00190075"/>
    <w:rsid w:val="00191253"/>
    <w:rsid w:val="001913B1"/>
    <w:rsid w:val="00192406"/>
    <w:rsid w:val="0019245D"/>
    <w:rsid w:val="00194B57"/>
    <w:rsid w:val="00195891"/>
    <w:rsid w:val="00196726"/>
    <w:rsid w:val="001969A2"/>
    <w:rsid w:val="001975E9"/>
    <w:rsid w:val="001A09B7"/>
    <w:rsid w:val="001A0D0F"/>
    <w:rsid w:val="001A3D82"/>
    <w:rsid w:val="001A5299"/>
    <w:rsid w:val="001A796B"/>
    <w:rsid w:val="001A7B9B"/>
    <w:rsid w:val="001B0F63"/>
    <w:rsid w:val="001B11E6"/>
    <w:rsid w:val="001B1FD7"/>
    <w:rsid w:val="001B2619"/>
    <w:rsid w:val="001B3BF6"/>
    <w:rsid w:val="001B41E2"/>
    <w:rsid w:val="001B48D1"/>
    <w:rsid w:val="001B5065"/>
    <w:rsid w:val="001B5875"/>
    <w:rsid w:val="001B669E"/>
    <w:rsid w:val="001B6724"/>
    <w:rsid w:val="001B6D9D"/>
    <w:rsid w:val="001C17AF"/>
    <w:rsid w:val="001C32B0"/>
    <w:rsid w:val="001C3BE1"/>
    <w:rsid w:val="001C410D"/>
    <w:rsid w:val="001C42F3"/>
    <w:rsid w:val="001C43A2"/>
    <w:rsid w:val="001C49EA"/>
    <w:rsid w:val="001C4C0F"/>
    <w:rsid w:val="001C531E"/>
    <w:rsid w:val="001C6B40"/>
    <w:rsid w:val="001D1E00"/>
    <w:rsid w:val="001D4777"/>
    <w:rsid w:val="001D482B"/>
    <w:rsid w:val="001D6B2E"/>
    <w:rsid w:val="001D7BF1"/>
    <w:rsid w:val="001D7C4B"/>
    <w:rsid w:val="001E11C5"/>
    <w:rsid w:val="001E1638"/>
    <w:rsid w:val="001E309F"/>
    <w:rsid w:val="001E3D66"/>
    <w:rsid w:val="001E420A"/>
    <w:rsid w:val="001E446C"/>
    <w:rsid w:val="001E69A5"/>
    <w:rsid w:val="001E6D2B"/>
    <w:rsid w:val="001E7284"/>
    <w:rsid w:val="001E7C46"/>
    <w:rsid w:val="001F1484"/>
    <w:rsid w:val="001F22DC"/>
    <w:rsid w:val="001F3813"/>
    <w:rsid w:val="001F5C76"/>
    <w:rsid w:val="001F7420"/>
    <w:rsid w:val="002023CB"/>
    <w:rsid w:val="002034C0"/>
    <w:rsid w:val="00211706"/>
    <w:rsid w:val="00211ADB"/>
    <w:rsid w:val="0021328B"/>
    <w:rsid w:val="00215AE8"/>
    <w:rsid w:val="00216F38"/>
    <w:rsid w:val="002176C1"/>
    <w:rsid w:val="00220E3F"/>
    <w:rsid w:val="00221802"/>
    <w:rsid w:val="002223E7"/>
    <w:rsid w:val="00223F41"/>
    <w:rsid w:val="00225EBF"/>
    <w:rsid w:val="00227326"/>
    <w:rsid w:val="0022798B"/>
    <w:rsid w:val="0023148E"/>
    <w:rsid w:val="00231BCE"/>
    <w:rsid w:val="002325C5"/>
    <w:rsid w:val="00233727"/>
    <w:rsid w:val="002349C7"/>
    <w:rsid w:val="00235A1F"/>
    <w:rsid w:val="00240E58"/>
    <w:rsid w:val="00242294"/>
    <w:rsid w:val="00242549"/>
    <w:rsid w:val="00243B8F"/>
    <w:rsid w:val="00244223"/>
    <w:rsid w:val="00244333"/>
    <w:rsid w:val="00244CB0"/>
    <w:rsid w:val="00244E0F"/>
    <w:rsid w:val="002459B5"/>
    <w:rsid w:val="0024712C"/>
    <w:rsid w:val="0025083F"/>
    <w:rsid w:val="002533BC"/>
    <w:rsid w:val="00253794"/>
    <w:rsid w:val="00253818"/>
    <w:rsid w:val="00253F6F"/>
    <w:rsid w:val="00254271"/>
    <w:rsid w:val="00254CE7"/>
    <w:rsid w:val="0025563A"/>
    <w:rsid w:val="002567EB"/>
    <w:rsid w:val="00257627"/>
    <w:rsid w:val="002602C9"/>
    <w:rsid w:val="0026117D"/>
    <w:rsid w:val="0026140B"/>
    <w:rsid w:val="00263D6A"/>
    <w:rsid w:val="0026402F"/>
    <w:rsid w:val="00266AE0"/>
    <w:rsid w:val="00266FAE"/>
    <w:rsid w:val="00270749"/>
    <w:rsid w:val="00272E0B"/>
    <w:rsid w:val="00272FDF"/>
    <w:rsid w:val="0027383C"/>
    <w:rsid w:val="0027474B"/>
    <w:rsid w:val="0027575B"/>
    <w:rsid w:val="002765BE"/>
    <w:rsid w:val="0027748E"/>
    <w:rsid w:val="00277574"/>
    <w:rsid w:val="002820FC"/>
    <w:rsid w:val="0028399B"/>
    <w:rsid w:val="002855CE"/>
    <w:rsid w:val="00287925"/>
    <w:rsid w:val="002902B4"/>
    <w:rsid w:val="00291FC6"/>
    <w:rsid w:val="0029492C"/>
    <w:rsid w:val="002969C6"/>
    <w:rsid w:val="00297F88"/>
    <w:rsid w:val="002A109F"/>
    <w:rsid w:val="002A1655"/>
    <w:rsid w:val="002A3EE3"/>
    <w:rsid w:val="002A4EB2"/>
    <w:rsid w:val="002A5F00"/>
    <w:rsid w:val="002A75B4"/>
    <w:rsid w:val="002B1FF6"/>
    <w:rsid w:val="002B2F3F"/>
    <w:rsid w:val="002B5086"/>
    <w:rsid w:val="002B6F85"/>
    <w:rsid w:val="002C105C"/>
    <w:rsid w:val="002C2A60"/>
    <w:rsid w:val="002C2DAE"/>
    <w:rsid w:val="002C4104"/>
    <w:rsid w:val="002C51D8"/>
    <w:rsid w:val="002C6688"/>
    <w:rsid w:val="002D0BDB"/>
    <w:rsid w:val="002D2B19"/>
    <w:rsid w:val="002D30F4"/>
    <w:rsid w:val="002D53D9"/>
    <w:rsid w:val="002D5EDF"/>
    <w:rsid w:val="002D6CCA"/>
    <w:rsid w:val="002D7682"/>
    <w:rsid w:val="002D7A36"/>
    <w:rsid w:val="002E0026"/>
    <w:rsid w:val="002E00A0"/>
    <w:rsid w:val="002E1450"/>
    <w:rsid w:val="002E14FC"/>
    <w:rsid w:val="002E2BF6"/>
    <w:rsid w:val="002E5603"/>
    <w:rsid w:val="002F0647"/>
    <w:rsid w:val="002F0AE0"/>
    <w:rsid w:val="002F195C"/>
    <w:rsid w:val="002F1A47"/>
    <w:rsid w:val="002F1D3D"/>
    <w:rsid w:val="002F20CF"/>
    <w:rsid w:val="002F2A75"/>
    <w:rsid w:val="002F301F"/>
    <w:rsid w:val="002F41C3"/>
    <w:rsid w:val="002F6B27"/>
    <w:rsid w:val="00302318"/>
    <w:rsid w:val="003029B9"/>
    <w:rsid w:val="00305AF1"/>
    <w:rsid w:val="00305FB2"/>
    <w:rsid w:val="003101E2"/>
    <w:rsid w:val="00310C16"/>
    <w:rsid w:val="00311BE9"/>
    <w:rsid w:val="0031247A"/>
    <w:rsid w:val="00312794"/>
    <w:rsid w:val="00313394"/>
    <w:rsid w:val="00314902"/>
    <w:rsid w:val="00317188"/>
    <w:rsid w:val="00321D8D"/>
    <w:rsid w:val="003237CB"/>
    <w:rsid w:val="0032395B"/>
    <w:rsid w:val="00325EF7"/>
    <w:rsid w:val="00326474"/>
    <w:rsid w:val="00334A3E"/>
    <w:rsid w:val="00335E93"/>
    <w:rsid w:val="00336883"/>
    <w:rsid w:val="003374A4"/>
    <w:rsid w:val="00340E29"/>
    <w:rsid w:val="0034330C"/>
    <w:rsid w:val="0034586C"/>
    <w:rsid w:val="00346BDF"/>
    <w:rsid w:val="0034796D"/>
    <w:rsid w:val="00347F02"/>
    <w:rsid w:val="00350066"/>
    <w:rsid w:val="0035066E"/>
    <w:rsid w:val="00352F1E"/>
    <w:rsid w:val="0035447B"/>
    <w:rsid w:val="00354665"/>
    <w:rsid w:val="0035687D"/>
    <w:rsid w:val="00360D91"/>
    <w:rsid w:val="003624D6"/>
    <w:rsid w:val="00362ACA"/>
    <w:rsid w:val="00362C46"/>
    <w:rsid w:val="00365DA0"/>
    <w:rsid w:val="00366AB0"/>
    <w:rsid w:val="0037181E"/>
    <w:rsid w:val="00371955"/>
    <w:rsid w:val="00371E85"/>
    <w:rsid w:val="00373107"/>
    <w:rsid w:val="003732AE"/>
    <w:rsid w:val="003744CB"/>
    <w:rsid w:val="00376D9F"/>
    <w:rsid w:val="00380F83"/>
    <w:rsid w:val="0038126A"/>
    <w:rsid w:val="00382547"/>
    <w:rsid w:val="0038399D"/>
    <w:rsid w:val="0038470B"/>
    <w:rsid w:val="00386065"/>
    <w:rsid w:val="00386740"/>
    <w:rsid w:val="00387C2C"/>
    <w:rsid w:val="00390033"/>
    <w:rsid w:val="00390C8B"/>
    <w:rsid w:val="003914A3"/>
    <w:rsid w:val="00392E69"/>
    <w:rsid w:val="00394FB5"/>
    <w:rsid w:val="00395595"/>
    <w:rsid w:val="00395F04"/>
    <w:rsid w:val="00395FCD"/>
    <w:rsid w:val="00396B07"/>
    <w:rsid w:val="003974D2"/>
    <w:rsid w:val="003A026F"/>
    <w:rsid w:val="003A0D7A"/>
    <w:rsid w:val="003A119E"/>
    <w:rsid w:val="003A3A3A"/>
    <w:rsid w:val="003A3C87"/>
    <w:rsid w:val="003A51F6"/>
    <w:rsid w:val="003A5388"/>
    <w:rsid w:val="003A658D"/>
    <w:rsid w:val="003B185A"/>
    <w:rsid w:val="003B36AF"/>
    <w:rsid w:val="003B5871"/>
    <w:rsid w:val="003C125B"/>
    <w:rsid w:val="003C2076"/>
    <w:rsid w:val="003C265B"/>
    <w:rsid w:val="003C3292"/>
    <w:rsid w:val="003C3A3A"/>
    <w:rsid w:val="003C7CB4"/>
    <w:rsid w:val="003C7D21"/>
    <w:rsid w:val="003C7EE2"/>
    <w:rsid w:val="003D167A"/>
    <w:rsid w:val="003D4C97"/>
    <w:rsid w:val="003D5513"/>
    <w:rsid w:val="003D5728"/>
    <w:rsid w:val="003D6101"/>
    <w:rsid w:val="003D6984"/>
    <w:rsid w:val="003D7C42"/>
    <w:rsid w:val="003E49E7"/>
    <w:rsid w:val="003E4F54"/>
    <w:rsid w:val="003E5111"/>
    <w:rsid w:val="003E597C"/>
    <w:rsid w:val="003E5F26"/>
    <w:rsid w:val="003F2404"/>
    <w:rsid w:val="003F304D"/>
    <w:rsid w:val="003F6AE0"/>
    <w:rsid w:val="00400BFB"/>
    <w:rsid w:val="004033F6"/>
    <w:rsid w:val="0040538D"/>
    <w:rsid w:val="0040555E"/>
    <w:rsid w:val="00405C45"/>
    <w:rsid w:val="0040603C"/>
    <w:rsid w:val="004078EF"/>
    <w:rsid w:val="004119F6"/>
    <w:rsid w:val="00416AB1"/>
    <w:rsid w:val="00416E50"/>
    <w:rsid w:val="00422B7B"/>
    <w:rsid w:val="00422B96"/>
    <w:rsid w:val="004266B2"/>
    <w:rsid w:val="00426999"/>
    <w:rsid w:val="004305BD"/>
    <w:rsid w:val="00431CE2"/>
    <w:rsid w:val="004322AF"/>
    <w:rsid w:val="00432BD5"/>
    <w:rsid w:val="0043434F"/>
    <w:rsid w:val="004356D5"/>
    <w:rsid w:val="00436EE3"/>
    <w:rsid w:val="00441A14"/>
    <w:rsid w:val="00442F16"/>
    <w:rsid w:val="00443621"/>
    <w:rsid w:val="004439F4"/>
    <w:rsid w:val="00445231"/>
    <w:rsid w:val="00446DCB"/>
    <w:rsid w:val="00447CF2"/>
    <w:rsid w:val="004515A0"/>
    <w:rsid w:val="0045221D"/>
    <w:rsid w:val="004529A1"/>
    <w:rsid w:val="0045313A"/>
    <w:rsid w:val="00453350"/>
    <w:rsid w:val="00454B21"/>
    <w:rsid w:val="004556B7"/>
    <w:rsid w:val="00456F16"/>
    <w:rsid w:val="0045790D"/>
    <w:rsid w:val="00457E7D"/>
    <w:rsid w:val="00461437"/>
    <w:rsid w:val="00461D88"/>
    <w:rsid w:val="00462160"/>
    <w:rsid w:val="004629BB"/>
    <w:rsid w:val="00462C38"/>
    <w:rsid w:val="004638F0"/>
    <w:rsid w:val="00463916"/>
    <w:rsid w:val="00463D6C"/>
    <w:rsid w:val="00465432"/>
    <w:rsid w:val="004741B6"/>
    <w:rsid w:val="00475B1D"/>
    <w:rsid w:val="0047700C"/>
    <w:rsid w:val="00481EB2"/>
    <w:rsid w:val="00483C63"/>
    <w:rsid w:val="00485A92"/>
    <w:rsid w:val="00486F42"/>
    <w:rsid w:val="004903EE"/>
    <w:rsid w:val="0049118E"/>
    <w:rsid w:val="00492B5E"/>
    <w:rsid w:val="00495540"/>
    <w:rsid w:val="004A1E08"/>
    <w:rsid w:val="004A24DC"/>
    <w:rsid w:val="004A318C"/>
    <w:rsid w:val="004A4AED"/>
    <w:rsid w:val="004A5093"/>
    <w:rsid w:val="004A5444"/>
    <w:rsid w:val="004B01E9"/>
    <w:rsid w:val="004B0A32"/>
    <w:rsid w:val="004B0B70"/>
    <w:rsid w:val="004B2EE6"/>
    <w:rsid w:val="004B43E9"/>
    <w:rsid w:val="004B57B4"/>
    <w:rsid w:val="004B7E89"/>
    <w:rsid w:val="004C223C"/>
    <w:rsid w:val="004C2412"/>
    <w:rsid w:val="004C702D"/>
    <w:rsid w:val="004C7194"/>
    <w:rsid w:val="004C75AB"/>
    <w:rsid w:val="004C767C"/>
    <w:rsid w:val="004D4278"/>
    <w:rsid w:val="004D6D57"/>
    <w:rsid w:val="004D771C"/>
    <w:rsid w:val="004E0959"/>
    <w:rsid w:val="004E0C06"/>
    <w:rsid w:val="004E2C44"/>
    <w:rsid w:val="004E36EE"/>
    <w:rsid w:val="004E4F0D"/>
    <w:rsid w:val="004E5562"/>
    <w:rsid w:val="004E7003"/>
    <w:rsid w:val="004F047B"/>
    <w:rsid w:val="004F2938"/>
    <w:rsid w:val="004F3043"/>
    <w:rsid w:val="004F578A"/>
    <w:rsid w:val="004F5982"/>
    <w:rsid w:val="004F6FC0"/>
    <w:rsid w:val="004F7FCD"/>
    <w:rsid w:val="00500DD5"/>
    <w:rsid w:val="00501084"/>
    <w:rsid w:val="00501217"/>
    <w:rsid w:val="005015E4"/>
    <w:rsid w:val="00501B1B"/>
    <w:rsid w:val="00502AD5"/>
    <w:rsid w:val="00503360"/>
    <w:rsid w:val="005063E7"/>
    <w:rsid w:val="005124E5"/>
    <w:rsid w:val="0051310F"/>
    <w:rsid w:val="0051342D"/>
    <w:rsid w:val="005134B5"/>
    <w:rsid w:val="0051372F"/>
    <w:rsid w:val="005153DC"/>
    <w:rsid w:val="00516E85"/>
    <w:rsid w:val="0051740C"/>
    <w:rsid w:val="005213DD"/>
    <w:rsid w:val="0052148B"/>
    <w:rsid w:val="005216B3"/>
    <w:rsid w:val="0052531E"/>
    <w:rsid w:val="00525FAF"/>
    <w:rsid w:val="0052616D"/>
    <w:rsid w:val="0052683C"/>
    <w:rsid w:val="00530268"/>
    <w:rsid w:val="00530897"/>
    <w:rsid w:val="00532644"/>
    <w:rsid w:val="005339AE"/>
    <w:rsid w:val="00534A5F"/>
    <w:rsid w:val="00535609"/>
    <w:rsid w:val="00535A4C"/>
    <w:rsid w:val="00535D22"/>
    <w:rsid w:val="00536253"/>
    <w:rsid w:val="00536F6B"/>
    <w:rsid w:val="005370E3"/>
    <w:rsid w:val="005407FF"/>
    <w:rsid w:val="00540F11"/>
    <w:rsid w:val="00541CF6"/>
    <w:rsid w:val="005447E5"/>
    <w:rsid w:val="00545757"/>
    <w:rsid w:val="00545868"/>
    <w:rsid w:val="00545DCE"/>
    <w:rsid w:val="00547020"/>
    <w:rsid w:val="0055177A"/>
    <w:rsid w:val="005518FC"/>
    <w:rsid w:val="00552FF3"/>
    <w:rsid w:val="005532F7"/>
    <w:rsid w:val="00553D5D"/>
    <w:rsid w:val="00554C55"/>
    <w:rsid w:val="00560EE2"/>
    <w:rsid w:val="00561373"/>
    <w:rsid w:val="00561868"/>
    <w:rsid w:val="005666CE"/>
    <w:rsid w:val="00567FEF"/>
    <w:rsid w:val="005725BB"/>
    <w:rsid w:val="0057298F"/>
    <w:rsid w:val="0057581F"/>
    <w:rsid w:val="00575C91"/>
    <w:rsid w:val="00577A1D"/>
    <w:rsid w:val="00583ECD"/>
    <w:rsid w:val="00584BC2"/>
    <w:rsid w:val="005851E9"/>
    <w:rsid w:val="005877C4"/>
    <w:rsid w:val="005900C1"/>
    <w:rsid w:val="00590B6D"/>
    <w:rsid w:val="00591C74"/>
    <w:rsid w:val="00593EEE"/>
    <w:rsid w:val="0059441A"/>
    <w:rsid w:val="00597514"/>
    <w:rsid w:val="005A0371"/>
    <w:rsid w:val="005A03C3"/>
    <w:rsid w:val="005A0DF6"/>
    <w:rsid w:val="005A1C01"/>
    <w:rsid w:val="005A3646"/>
    <w:rsid w:val="005A509C"/>
    <w:rsid w:val="005A633C"/>
    <w:rsid w:val="005A7028"/>
    <w:rsid w:val="005A7B26"/>
    <w:rsid w:val="005B016F"/>
    <w:rsid w:val="005B1581"/>
    <w:rsid w:val="005B1CDB"/>
    <w:rsid w:val="005B2759"/>
    <w:rsid w:val="005B4C76"/>
    <w:rsid w:val="005B5D91"/>
    <w:rsid w:val="005B71D5"/>
    <w:rsid w:val="005C01BF"/>
    <w:rsid w:val="005C3884"/>
    <w:rsid w:val="005C3CF1"/>
    <w:rsid w:val="005C6829"/>
    <w:rsid w:val="005C78F2"/>
    <w:rsid w:val="005D201C"/>
    <w:rsid w:val="005D28FD"/>
    <w:rsid w:val="005D2B50"/>
    <w:rsid w:val="005D34B6"/>
    <w:rsid w:val="005D6DCF"/>
    <w:rsid w:val="005D768E"/>
    <w:rsid w:val="005D7D8A"/>
    <w:rsid w:val="005E166C"/>
    <w:rsid w:val="005E21D1"/>
    <w:rsid w:val="005E3E87"/>
    <w:rsid w:val="005E6C16"/>
    <w:rsid w:val="005F668D"/>
    <w:rsid w:val="00600156"/>
    <w:rsid w:val="006041A6"/>
    <w:rsid w:val="00604413"/>
    <w:rsid w:val="00604FD9"/>
    <w:rsid w:val="0060590F"/>
    <w:rsid w:val="00606436"/>
    <w:rsid w:val="00606A38"/>
    <w:rsid w:val="00606BF5"/>
    <w:rsid w:val="00607E1B"/>
    <w:rsid w:val="006122F5"/>
    <w:rsid w:val="00613DC2"/>
    <w:rsid w:val="00614498"/>
    <w:rsid w:val="00616303"/>
    <w:rsid w:val="006201CF"/>
    <w:rsid w:val="00620D84"/>
    <w:rsid w:val="00621B96"/>
    <w:rsid w:val="00622791"/>
    <w:rsid w:val="006236F8"/>
    <w:rsid w:val="00623E36"/>
    <w:rsid w:val="006260F9"/>
    <w:rsid w:val="00630335"/>
    <w:rsid w:val="00630511"/>
    <w:rsid w:val="00631491"/>
    <w:rsid w:val="006318C4"/>
    <w:rsid w:val="006361C5"/>
    <w:rsid w:val="006366A0"/>
    <w:rsid w:val="00645B38"/>
    <w:rsid w:val="00646112"/>
    <w:rsid w:val="00646F44"/>
    <w:rsid w:val="00647682"/>
    <w:rsid w:val="00647A4D"/>
    <w:rsid w:val="00647EFF"/>
    <w:rsid w:val="006515D6"/>
    <w:rsid w:val="00652B61"/>
    <w:rsid w:val="00656FF9"/>
    <w:rsid w:val="006600F3"/>
    <w:rsid w:val="0066016D"/>
    <w:rsid w:val="00660BFC"/>
    <w:rsid w:val="00663AE9"/>
    <w:rsid w:val="00665787"/>
    <w:rsid w:val="00665D6A"/>
    <w:rsid w:val="00665F53"/>
    <w:rsid w:val="006677DF"/>
    <w:rsid w:val="00667846"/>
    <w:rsid w:val="006707C0"/>
    <w:rsid w:val="006709E8"/>
    <w:rsid w:val="00670AAD"/>
    <w:rsid w:val="0067110A"/>
    <w:rsid w:val="0067210B"/>
    <w:rsid w:val="00673181"/>
    <w:rsid w:val="00673FCC"/>
    <w:rsid w:val="006807C8"/>
    <w:rsid w:val="00680E1B"/>
    <w:rsid w:val="00680E4C"/>
    <w:rsid w:val="0068194F"/>
    <w:rsid w:val="006824D5"/>
    <w:rsid w:val="00682D74"/>
    <w:rsid w:val="0068365D"/>
    <w:rsid w:val="00684970"/>
    <w:rsid w:val="0069139E"/>
    <w:rsid w:val="00695C36"/>
    <w:rsid w:val="00696382"/>
    <w:rsid w:val="00696DD0"/>
    <w:rsid w:val="006A0375"/>
    <w:rsid w:val="006A1A97"/>
    <w:rsid w:val="006A3567"/>
    <w:rsid w:val="006A5727"/>
    <w:rsid w:val="006B08FD"/>
    <w:rsid w:val="006B0DD7"/>
    <w:rsid w:val="006B140A"/>
    <w:rsid w:val="006B5D27"/>
    <w:rsid w:val="006C104B"/>
    <w:rsid w:val="006C11D0"/>
    <w:rsid w:val="006C1C76"/>
    <w:rsid w:val="006C2A9E"/>
    <w:rsid w:val="006C321A"/>
    <w:rsid w:val="006C7CE4"/>
    <w:rsid w:val="006D07B0"/>
    <w:rsid w:val="006D0C65"/>
    <w:rsid w:val="006D481E"/>
    <w:rsid w:val="006D4B3F"/>
    <w:rsid w:val="006D50CA"/>
    <w:rsid w:val="006D762D"/>
    <w:rsid w:val="006D7AC9"/>
    <w:rsid w:val="006E003F"/>
    <w:rsid w:val="006E0C2E"/>
    <w:rsid w:val="006E1C7E"/>
    <w:rsid w:val="006E1EE1"/>
    <w:rsid w:val="006E3063"/>
    <w:rsid w:val="006E3863"/>
    <w:rsid w:val="006E682C"/>
    <w:rsid w:val="006E689D"/>
    <w:rsid w:val="006E69FC"/>
    <w:rsid w:val="006E7163"/>
    <w:rsid w:val="006E7294"/>
    <w:rsid w:val="006F17C2"/>
    <w:rsid w:val="006F4639"/>
    <w:rsid w:val="006F495A"/>
    <w:rsid w:val="006F503B"/>
    <w:rsid w:val="006F5FD2"/>
    <w:rsid w:val="006F639A"/>
    <w:rsid w:val="006F7CD0"/>
    <w:rsid w:val="00701E19"/>
    <w:rsid w:val="0070239B"/>
    <w:rsid w:val="0070381D"/>
    <w:rsid w:val="00703FB9"/>
    <w:rsid w:val="0070444B"/>
    <w:rsid w:val="00704537"/>
    <w:rsid w:val="00710C54"/>
    <w:rsid w:val="00710EC0"/>
    <w:rsid w:val="0071417E"/>
    <w:rsid w:val="0071706D"/>
    <w:rsid w:val="00722FEB"/>
    <w:rsid w:val="00725B7E"/>
    <w:rsid w:val="00727A5A"/>
    <w:rsid w:val="007304D5"/>
    <w:rsid w:val="00732052"/>
    <w:rsid w:val="0073241E"/>
    <w:rsid w:val="00733E11"/>
    <w:rsid w:val="00734F71"/>
    <w:rsid w:val="00736722"/>
    <w:rsid w:val="00737E6B"/>
    <w:rsid w:val="007418F1"/>
    <w:rsid w:val="007448C7"/>
    <w:rsid w:val="007501F1"/>
    <w:rsid w:val="00751810"/>
    <w:rsid w:val="00752272"/>
    <w:rsid w:val="00754216"/>
    <w:rsid w:val="00755C9B"/>
    <w:rsid w:val="007578AE"/>
    <w:rsid w:val="00757C12"/>
    <w:rsid w:val="00760643"/>
    <w:rsid w:val="0076184B"/>
    <w:rsid w:val="00761DFE"/>
    <w:rsid w:val="0076290C"/>
    <w:rsid w:val="00762D31"/>
    <w:rsid w:val="00763831"/>
    <w:rsid w:val="00767880"/>
    <w:rsid w:val="007678D3"/>
    <w:rsid w:val="00770A15"/>
    <w:rsid w:val="007724EE"/>
    <w:rsid w:val="00772852"/>
    <w:rsid w:val="00773871"/>
    <w:rsid w:val="00773D41"/>
    <w:rsid w:val="007749C2"/>
    <w:rsid w:val="00775105"/>
    <w:rsid w:val="00775A25"/>
    <w:rsid w:val="0077749D"/>
    <w:rsid w:val="007804E2"/>
    <w:rsid w:val="007816ED"/>
    <w:rsid w:val="00786342"/>
    <w:rsid w:val="00786C1A"/>
    <w:rsid w:val="007875AA"/>
    <w:rsid w:val="0078760E"/>
    <w:rsid w:val="00787FAC"/>
    <w:rsid w:val="007904B0"/>
    <w:rsid w:val="0079159A"/>
    <w:rsid w:val="007935D0"/>
    <w:rsid w:val="00793FEC"/>
    <w:rsid w:val="00794121"/>
    <w:rsid w:val="007949D3"/>
    <w:rsid w:val="0079507A"/>
    <w:rsid w:val="0079578B"/>
    <w:rsid w:val="00797272"/>
    <w:rsid w:val="00797AFF"/>
    <w:rsid w:val="007A069F"/>
    <w:rsid w:val="007A14ED"/>
    <w:rsid w:val="007A1936"/>
    <w:rsid w:val="007A1F23"/>
    <w:rsid w:val="007A3728"/>
    <w:rsid w:val="007A4375"/>
    <w:rsid w:val="007A77DF"/>
    <w:rsid w:val="007B06D7"/>
    <w:rsid w:val="007B35C6"/>
    <w:rsid w:val="007B3ABF"/>
    <w:rsid w:val="007B48C3"/>
    <w:rsid w:val="007B5050"/>
    <w:rsid w:val="007B5A55"/>
    <w:rsid w:val="007B5E16"/>
    <w:rsid w:val="007C060B"/>
    <w:rsid w:val="007C25E4"/>
    <w:rsid w:val="007C2A2E"/>
    <w:rsid w:val="007C34B3"/>
    <w:rsid w:val="007C5E25"/>
    <w:rsid w:val="007C713F"/>
    <w:rsid w:val="007D13BD"/>
    <w:rsid w:val="007D161F"/>
    <w:rsid w:val="007D2043"/>
    <w:rsid w:val="007D259E"/>
    <w:rsid w:val="007D288E"/>
    <w:rsid w:val="007D2C1A"/>
    <w:rsid w:val="007D4433"/>
    <w:rsid w:val="007D480B"/>
    <w:rsid w:val="007D4BAA"/>
    <w:rsid w:val="007D5591"/>
    <w:rsid w:val="007D79C3"/>
    <w:rsid w:val="007E15CD"/>
    <w:rsid w:val="007E1B99"/>
    <w:rsid w:val="007E2E69"/>
    <w:rsid w:val="007E2F51"/>
    <w:rsid w:val="007E3B22"/>
    <w:rsid w:val="007E4669"/>
    <w:rsid w:val="007F1F83"/>
    <w:rsid w:val="007F2484"/>
    <w:rsid w:val="007F26AC"/>
    <w:rsid w:val="007F3D34"/>
    <w:rsid w:val="007F6179"/>
    <w:rsid w:val="007F62EE"/>
    <w:rsid w:val="007F6BDA"/>
    <w:rsid w:val="008017EB"/>
    <w:rsid w:val="008026C2"/>
    <w:rsid w:val="00802E20"/>
    <w:rsid w:val="00804A77"/>
    <w:rsid w:val="008050B3"/>
    <w:rsid w:val="0080668D"/>
    <w:rsid w:val="008070C4"/>
    <w:rsid w:val="00812DF1"/>
    <w:rsid w:val="00813CCD"/>
    <w:rsid w:val="008163B7"/>
    <w:rsid w:val="008164F9"/>
    <w:rsid w:val="008170E0"/>
    <w:rsid w:val="008209FB"/>
    <w:rsid w:val="008215BF"/>
    <w:rsid w:val="008219FA"/>
    <w:rsid w:val="008244B7"/>
    <w:rsid w:val="00824B79"/>
    <w:rsid w:val="00825046"/>
    <w:rsid w:val="00826D39"/>
    <w:rsid w:val="008271AD"/>
    <w:rsid w:val="00834022"/>
    <w:rsid w:val="0083597C"/>
    <w:rsid w:val="00835C55"/>
    <w:rsid w:val="00836144"/>
    <w:rsid w:val="00837816"/>
    <w:rsid w:val="00840254"/>
    <w:rsid w:val="00840678"/>
    <w:rsid w:val="0084131D"/>
    <w:rsid w:val="00850260"/>
    <w:rsid w:val="008508E6"/>
    <w:rsid w:val="00852B96"/>
    <w:rsid w:val="008540F9"/>
    <w:rsid w:val="008543BA"/>
    <w:rsid w:val="0085691F"/>
    <w:rsid w:val="0086262B"/>
    <w:rsid w:val="00862749"/>
    <w:rsid w:val="00865387"/>
    <w:rsid w:val="0086541D"/>
    <w:rsid w:val="00865C92"/>
    <w:rsid w:val="00865FE9"/>
    <w:rsid w:val="008671DA"/>
    <w:rsid w:val="00871426"/>
    <w:rsid w:val="0087481C"/>
    <w:rsid w:val="00874D86"/>
    <w:rsid w:val="00875001"/>
    <w:rsid w:val="008751C4"/>
    <w:rsid w:val="00875A0C"/>
    <w:rsid w:val="00877281"/>
    <w:rsid w:val="00881FBE"/>
    <w:rsid w:val="00883DAD"/>
    <w:rsid w:val="0088604D"/>
    <w:rsid w:val="0088722A"/>
    <w:rsid w:val="00887E4E"/>
    <w:rsid w:val="00891CB6"/>
    <w:rsid w:val="008958DB"/>
    <w:rsid w:val="008971E5"/>
    <w:rsid w:val="00897682"/>
    <w:rsid w:val="008A2A10"/>
    <w:rsid w:val="008A2CB4"/>
    <w:rsid w:val="008A2F4A"/>
    <w:rsid w:val="008A658B"/>
    <w:rsid w:val="008A66A9"/>
    <w:rsid w:val="008A670E"/>
    <w:rsid w:val="008B1AAC"/>
    <w:rsid w:val="008B56B8"/>
    <w:rsid w:val="008B7E4C"/>
    <w:rsid w:val="008B7E99"/>
    <w:rsid w:val="008C4226"/>
    <w:rsid w:val="008C45BC"/>
    <w:rsid w:val="008C47DE"/>
    <w:rsid w:val="008C47FD"/>
    <w:rsid w:val="008C5615"/>
    <w:rsid w:val="008C625E"/>
    <w:rsid w:val="008C72AF"/>
    <w:rsid w:val="008C7592"/>
    <w:rsid w:val="008C7DA5"/>
    <w:rsid w:val="008D2391"/>
    <w:rsid w:val="008D4FEF"/>
    <w:rsid w:val="008D57AD"/>
    <w:rsid w:val="008D59C5"/>
    <w:rsid w:val="008E11E6"/>
    <w:rsid w:val="008E1866"/>
    <w:rsid w:val="008E2CC8"/>
    <w:rsid w:val="008E57FF"/>
    <w:rsid w:val="008E63AA"/>
    <w:rsid w:val="008E655B"/>
    <w:rsid w:val="008E695C"/>
    <w:rsid w:val="008E736B"/>
    <w:rsid w:val="008F021E"/>
    <w:rsid w:val="008F1667"/>
    <w:rsid w:val="008F3C01"/>
    <w:rsid w:val="008F3D9B"/>
    <w:rsid w:val="008F5253"/>
    <w:rsid w:val="008F5B67"/>
    <w:rsid w:val="008F5B6E"/>
    <w:rsid w:val="008F6489"/>
    <w:rsid w:val="00900867"/>
    <w:rsid w:val="00900CE8"/>
    <w:rsid w:val="00901F5B"/>
    <w:rsid w:val="0090237D"/>
    <w:rsid w:val="00902768"/>
    <w:rsid w:val="0090286A"/>
    <w:rsid w:val="00903296"/>
    <w:rsid w:val="00906A82"/>
    <w:rsid w:val="00907998"/>
    <w:rsid w:val="00910012"/>
    <w:rsid w:val="00910B47"/>
    <w:rsid w:val="00910F2A"/>
    <w:rsid w:val="00913D3F"/>
    <w:rsid w:val="009142E9"/>
    <w:rsid w:val="00914FDD"/>
    <w:rsid w:val="00915799"/>
    <w:rsid w:val="00916163"/>
    <w:rsid w:val="009165BD"/>
    <w:rsid w:val="00916FAC"/>
    <w:rsid w:val="00917307"/>
    <w:rsid w:val="00917759"/>
    <w:rsid w:val="00917D0E"/>
    <w:rsid w:val="0092180C"/>
    <w:rsid w:val="00921A3D"/>
    <w:rsid w:val="00921BB5"/>
    <w:rsid w:val="00921EC8"/>
    <w:rsid w:val="00922FB4"/>
    <w:rsid w:val="009235C4"/>
    <w:rsid w:val="00923758"/>
    <w:rsid w:val="00925F0D"/>
    <w:rsid w:val="00932271"/>
    <w:rsid w:val="0093248A"/>
    <w:rsid w:val="009361D3"/>
    <w:rsid w:val="009419A1"/>
    <w:rsid w:val="009419A5"/>
    <w:rsid w:val="00941F49"/>
    <w:rsid w:val="00943C20"/>
    <w:rsid w:val="00945CD3"/>
    <w:rsid w:val="00945DC1"/>
    <w:rsid w:val="00946EA7"/>
    <w:rsid w:val="00950219"/>
    <w:rsid w:val="00950A67"/>
    <w:rsid w:val="00956B90"/>
    <w:rsid w:val="009577EA"/>
    <w:rsid w:val="009648EF"/>
    <w:rsid w:val="00965377"/>
    <w:rsid w:val="009669B7"/>
    <w:rsid w:val="0097017E"/>
    <w:rsid w:val="00970C39"/>
    <w:rsid w:val="00972BC2"/>
    <w:rsid w:val="00972D98"/>
    <w:rsid w:val="00972F02"/>
    <w:rsid w:val="009747D6"/>
    <w:rsid w:val="00974B40"/>
    <w:rsid w:val="009763BB"/>
    <w:rsid w:val="009763C2"/>
    <w:rsid w:val="00976ADE"/>
    <w:rsid w:val="00977A89"/>
    <w:rsid w:val="00977BA7"/>
    <w:rsid w:val="0098079E"/>
    <w:rsid w:val="00980CF3"/>
    <w:rsid w:val="00981E8E"/>
    <w:rsid w:val="00983479"/>
    <w:rsid w:val="009849AC"/>
    <w:rsid w:val="009854B7"/>
    <w:rsid w:val="00986773"/>
    <w:rsid w:val="00986EA2"/>
    <w:rsid w:val="00990436"/>
    <w:rsid w:val="009912DB"/>
    <w:rsid w:val="009936A8"/>
    <w:rsid w:val="00994208"/>
    <w:rsid w:val="00996E3F"/>
    <w:rsid w:val="00996F2F"/>
    <w:rsid w:val="009972DD"/>
    <w:rsid w:val="009A015C"/>
    <w:rsid w:val="009A2489"/>
    <w:rsid w:val="009A3511"/>
    <w:rsid w:val="009A4B7D"/>
    <w:rsid w:val="009A4DB3"/>
    <w:rsid w:val="009A69DA"/>
    <w:rsid w:val="009B1A84"/>
    <w:rsid w:val="009B57A1"/>
    <w:rsid w:val="009B68AE"/>
    <w:rsid w:val="009B7A75"/>
    <w:rsid w:val="009B7E06"/>
    <w:rsid w:val="009C0637"/>
    <w:rsid w:val="009C2A40"/>
    <w:rsid w:val="009C4772"/>
    <w:rsid w:val="009C5A53"/>
    <w:rsid w:val="009D0A1B"/>
    <w:rsid w:val="009D3E40"/>
    <w:rsid w:val="009D509B"/>
    <w:rsid w:val="009D5107"/>
    <w:rsid w:val="009D52B3"/>
    <w:rsid w:val="009D70B3"/>
    <w:rsid w:val="009E0A86"/>
    <w:rsid w:val="009E1F98"/>
    <w:rsid w:val="009E3A04"/>
    <w:rsid w:val="009E3A46"/>
    <w:rsid w:val="009E3B17"/>
    <w:rsid w:val="009E3D99"/>
    <w:rsid w:val="009E4C23"/>
    <w:rsid w:val="009E52F7"/>
    <w:rsid w:val="009E5416"/>
    <w:rsid w:val="009E69C8"/>
    <w:rsid w:val="009F1614"/>
    <w:rsid w:val="009F17F6"/>
    <w:rsid w:val="009F3166"/>
    <w:rsid w:val="009F4243"/>
    <w:rsid w:val="009F5454"/>
    <w:rsid w:val="009F5798"/>
    <w:rsid w:val="009F5DFC"/>
    <w:rsid w:val="009F64A0"/>
    <w:rsid w:val="009F652C"/>
    <w:rsid w:val="009F7A77"/>
    <w:rsid w:val="00A00239"/>
    <w:rsid w:val="00A0175D"/>
    <w:rsid w:val="00A01E30"/>
    <w:rsid w:val="00A03100"/>
    <w:rsid w:val="00A05108"/>
    <w:rsid w:val="00A062D3"/>
    <w:rsid w:val="00A10167"/>
    <w:rsid w:val="00A108C1"/>
    <w:rsid w:val="00A128C4"/>
    <w:rsid w:val="00A12BD2"/>
    <w:rsid w:val="00A13041"/>
    <w:rsid w:val="00A13A11"/>
    <w:rsid w:val="00A14D7D"/>
    <w:rsid w:val="00A150FC"/>
    <w:rsid w:val="00A153E5"/>
    <w:rsid w:val="00A15F27"/>
    <w:rsid w:val="00A17A0C"/>
    <w:rsid w:val="00A20394"/>
    <w:rsid w:val="00A20397"/>
    <w:rsid w:val="00A2137C"/>
    <w:rsid w:val="00A24D72"/>
    <w:rsid w:val="00A31277"/>
    <w:rsid w:val="00A318FB"/>
    <w:rsid w:val="00A31E86"/>
    <w:rsid w:val="00A3230B"/>
    <w:rsid w:val="00A33517"/>
    <w:rsid w:val="00A33F2C"/>
    <w:rsid w:val="00A34084"/>
    <w:rsid w:val="00A3671C"/>
    <w:rsid w:val="00A36BCB"/>
    <w:rsid w:val="00A370FE"/>
    <w:rsid w:val="00A3722C"/>
    <w:rsid w:val="00A404BD"/>
    <w:rsid w:val="00A434DB"/>
    <w:rsid w:val="00A44BCE"/>
    <w:rsid w:val="00A44E16"/>
    <w:rsid w:val="00A44E34"/>
    <w:rsid w:val="00A45637"/>
    <w:rsid w:val="00A45E4C"/>
    <w:rsid w:val="00A50927"/>
    <w:rsid w:val="00A51925"/>
    <w:rsid w:val="00A55A60"/>
    <w:rsid w:val="00A60409"/>
    <w:rsid w:val="00A60479"/>
    <w:rsid w:val="00A609AA"/>
    <w:rsid w:val="00A64073"/>
    <w:rsid w:val="00A651BF"/>
    <w:rsid w:val="00A65C6E"/>
    <w:rsid w:val="00A66688"/>
    <w:rsid w:val="00A717C5"/>
    <w:rsid w:val="00A71B17"/>
    <w:rsid w:val="00A72AC3"/>
    <w:rsid w:val="00A740E3"/>
    <w:rsid w:val="00A75AD8"/>
    <w:rsid w:val="00A75C1F"/>
    <w:rsid w:val="00A80828"/>
    <w:rsid w:val="00A81619"/>
    <w:rsid w:val="00A8161C"/>
    <w:rsid w:val="00A85E41"/>
    <w:rsid w:val="00A9033B"/>
    <w:rsid w:val="00A9512D"/>
    <w:rsid w:val="00A95E85"/>
    <w:rsid w:val="00A96A0F"/>
    <w:rsid w:val="00AA2846"/>
    <w:rsid w:val="00AA35D3"/>
    <w:rsid w:val="00AA6B6A"/>
    <w:rsid w:val="00AA7BFD"/>
    <w:rsid w:val="00AB1A47"/>
    <w:rsid w:val="00AB51C2"/>
    <w:rsid w:val="00AB5A1E"/>
    <w:rsid w:val="00AB7339"/>
    <w:rsid w:val="00AB7504"/>
    <w:rsid w:val="00AB7AAD"/>
    <w:rsid w:val="00AC09BA"/>
    <w:rsid w:val="00AC2859"/>
    <w:rsid w:val="00AC31B4"/>
    <w:rsid w:val="00AC3830"/>
    <w:rsid w:val="00AC3D45"/>
    <w:rsid w:val="00AC5A53"/>
    <w:rsid w:val="00AC5D38"/>
    <w:rsid w:val="00AC7387"/>
    <w:rsid w:val="00AC7E94"/>
    <w:rsid w:val="00AD51D7"/>
    <w:rsid w:val="00AD526D"/>
    <w:rsid w:val="00AD593C"/>
    <w:rsid w:val="00AD7D7D"/>
    <w:rsid w:val="00AE04E2"/>
    <w:rsid w:val="00AE07B8"/>
    <w:rsid w:val="00AE23DB"/>
    <w:rsid w:val="00AE329F"/>
    <w:rsid w:val="00AE4943"/>
    <w:rsid w:val="00AE63F6"/>
    <w:rsid w:val="00AE6408"/>
    <w:rsid w:val="00AF220F"/>
    <w:rsid w:val="00AF2AAA"/>
    <w:rsid w:val="00AF52D6"/>
    <w:rsid w:val="00AF56C8"/>
    <w:rsid w:val="00AF6D27"/>
    <w:rsid w:val="00B00185"/>
    <w:rsid w:val="00B006DC"/>
    <w:rsid w:val="00B0101B"/>
    <w:rsid w:val="00B02285"/>
    <w:rsid w:val="00B042AE"/>
    <w:rsid w:val="00B07A62"/>
    <w:rsid w:val="00B07DD6"/>
    <w:rsid w:val="00B10E31"/>
    <w:rsid w:val="00B13122"/>
    <w:rsid w:val="00B13662"/>
    <w:rsid w:val="00B14F2E"/>
    <w:rsid w:val="00B16873"/>
    <w:rsid w:val="00B177BC"/>
    <w:rsid w:val="00B202FF"/>
    <w:rsid w:val="00B219FE"/>
    <w:rsid w:val="00B2219C"/>
    <w:rsid w:val="00B22F57"/>
    <w:rsid w:val="00B237F7"/>
    <w:rsid w:val="00B23962"/>
    <w:rsid w:val="00B25A7B"/>
    <w:rsid w:val="00B307BD"/>
    <w:rsid w:val="00B33FF0"/>
    <w:rsid w:val="00B35D25"/>
    <w:rsid w:val="00B35FA0"/>
    <w:rsid w:val="00B37343"/>
    <w:rsid w:val="00B4141D"/>
    <w:rsid w:val="00B41543"/>
    <w:rsid w:val="00B455D6"/>
    <w:rsid w:val="00B45BDF"/>
    <w:rsid w:val="00B4646C"/>
    <w:rsid w:val="00B46AEA"/>
    <w:rsid w:val="00B517DB"/>
    <w:rsid w:val="00B51AA6"/>
    <w:rsid w:val="00B530BF"/>
    <w:rsid w:val="00B55244"/>
    <w:rsid w:val="00B5524F"/>
    <w:rsid w:val="00B61280"/>
    <w:rsid w:val="00B62712"/>
    <w:rsid w:val="00B636EB"/>
    <w:rsid w:val="00B63CA1"/>
    <w:rsid w:val="00B63E51"/>
    <w:rsid w:val="00B67353"/>
    <w:rsid w:val="00B6759D"/>
    <w:rsid w:val="00B67D65"/>
    <w:rsid w:val="00B70E9D"/>
    <w:rsid w:val="00B711D3"/>
    <w:rsid w:val="00B74B00"/>
    <w:rsid w:val="00B75640"/>
    <w:rsid w:val="00B759C3"/>
    <w:rsid w:val="00B75CE0"/>
    <w:rsid w:val="00B76E5F"/>
    <w:rsid w:val="00B76F42"/>
    <w:rsid w:val="00B775FC"/>
    <w:rsid w:val="00B7787D"/>
    <w:rsid w:val="00B77957"/>
    <w:rsid w:val="00B80A8B"/>
    <w:rsid w:val="00B82976"/>
    <w:rsid w:val="00B836C1"/>
    <w:rsid w:val="00B84669"/>
    <w:rsid w:val="00B84812"/>
    <w:rsid w:val="00B85A0E"/>
    <w:rsid w:val="00B85F85"/>
    <w:rsid w:val="00B876C9"/>
    <w:rsid w:val="00B87917"/>
    <w:rsid w:val="00B87E7C"/>
    <w:rsid w:val="00B93772"/>
    <w:rsid w:val="00B95E39"/>
    <w:rsid w:val="00B97BC2"/>
    <w:rsid w:val="00B97EC9"/>
    <w:rsid w:val="00BA0E0D"/>
    <w:rsid w:val="00BA391A"/>
    <w:rsid w:val="00BA40FA"/>
    <w:rsid w:val="00BA4C67"/>
    <w:rsid w:val="00BA5180"/>
    <w:rsid w:val="00BA63D3"/>
    <w:rsid w:val="00BB0868"/>
    <w:rsid w:val="00BB0D41"/>
    <w:rsid w:val="00BB0E66"/>
    <w:rsid w:val="00BB10DC"/>
    <w:rsid w:val="00BB1148"/>
    <w:rsid w:val="00BB1B10"/>
    <w:rsid w:val="00BB1E3F"/>
    <w:rsid w:val="00BB1E9F"/>
    <w:rsid w:val="00BB45BB"/>
    <w:rsid w:val="00BB56AC"/>
    <w:rsid w:val="00BB7F93"/>
    <w:rsid w:val="00BC0044"/>
    <w:rsid w:val="00BC0C49"/>
    <w:rsid w:val="00BC0CD6"/>
    <w:rsid w:val="00BC1293"/>
    <w:rsid w:val="00BC1A4A"/>
    <w:rsid w:val="00BC4622"/>
    <w:rsid w:val="00BC483C"/>
    <w:rsid w:val="00BC7547"/>
    <w:rsid w:val="00BD1FA2"/>
    <w:rsid w:val="00BD3AE5"/>
    <w:rsid w:val="00BE2380"/>
    <w:rsid w:val="00BE3379"/>
    <w:rsid w:val="00BE3FE7"/>
    <w:rsid w:val="00BE5596"/>
    <w:rsid w:val="00BE709E"/>
    <w:rsid w:val="00BE70FB"/>
    <w:rsid w:val="00BF33A4"/>
    <w:rsid w:val="00BF33EB"/>
    <w:rsid w:val="00BF3C5F"/>
    <w:rsid w:val="00BF46E9"/>
    <w:rsid w:val="00BF54B3"/>
    <w:rsid w:val="00BF5515"/>
    <w:rsid w:val="00BF5AA1"/>
    <w:rsid w:val="00BF5D66"/>
    <w:rsid w:val="00BF67CC"/>
    <w:rsid w:val="00C000AA"/>
    <w:rsid w:val="00C019BC"/>
    <w:rsid w:val="00C031E4"/>
    <w:rsid w:val="00C03D63"/>
    <w:rsid w:val="00C05AC3"/>
    <w:rsid w:val="00C068B6"/>
    <w:rsid w:val="00C109D9"/>
    <w:rsid w:val="00C12471"/>
    <w:rsid w:val="00C15010"/>
    <w:rsid w:val="00C15684"/>
    <w:rsid w:val="00C158A7"/>
    <w:rsid w:val="00C16F68"/>
    <w:rsid w:val="00C20B48"/>
    <w:rsid w:val="00C216CF"/>
    <w:rsid w:val="00C22905"/>
    <w:rsid w:val="00C24E8B"/>
    <w:rsid w:val="00C2542A"/>
    <w:rsid w:val="00C25CA7"/>
    <w:rsid w:val="00C26B13"/>
    <w:rsid w:val="00C27FAE"/>
    <w:rsid w:val="00C316F5"/>
    <w:rsid w:val="00C3179C"/>
    <w:rsid w:val="00C349C3"/>
    <w:rsid w:val="00C354F6"/>
    <w:rsid w:val="00C361F9"/>
    <w:rsid w:val="00C36BF8"/>
    <w:rsid w:val="00C36E60"/>
    <w:rsid w:val="00C40972"/>
    <w:rsid w:val="00C40B41"/>
    <w:rsid w:val="00C40D19"/>
    <w:rsid w:val="00C41921"/>
    <w:rsid w:val="00C41A0D"/>
    <w:rsid w:val="00C427EC"/>
    <w:rsid w:val="00C444B3"/>
    <w:rsid w:val="00C50462"/>
    <w:rsid w:val="00C50725"/>
    <w:rsid w:val="00C51B87"/>
    <w:rsid w:val="00C5298C"/>
    <w:rsid w:val="00C53FD7"/>
    <w:rsid w:val="00C552F5"/>
    <w:rsid w:val="00C55517"/>
    <w:rsid w:val="00C56BEC"/>
    <w:rsid w:val="00C57733"/>
    <w:rsid w:val="00C5797A"/>
    <w:rsid w:val="00C60AF7"/>
    <w:rsid w:val="00C61965"/>
    <w:rsid w:val="00C635FD"/>
    <w:rsid w:val="00C647B9"/>
    <w:rsid w:val="00C65860"/>
    <w:rsid w:val="00C66326"/>
    <w:rsid w:val="00C66CFA"/>
    <w:rsid w:val="00C671EC"/>
    <w:rsid w:val="00C674DD"/>
    <w:rsid w:val="00C702A9"/>
    <w:rsid w:val="00C70B7A"/>
    <w:rsid w:val="00C721D8"/>
    <w:rsid w:val="00C72483"/>
    <w:rsid w:val="00C73155"/>
    <w:rsid w:val="00C7359A"/>
    <w:rsid w:val="00C74C82"/>
    <w:rsid w:val="00C757C3"/>
    <w:rsid w:val="00C7637E"/>
    <w:rsid w:val="00C771B6"/>
    <w:rsid w:val="00C8148C"/>
    <w:rsid w:val="00C82CC0"/>
    <w:rsid w:val="00C82EDF"/>
    <w:rsid w:val="00C84951"/>
    <w:rsid w:val="00C85472"/>
    <w:rsid w:val="00C8764D"/>
    <w:rsid w:val="00C87EA3"/>
    <w:rsid w:val="00C9108B"/>
    <w:rsid w:val="00C9199B"/>
    <w:rsid w:val="00C92879"/>
    <w:rsid w:val="00C92C0D"/>
    <w:rsid w:val="00C9361F"/>
    <w:rsid w:val="00C936DE"/>
    <w:rsid w:val="00C93A2C"/>
    <w:rsid w:val="00C94ED8"/>
    <w:rsid w:val="00C95ED9"/>
    <w:rsid w:val="00C9726D"/>
    <w:rsid w:val="00CA0B17"/>
    <w:rsid w:val="00CA1CCB"/>
    <w:rsid w:val="00CA219F"/>
    <w:rsid w:val="00CA4B04"/>
    <w:rsid w:val="00CA6742"/>
    <w:rsid w:val="00CA7F0B"/>
    <w:rsid w:val="00CB0670"/>
    <w:rsid w:val="00CB114E"/>
    <w:rsid w:val="00CB2A3D"/>
    <w:rsid w:val="00CB2E2A"/>
    <w:rsid w:val="00CB3231"/>
    <w:rsid w:val="00CB5650"/>
    <w:rsid w:val="00CC1C7F"/>
    <w:rsid w:val="00CC3CBA"/>
    <w:rsid w:val="00CC3FE3"/>
    <w:rsid w:val="00CC403B"/>
    <w:rsid w:val="00CC5D90"/>
    <w:rsid w:val="00CC6282"/>
    <w:rsid w:val="00CC6C2E"/>
    <w:rsid w:val="00CD1B09"/>
    <w:rsid w:val="00CD29C4"/>
    <w:rsid w:val="00CD2A69"/>
    <w:rsid w:val="00CD2BA7"/>
    <w:rsid w:val="00CD2CE1"/>
    <w:rsid w:val="00CD3262"/>
    <w:rsid w:val="00CD75DC"/>
    <w:rsid w:val="00CE167C"/>
    <w:rsid w:val="00CE4F1F"/>
    <w:rsid w:val="00CE52F5"/>
    <w:rsid w:val="00CE7C3F"/>
    <w:rsid w:val="00CF11CF"/>
    <w:rsid w:val="00CF1329"/>
    <w:rsid w:val="00CF184E"/>
    <w:rsid w:val="00CF2936"/>
    <w:rsid w:val="00CF4FED"/>
    <w:rsid w:val="00D01779"/>
    <w:rsid w:val="00D01C2C"/>
    <w:rsid w:val="00D01C77"/>
    <w:rsid w:val="00D03FA1"/>
    <w:rsid w:val="00D05226"/>
    <w:rsid w:val="00D1085F"/>
    <w:rsid w:val="00D10CA1"/>
    <w:rsid w:val="00D117FB"/>
    <w:rsid w:val="00D12748"/>
    <w:rsid w:val="00D12987"/>
    <w:rsid w:val="00D12DD9"/>
    <w:rsid w:val="00D13EDA"/>
    <w:rsid w:val="00D14D6E"/>
    <w:rsid w:val="00D15370"/>
    <w:rsid w:val="00D170FA"/>
    <w:rsid w:val="00D17AB5"/>
    <w:rsid w:val="00D21B26"/>
    <w:rsid w:val="00D22C5D"/>
    <w:rsid w:val="00D23460"/>
    <w:rsid w:val="00D25292"/>
    <w:rsid w:val="00D258E8"/>
    <w:rsid w:val="00D259B6"/>
    <w:rsid w:val="00D25F71"/>
    <w:rsid w:val="00D25FC5"/>
    <w:rsid w:val="00D311F0"/>
    <w:rsid w:val="00D31F69"/>
    <w:rsid w:val="00D326F0"/>
    <w:rsid w:val="00D353E4"/>
    <w:rsid w:val="00D36DE9"/>
    <w:rsid w:val="00D370FD"/>
    <w:rsid w:val="00D458D7"/>
    <w:rsid w:val="00D46136"/>
    <w:rsid w:val="00D46F66"/>
    <w:rsid w:val="00D475CE"/>
    <w:rsid w:val="00D50092"/>
    <w:rsid w:val="00D5353C"/>
    <w:rsid w:val="00D536F6"/>
    <w:rsid w:val="00D53922"/>
    <w:rsid w:val="00D5470E"/>
    <w:rsid w:val="00D556D7"/>
    <w:rsid w:val="00D616E9"/>
    <w:rsid w:val="00D6309D"/>
    <w:rsid w:val="00D639CB"/>
    <w:rsid w:val="00D6515C"/>
    <w:rsid w:val="00D67B60"/>
    <w:rsid w:val="00D70C90"/>
    <w:rsid w:val="00D725A7"/>
    <w:rsid w:val="00D72EB0"/>
    <w:rsid w:val="00D7419B"/>
    <w:rsid w:val="00D76334"/>
    <w:rsid w:val="00D774C8"/>
    <w:rsid w:val="00D8306A"/>
    <w:rsid w:val="00D83F87"/>
    <w:rsid w:val="00D845C9"/>
    <w:rsid w:val="00D8494F"/>
    <w:rsid w:val="00D850C3"/>
    <w:rsid w:val="00D85615"/>
    <w:rsid w:val="00D86774"/>
    <w:rsid w:val="00D91857"/>
    <w:rsid w:val="00D92044"/>
    <w:rsid w:val="00D93365"/>
    <w:rsid w:val="00D938FC"/>
    <w:rsid w:val="00D93BC9"/>
    <w:rsid w:val="00D94862"/>
    <w:rsid w:val="00D9585E"/>
    <w:rsid w:val="00D96B46"/>
    <w:rsid w:val="00D97FDB"/>
    <w:rsid w:val="00DA0DC7"/>
    <w:rsid w:val="00DA2345"/>
    <w:rsid w:val="00DA25D1"/>
    <w:rsid w:val="00DA2B91"/>
    <w:rsid w:val="00DA40F4"/>
    <w:rsid w:val="00DA4C65"/>
    <w:rsid w:val="00DA4FE9"/>
    <w:rsid w:val="00DA6AC9"/>
    <w:rsid w:val="00DB01A3"/>
    <w:rsid w:val="00DB087A"/>
    <w:rsid w:val="00DB0D8D"/>
    <w:rsid w:val="00DB1FF9"/>
    <w:rsid w:val="00DB6F9A"/>
    <w:rsid w:val="00DB7C6A"/>
    <w:rsid w:val="00DC1390"/>
    <w:rsid w:val="00DC26A5"/>
    <w:rsid w:val="00DC3787"/>
    <w:rsid w:val="00DC413B"/>
    <w:rsid w:val="00DC6429"/>
    <w:rsid w:val="00DC6D8B"/>
    <w:rsid w:val="00DD019F"/>
    <w:rsid w:val="00DD02D4"/>
    <w:rsid w:val="00DD0B6B"/>
    <w:rsid w:val="00DE0793"/>
    <w:rsid w:val="00DE0A80"/>
    <w:rsid w:val="00DE3169"/>
    <w:rsid w:val="00DE4746"/>
    <w:rsid w:val="00DE555F"/>
    <w:rsid w:val="00DE60A3"/>
    <w:rsid w:val="00DE65F3"/>
    <w:rsid w:val="00DE75E1"/>
    <w:rsid w:val="00DE7EDC"/>
    <w:rsid w:val="00DF1A17"/>
    <w:rsid w:val="00DF6E7F"/>
    <w:rsid w:val="00DF7391"/>
    <w:rsid w:val="00E005B8"/>
    <w:rsid w:val="00E00F26"/>
    <w:rsid w:val="00E0194E"/>
    <w:rsid w:val="00E01D4C"/>
    <w:rsid w:val="00E01F9F"/>
    <w:rsid w:val="00E02495"/>
    <w:rsid w:val="00E02E11"/>
    <w:rsid w:val="00E05F65"/>
    <w:rsid w:val="00E06683"/>
    <w:rsid w:val="00E06872"/>
    <w:rsid w:val="00E104E7"/>
    <w:rsid w:val="00E11390"/>
    <w:rsid w:val="00E11709"/>
    <w:rsid w:val="00E13E2B"/>
    <w:rsid w:val="00E14382"/>
    <w:rsid w:val="00E154E8"/>
    <w:rsid w:val="00E16596"/>
    <w:rsid w:val="00E2187E"/>
    <w:rsid w:val="00E218C5"/>
    <w:rsid w:val="00E22547"/>
    <w:rsid w:val="00E2289A"/>
    <w:rsid w:val="00E237B1"/>
    <w:rsid w:val="00E30532"/>
    <w:rsid w:val="00E30ABC"/>
    <w:rsid w:val="00E311C1"/>
    <w:rsid w:val="00E33325"/>
    <w:rsid w:val="00E35ACB"/>
    <w:rsid w:val="00E3633E"/>
    <w:rsid w:val="00E365D6"/>
    <w:rsid w:val="00E36F40"/>
    <w:rsid w:val="00E37943"/>
    <w:rsid w:val="00E37A7F"/>
    <w:rsid w:val="00E40F41"/>
    <w:rsid w:val="00E4103D"/>
    <w:rsid w:val="00E42094"/>
    <w:rsid w:val="00E42FDA"/>
    <w:rsid w:val="00E43774"/>
    <w:rsid w:val="00E44140"/>
    <w:rsid w:val="00E44244"/>
    <w:rsid w:val="00E44E66"/>
    <w:rsid w:val="00E51468"/>
    <w:rsid w:val="00E514BF"/>
    <w:rsid w:val="00E51AE4"/>
    <w:rsid w:val="00E53530"/>
    <w:rsid w:val="00E53FED"/>
    <w:rsid w:val="00E549E3"/>
    <w:rsid w:val="00E55DD0"/>
    <w:rsid w:val="00E56FE8"/>
    <w:rsid w:val="00E61293"/>
    <w:rsid w:val="00E6281A"/>
    <w:rsid w:val="00E62BD1"/>
    <w:rsid w:val="00E6377C"/>
    <w:rsid w:val="00E6429D"/>
    <w:rsid w:val="00E64C98"/>
    <w:rsid w:val="00E66BA4"/>
    <w:rsid w:val="00E675B6"/>
    <w:rsid w:val="00E744EE"/>
    <w:rsid w:val="00E748AA"/>
    <w:rsid w:val="00E751F6"/>
    <w:rsid w:val="00E752C4"/>
    <w:rsid w:val="00E758D1"/>
    <w:rsid w:val="00E75953"/>
    <w:rsid w:val="00E75990"/>
    <w:rsid w:val="00E76E63"/>
    <w:rsid w:val="00E80F68"/>
    <w:rsid w:val="00E81F91"/>
    <w:rsid w:val="00E82F9E"/>
    <w:rsid w:val="00E837BA"/>
    <w:rsid w:val="00E8387B"/>
    <w:rsid w:val="00E84EAF"/>
    <w:rsid w:val="00E85AB2"/>
    <w:rsid w:val="00E87EAA"/>
    <w:rsid w:val="00E909D6"/>
    <w:rsid w:val="00E909FA"/>
    <w:rsid w:val="00E916C6"/>
    <w:rsid w:val="00E92544"/>
    <w:rsid w:val="00E95D70"/>
    <w:rsid w:val="00E972B7"/>
    <w:rsid w:val="00EA1B30"/>
    <w:rsid w:val="00EA1F85"/>
    <w:rsid w:val="00EA336A"/>
    <w:rsid w:val="00EA773C"/>
    <w:rsid w:val="00EB002E"/>
    <w:rsid w:val="00EB0285"/>
    <w:rsid w:val="00EB0CA3"/>
    <w:rsid w:val="00EB0EBB"/>
    <w:rsid w:val="00EB19E3"/>
    <w:rsid w:val="00EB293B"/>
    <w:rsid w:val="00EB3941"/>
    <w:rsid w:val="00EB6003"/>
    <w:rsid w:val="00EB71CD"/>
    <w:rsid w:val="00EC133A"/>
    <w:rsid w:val="00EC3067"/>
    <w:rsid w:val="00EC5685"/>
    <w:rsid w:val="00EC6C40"/>
    <w:rsid w:val="00ED0703"/>
    <w:rsid w:val="00ED1D1C"/>
    <w:rsid w:val="00ED2055"/>
    <w:rsid w:val="00ED229C"/>
    <w:rsid w:val="00ED3836"/>
    <w:rsid w:val="00ED3BAB"/>
    <w:rsid w:val="00ED3BC0"/>
    <w:rsid w:val="00ED3F36"/>
    <w:rsid w:val="00ED4EF2"/>
    <w:rsid w:val="00ED620C"/>
    <w:rsid w:val="00ED62DD"/>
    <w:rsid w:val="00ED793A"/>
    <w:rsid w:val="00EE0901"/>
    <w:rsid w:val="00EE1646"/>
    <w:rsid w:val="00EE3BDD"/>
    <w:rsid w:val="00EE4750"/>
    <w:rsid w:val="00EE4D0A"/>
    <w:rsid w:val="00EE511C"/>
    <w:rsid w:val="00EE5294"/>
    <w:rsid w:val="00EE662E"/>
    <w:rsid w:val="00EE7AE4"/>
    <w:rsid w:val="00EF0463"/>
    <w:rsid w:val="00EF29DC"/>
    <w:rsid w:val="00EF326C"/>
    <w:rsid w:val="00EF3791"/>
    <w:rsid w:val="00F01B20"/>
    <w:rsid w:val="00F02E7D"/>
    <w:rsid w:val="00F030F8"/>
    <w:rsid w:val="00F03371"/>
    <w:rsid w:val="00F052FE"/>
    <w:rsid w:val="00F0627E"/>
    <w:rsid w:val="00F06D81"/>
    <w:rsid w:val="00F109DC"/>
    <w:rsid w:val="00F11BEB"/>
    <w:rsid w:val="00F11CBE"/>
    <w:rsid w:val="00F124B8"/>
    <w:rsid w:val="00F1697F"/>
    <w:rsid w:val="00F16984"/>
    <w:rsid w:val="00F16E7C"/>
    <w:rsid w:val="00F17233"/>
    <w:rsid w:val="00F21188"/>
    <w:rsid w:val="00F21A4A"/>
    <w:rsid w:val="00F21E29"/>
    <w:rsid w:val="00F2384C"/>
    <w:rsid w:val="00F23C93"/>
    <w:rsid w:val="00F2557B"/>
    <w:rsid w:val="00F25681"/>
    <w:rsid w:val="00F26022"/>
    <w:rsid w:val="00F26EF5"/>
    <w:rsid w:val="00F27011"/>
    <w:rsid w:val="00F2775E"/>
    <w:rsid w:val="00F306D0"/>
    <w:rsid w:val="00F30D86"/>
    <w:rsid w:val="00F3209B"/>
    <w:rsid w:val="00F338D6"/>
    <w:rsid w:val="00F346DB"/>
    <w:rsid w:val="00F35193"/>
    <w:rsid w:val="00F406F6"/>
    <w:rsid w:val="00F4190C"/>
    <w:rsid w:val="00F41E83"/>
    <w:rsid w:val="00F44645"/>
    <w:rsid w:val="00F45356"/>
    <w:rsid w:val="00F45AB0"/>
    <w:rsid w:val="00F4796B"/>
    <w:rsid w:val="00F518C6"/>
    <w:rsid w:val="00F53205"/>
    <w:rsid w:val="00F5548B"/>
    <w:rsid w:val="00F55EAA"/>
    <w:rsid w:val="00F579D8"/>
    <w:rsid w:val="00F61D34"/>
    <w:rsid w:val="00F65699"/>
    <w:rsid w:val="00F65A2D"/>
    <w:rsid w:val="00F67E5F"/>
    <w:rsid w:val="00F70312"/>
    <w:rsid w:val="00F723D7"/>
    <w:rsid w:val="00F73EC1"/>
    <w:rsid w:val="00F74E10"/>
    <w:rsid w:val="00F74FB1"/>
    <w:rsid w:val="00F81CA4"/>
    <w:rsid w:val="00F83C2F"/>
    <w:rsid w:val="00F87647"/>
    <w:rsid w:val="00F87B7C"/>
    <w:rsid w:val="00F909C0"/>
    <w:rsid w:val="00F90DED"/>
    <w:rsid w:val="00F90F08"/>
    <w:rsid w:val="00F915E1"/>
    <w:rsid w:val="00F91F00"/>
    <w:rsid w:val="00F92A49"/>
    <w:rsid w:val="00F9303A"/>
    <w:rsid w:val="00F93D04"/>
    <w:rsid w:val="00F962E1"/>
    <w:rsid w:val="00FA1252"/>
    <w:rsid w:val="00FA1DE7"/>
    <w:rsid w:val="00FA3806"/>
    <w:rsid w:val="00FA3A57"/>
    <w:rsid w:val="00FA62F2"/>
    <w:rsid w:val="00FA6B1D"/>
    <w:rsid w:val="00FB01B1"/>
    <w:rsid w:val="00FB0553"/>
    <w:rsid w:val="00FB1A50"/>
    <w:rsid w:val="00FB4763"/>
    <w:rsid w:val="00FB54E7"/>
    <w:rsid w:val="00FB63AD"/>
    <w:rsid w:val="00FB7040"/>
    <w:rsid w:val="00FC024F"/>
    <w:rsid w:val="00FC1519"/>
    <w:rsid w:val="00FC1CB9"/>
    <w:rsid w:val="00FC33A2"/>
    <w:rsid w:val="00FC3B89"/>
    <w:rsid w:val="00FC5EE6"/>
    <w:rsid w:val="00FC6DE9"/>
    <w:rsid w:val="00FD0B70"/>
    <w:rsid w:val="00FD13FA"/>
    <w:rsid w:val="00FD143D"/>
    <w:rsid w:val="00FD5BFD"/>
    <w:rsid w:val="00FD6734"/>
    <w:rsid w:val="00FD70D5"/>
    <w:rsid w:val="00FE2D66"/>
    <w:rsid w:val="00FE49F1"/>
    <w:rsid w:val="00FF2875"/>
    <w:rsid w:val="00FF2F20"/>
    <w:rsid w:val="00FF3AEA"/>
    <w:rsid w:val="00FF4D86"/>
    <w:rsid w:val="00FF5739"/>
    <w:rsid w:val="00FF643A"/>
    <w:rsid w:val="00FF69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1793"/>
    <o:shapelayout v:ext="edit">
      <o:idmap v:ext="edit" data="1"/>
    </o:shapelayout>
  </w:shapeDefaults>
  <w:decimalSymbol w:val="."/>
  <w:listSeparator w:val=","/>
  <w14:docId w14:val="3609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347F02"/>
    <w:pPr>
      <w:keepNext/>
      <w:keepLines/>
      <w:spacing w:before="480" w:after="0"/>
      <w:ind w:left="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112BC"/>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106C5C"/>
    <w:pPr>
      <w:keepNext/>
      <w:keepLines/>
      <w:numPr>
        <w:numId w:val="8"/>
      </w:numPr>
      <w:spacing w:before="200" w:after="0"/>
      <w:outlineLvl w:val="2"/>
    </w:pPr>
    <w:rPr>
      <w:rFonts w:ascii="Arial" w:eastAsiaTheme="majorEastAsia" w:hAnsi="Arial" w:cstheme="majorBidi"/>
      <w:b/>
      <w:bCs/>
      <w:sz w:val="20"/>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347F0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1112BC"/>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106C5C"/>
    <w:rPr>
      <w:rFonts w:ascii="Arial" w:eastAsiaTheme="majorEastAsia" w:hAnsi="Arial" w:cstheme="majorBidi"/>
      <w:b/>
      <w:bCs/>
      <w:sz w:val="20"/>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qFormat/>
    <w:rsid w:val="00986773"/>
    <w:pPr>
      <w:tabs>
        <w:tab w:val="right" w:pos="14884"/>
      </w:tabs>
      <w:spacing w:before="0" w:after="0"/>
      <w:ind w:left="-142"/>
    </w:pPr>
    <w:rPr>
      <w:b/>
    </w:rPr>
  </w:style>
  <w:style w:type="paragraph" w:styleId="TOC2">
    <w:name w:val="toc 2"/>
    <w:basedOn w:val="Normal"/>
    <w:next w:val="Normal"/>
    <w:autoRedefine/>
    <w:uiPriority w:val="39"/>
    <w:unhideWhenUsed/>
    <w:qFormat/>
    <w:rsid w:val="00986773"/>
    <w:pPr>
      <w:tabs>
        <w:tab w:val="left" w:pos="709"/>
        <w:tab w:val="right" w:pos="14884"/>
      </w:tabs>
      <w:spacing w:before="0" w:after="0"/>
      <w:ind w:hanging="426"/>
    </w:pPr>
    <w:rPr>
      <w:b/>
      <w:noProof/>
    </w:r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qFormat/>
    <w:rsid w:val="00986773"/>
    <w:pPr>
      <w:tabs>
        <w:tab w:val="right" w:pos="14732"/>
      </w:tabs>
      <w:spacing w:before="0" w:after="0"/>
      <w:ind w:left="442"/>
    </w:pPr>
    <w:rPr>
      <w:noProof/>
    </w:r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E51AE4"/>
    <w:pPr>
      <w:spacing w:before="0" w:line="240" w:lineRule="auto"/>
    </w:pPr>
    <w:rPr>
      <w:rFonts w:ascii="Arial" w:hAnsi="Arial"/>
      <w:b/>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4411">
      <w:bodyDiv w:val="1"/>
      <w:marLeft w:val="0"/>
      <w:marRight w:val="0"/>
      <w:marTop w:val="0"/>
      <w:marBottom w:val="0"/>
      <w:divBdr>
        <w:top w:val="none" w:sz="0" w:space="0" w:color="auto"/>
        <w:left w:val="none" w:sz="0" w:space="0" w:color="auto"/>
        <w:bottom w:val="none" w:sz="0" w:space="0" w:color="auto"/>
        <w:right w:val="none" w:sz="0" w:space="0" w:color="auto"/>
      </w:divBdr>
    </w:div>
    <w:div w:id="192811280">
      <w:bodyDiv w:val="1"/>
      <w:marLeft w:val="0"/>
      <w:marRight w:val="0"/>
      <w:marTop w:val="0"/>
      <w:marBottom w:val="0"/>
      <w:divBdr>
        <w:top w:val="none" w:sz="0" w:space="0" w:color="auto"/>
        <w:left w:val="none" w:sz="0" w:space="0" w:color="auto"/>
        <w:bottom w:val="none" w:sz="0" w:space="0" w:color="auto"/>
        <w:right w:val="none" w:sz="0" w:space="0" w:color="auto"/>
      </w:divBdr>
    </w:div>
    <w:div w:id="272983178">
      <w:bodyDiv w:val="1"/>
      <w:marLeft w:val="0"/>
      <w:marRight w:val="0"/>
      <w:marTop w:val="0"/>
      <w:marBottom w:val="0"/>
      <w:divBdr>
        <w:top w:val="none" w:sz="0" w:space="0" w:color="auto"/>
        <w:left w:val="none" w:sz="0" w:space="0" w:color="auto"/>
        <w:bottom w:val="none" w:sz="0" w:space="0" w:color="auto"/>
        <w:right w:val="none" w:sz="0" w:space="0" w:color="auto"/>
      </w:divBdr>
    </w:div>
    <w:div w:id="302199844">
      <w:bodyDiv w:val="1"/>
      <w:marLeft w:val="0"/>
      <w:marRight w:val="0"/>
      <w:marTop w:val="0"/>
      <w:marBottom w:val="0"/>
      <w:divBdr>
        <w:top w:val="none" w:sz="0" w:space="0" w:color="auto"/>
        <w:left w:val="none" w:sz="0" w:space="0" w:color="auto"/>
        <w:bottom w:val="none" w:sz="0" w:space="0" w:color="auto"/>
        <w:right w:val="none" w:sz="0" w:space="0" w:color="auto"/>
      </w:divBdr>
    </w:div>
    <w:div w:id="303240666">
      <w:bodyDiv w:val="1"/>
      <w:marLeft w:val="0"/>
      <w:marRight w:val="0"/>
      <w:marTop w:val="0"/>
      <w:marBottom w:val="0"/>
      <w:divBdr>
        <w:top w:val="none" w:sz="0" w:space="0" w:color="auto"/>
        <w:left w:val="none" w:sz="0" w:space="0" w:color="auto"/>
        <w:bottom w:val="none" w:sz="0" w:space="0" w:color="auto"/>
        <w:right w:val="none" w:sz="0" w:space="0" w:color="auto"/>
      </w:divBdr>
    </w:div>
    <w:div w:id="363678876">
      <w:bodyDiv w:val="1"/>
      <w:marLeft w:val="0"/>
      <w:marRight w:val="0"/>
      <w:marTop w:val="0"/>
      <w:marBottom w:val="0"/>
      <w:divBdr>
        <w:top w:val="none" w:sz="0" w:space="0" w:color="auto"/>
        <w:left w:val="none" w:sz="0" w:space="0" w:color="auto"/>
        <w:bottom w:val="none" w:sz="0" w:space="0" w:color="auto"/>
        <w:right w:val="none" w:sz="0" w:space="0" w:color="auto"/>
      </w:divBdr>
    </w:div>
    <w:div w:id="475269260">
      <w:bodyDiv w:val="1"/>
      <w:marLeft w:val="0"/>
      <w:marRight w:val="0"/>
      <w:marTop w:val="0"/>
      <w:marBottom w:val="0"/>
      <w:divBdr>
        <w:top w:val="none" w:sz="0" w:space="0" w:color="auto"/>
        <w:left w:val="none" w:sz="0" w:space="0" w:color="auto"/>
        <w:bottom w:val="none" w:sz="0" w:space="0" w:color="auto"/>
        <w:right w:val="none" w:sz="0" w:space="0" w:color="auto"/>
      </w:divBdr>
    </w:div>
    <w:div w:id="685864360">
      <w:bodyDiv w:val="1"/>
      <w:marLeft w:val="0"/>
      <w:marRight w:val="0"/>
      <w:marTop w:val="0"/>
      <w:marBottom w:val="0"/>
      <w:divBdr>
        <w:top w:val="none" w:sz="0" w:space="0" w:color="auto"/>
        <w:left w:val="none" w:sz="0" w:space="0" w:color="auto"/>
        <w:bottom w:val="none" w:sz="0" w:space="0" w:color="auto"/>
        <w:right w:val="none" w:sz="0" w:space="0" w:color="auto"/>
      </w:divBdr>
    </w:div>
    <w:div w:id="922373506">
      <w:bodyDiv w:val="1"/>
      <w:marLeft w:val="0"/>
      <w:marRight w:val="0"/>
      <w:marTop w:val="0"/>
      <w:marBottom w:val="0"/>
      <w:divBdr>
        <w:top w:val="none" w:sz="0" w:space="0" w:color="auto"/>
        <w:left w:val="none" w:sz="0" w:space="0" w:color="auto"/>
        <w:bottom w:val="none" w:sz="0" w:space="0" w:color="auto"/>
        <w:right w:val="none" w:sz="0" w:space="0" w:color="auto"/>
      </w:divBdr>
    </w:div>
    <w:div w:id="993993755">
      <w:bodyDiv w:val="1"/>
      <w:marLeft w:val="0"/>
      <w:marRight w:val="0"/>
      <w:marTop w:val="0"/>
      <w:marBottom w:val="0"/>
      <w:divBdr>
        <w:top w:val="none" w:sz="0" w:space="0" w:color="auto"/>
        <w:left w:val="none" w:sz="0" w:space="0" w:color="auto"/>
        <w:bottom w:val="none" w:sz="0" w:space="0" w:color="auto"/>
        <w:right w:val="none" w:sz="0" w:space="0" w:color="auto"/>
      </w:divBdr>
    </w:div>
    <w:div w:id="1138451410">
      <w:bodyDiv w:val="1"/>
      <w:marLeft w:val="0"/>
      <w:marRight w:val="0"/>
      <w:marTop w:val="0"/>
      <w:marBottom w:val="0"/>
      <w:divBdr>
        <w:top w:val="none" w:sz="0" w:space="0" w:color="auto"/>
        <w:left w:val="none" w:sz="0" w:space="0" w:color="auto"/>
        <w:bottom w:val="none" w:sz="0" w:space="0" w:color="auto"/>
        <w:right w:val="none" w:sz="0" w:space="0" w:color="auto"/>
      </w:divBdr>
    </w:div>
    <w:div w:id="1144471084">
      <w:bodyDiv w:val="1"/>
      <w:marLeft w:val="0"/>
      <w:marRight w:val="0"/>
      <w:marTop w:val="0"/>
      <w:marBottom w:val="0"/>
      <w:divBdr>
        <w:top w:val="none" w:sz="0" w:space="0" w:color="auto"/>
        <w:left w:val="none" w:sz="0" w:space="0" w:color="auto"/>
        <w:bottom w:val="none" w:sz="0" w:space="0" w:color="auto"/>
        <w:right w:val="none" w:sz="0" w:space="0" w:color="auto"/>
      </w:divBdr>
    </w:div>
    <w:div w:id="1180856819">
      <w:bodyDiv w:val="1"/>
      <w:marLeft w:val="0"/>
      <w:marRight w:val="0"/>
      <w:marTop w:val="0"/>
      <w:marBottom w:val="0"/>
      <w:divBdr>
        <w:top w:val="none" w:sz="0" w:space="0" w:color="auto"/>
        <w:left w:val="none" w:sz="0" w:space="0" w:color="auto"/>
        <w:bottom w:val="none" w:sz="0" w:space="0" w:color="auto"/>
        <w:right w:val="none" w:sz="0" w:space="0" w:color="auto"/>
      </w:divBdr>
    </w:div>
    <w:div w:id="1302418526">
      <w:bodyDiv w:val="1"/>
      <w:marLeft w:val="0"/>
      <w:marRight w:val="0"/>
      <w:marTop w:val="0"/>
      <w:marBottom w:val="0"/>
      <w:divBdr>
        <w:top w:val="none" w:sz="0" w:space="0" w:color="auto"/>
        <w:left w:val="none" w:sz="0" w:space="0" w:color="auto"/>
        <w:bottom w:val="none" w:sz="0" w:space="0" w:color="auto"/>
        <w:right w:val="none" w:sz="0" w:space="0" w:color="auto"/>
      </w:divBdr>
    </w:div>
    <w:div w:id="1400906368">
      <w:bodyDiv w:val="1"/>
      <w:marLeft w:val="0"/>
      <w:marRight w:val="0"/>
      <w:marTop w:val="0"/>
      <w:marBottom w:val="0"/>
      <w:divBdr>
        <w:top w:val="none" w:sz="0" w:space="0" w:color="auto"/>
        <w:left w:val="none" w:sz="0" w:space="0" w:color="auto"/>
        <w:bottom w:val="none" w:sz="0" w:space="0" w:color="auto"/>
        <w:right w:val="none" w:sz="0" w:space="0" w:color="auto"/>
      </w:divBdr>
    </w:div>
    <w:div w:id="1413428938">
      <w:bodyDiv w:val="1"/>
      <w:marLeft w:val="0"/>
      <w:marRight w:val="0"/>
      <w:marTop w:val="0"/>
      <w:marBottom w:val="0"/>
      <w:divBdr>
        <w:top w:val="none" w:sz="0" w:space="0" w:color="auto"/>
        <w:left w:val="none" w:sz="0" w:space="0" w:color="auto"/>
        <w:bottom w:val="none" w:sz="0" w:space="0" w:color="auto"/>
        <w:right w:val="none" w:sz="0" w:space="0" w:color="auto"/>
      </w:divBdr>
    </w:div>
    <w:div w:id="1429693210">
      <w:bodyDiv w:val="1"/>
      <w:marLeft w:val="0"/>
      <w:marRight w:val="0"/>
      <w:marTop w:val="0"/>
      <w:marBottom w:val="0"/>
      <w:divBdr>
        <w:top w:val="none" w:sz="0" w:space="0" w:color="auto"/>
        <w:left w:val="none" w:sz="0" w:space="0" w:color="auto"/>
        <w:bottom w:val="none" w:sz="0" w:space="0" w:color="auto"/>
        <w:right w:val="none" w:sz="0" w:space="0" w:color="auto"/>
      </w:divBdr>
    </w:div>
    <w:div w:id="1429765819">
      <w:bodyDiv w:val="1"/>
      <w:marLeft w:val="0"/>
      <w:marRight w:val="0"/>
      <w:marTop w:val="0"/>
      <w:marBottom w:val="0"/>
      <w:divBdr>
        <w:top w:val="none" w:sz="0" w:space="0" w:color="auto"/>
        <w:left w:val="none" w:sz="0" w:space="0" w:color="auto"/>
        <w:bottom w:val="none" w:sz="0" w:space="0" w:color="auto"/>
        <w:right w:val="none" w:sz="0" w:space="0" w:color="auto"/>
      </w:divBdr>
    </w:div>
    <w:div w:id="1505903124">
      <w:bodyDiv w:val="1"/>
      <w:marLeft w:val="0"/>
      <w:marRight w:val="0"/>
      <w:marTop w:val="0"/>
      <w:marBottom w:val="0"/>
      <w:divBdr>
        <w:top w:val="none" w:sz="0" w:space="0" w:color="auto"/>
        <w:left w:val="none" w:sz="0" w:space="0" w:color="auto"/>
        <w:bottom w:val="none" w:sz="0" w:space="0" w:color="auto"/>
        <w:right w:val="none" w:sz="0" w:space="0" w:color="auto"/>
      </w:divBdr>
    </w:div>
    <w:div w:id="1641886748">
      <w:bodyDiv w:val="1"/>
      <w:marLeft w:val="0"/>
      <w:marRight w:val="0"/>
      <w:marTop w:val="0"/>
      <w:marBottom w:val="0"/>
      <w:divBdr>
        <w:top w:val="none" w:sz="0" w:space="0" w:color="auto"/>
        <w:left w:val="none" w:sz="0" w:space="0" w:color="auto"/>
        <w:bottom w:val="none" w:sz="0" w:space="0" w:color="auto"/>
        <w:right w:val="none" w:sz="0" w:space="0" w:color="auto"/>
      </w:divBdr>
    </w:div>
    <w:div w:id="1671105623">
      <w:bodyDiv w:val="1"/>
      <w:marLeft w:val="0"/>
      <w:marRight w:val="0"/>
      <w:marTop w:val="0"/>
      <w:marBottom w:val="0"/>
      <w:divBdr>
        <w:top w:val="none" w:sz="0" w:space="0" w:color="auto"/>
        <w:left w:val="none" w:sz="0" w:space="0" w:color="auto"/>
        <w:bottom w:val="none" w:sz="0" w:space="0" w:color="auto"/>
        <w:right w:val="none" w:sz="0" w:space="0" w:color="auto"/>
      </w:divBdr>
    </w:div>
    <w:div w:id="1807048167">
      <w:bodyDiv w:val="1"/>
      <w:marLeft w:val="0"/>
      <w:marRight w:val="0"/>
      <w:marTop w:val="0"/>
      <w:marBottom w:val="0"/>
      <w:divBdr>
        <w:top w:val="none" w:sz="0" w:space="0" w:color="auto"/>
        <w:left w:val="none" w:sz="0" w:space="0" w:color="auto"/>
        <w:bottom w:val="none" w:sz="0" w:space="0" w:color="auto"/>
        <w:right w:val="none" w:sz="0" w:space="0" w:color="auto"/>
      </w:divBdr>
    </w:div>
    <w:div w:id="1866167158">
      <w:bodyDiv w:val="1"/>
      <w:marLeft w:val="0"/>
      <w:marRight w:val="0"/>
      <w:marTop w:val="0"/>
      <w:marBottom w:val="0"/>
      <w:divBdr>
        <w:top w:val="none" w:sz="0" w:space="0" w:color="auto"/>
        <w:left w:val="none" w:sz="0" w:space="0" w:color="auto"/>
        <w:bottom w:val="none" w:sz="0" w:space="0" w:color="auto"/>
        <w:right w:val="none" w:sz="0" w:space="0" w:color="auto"/>
      </w:divBdr>
    </w:div>
    <w:div w:id="2013533844">
      <w:bodyDiv w:val="1"/>
      <w:marLeft w:val="0"/>
      <w:marRight w:val="0"/>
      <w:marTop w:val="0"/>
      <w:marBottom w:val="0"/>
      <w:divBdr>
        <w:top w:val="none" w:sz="0" w:space="0" w:color="auto"/>
        <w:left w:val="none" w:sz="0" w:space="0" w:color="auto"/>
        <w:bottom w:val="none" w:sz="0" w:space="0" w:color="auto"/>
        <w:right w:val="none" w:sz="0" w:space="0" w:color="auto"/>
      </w:divBdr>
    </w:div>
    <w:div w:id="2055692714">
      <w:bodyDiv w:val="1"/>
      <w:marLeft w:val="0"/>
      <w:marRight w:val="0"/>
      <w:marTop w:val="0"/>
      <w:marBottom w:val="0"/>
      <w:divBdr>
        <w:top w:val="none" w:sz="0" w:space="0" w:color="auto"/>
        <w:left w:val="none" w:sz="0" w:space="0" w:color="auto"/>
        <w:bottom w:val="none" w:sz="0" w:space="0" w:color="auto"/>
        <w:right w:val="none" w:sz="0" w:space="0" w:color="auto"/>
      </w:divBdr>
    </w:div>
    <w:div w:id="209014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33CFF-FC35-4646-8709-40E4262F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9EFD659E.dotm</Template>
  <TotalTime>0</TotalTime>
  <Pages>46</Pages>
  <Words>14781</Words>
  <Characters>84257</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Job Seeker Compliance Data – December Quarter 2017</vt:lpstr>
    </vt:vector>
  </TitlesOfParts>
  <Company/>
  <LinksUpToDate>false</LinksUpToDate>
  <CharactersWithSpaces>98841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Seeker Compliance Data – December Quarter 2017</dc:title>
  <dc:creator/>
  <cp:lastModifiedBy/>
  <cp:revision>1</cp:revision>
  <dcterms:created xsi:type="dcterms:W3CDTF">2018-10-09T05:04:00Z</dcterms:created>
  <dcterms:modified xsi:type="dcterms:W3CDTF">2018-10-09T05:05:00Z</dcterms:modified>
</cp:coreProperties>
</file>