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9547C" w14:textId="3AA36118" w:rsidR="005565B8" w:rsidRDefault="00286F3C" w:rsidP="00C55A70">
      <w:pPr>
        <w:spacing w:after="1600"/>
        <w:sectPr w:rsidR="005565B8" w:rsidSect="00C55A70">
          <w:headerReference w:type="even" r:id="rId11"/>
          <w:headerReference w:type="default" r:id="rId12"/>
          <w:footerReference w:type="even" r:id="rId13"/>
          <w:footerReference w:type="default" r:id="rId14"/>
          <w:headerReference w:type="first" r:id="rId15"/>
          <w:footerReference w:type="first" r:id="rId16"/>
          <w:pgSz w:w="11906" w:h="16838"/>
          <w:pgMar w:top="1021" w:right="851" w:bottom="1418" w:left="851" w:header="227" w:footer="1474" w:gutter="0"/>
          <w:cols w:space="708"/>
          <w:titlePg/>
          <w:docGrid w:linePitch="360"/>
        </w:sectPr>
      </w:pPr>
      <w:r w:rsidRPr="00A547D7">
        <w:rPr>
          <w:noProof/>
          <w:color w:val="2B579A"/>
        </w:rPr>
        <w:drawing>
          <wp:inline distT="0" distB="0" distL="0" distR="0" wp14:anchorId="7D8C6F17" wp14:editId="2056004A">
            <wp:extent cx="3506400" cy="968400"/>
            <wp:effectExtent l="0" t="0" r="0" b="3175"/>
            <wp:docPr id="6" name="Picture 6" descr="Australian Government&#10;Workforce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ustralian Government&#10;Workforce Australia"/>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06400" cy="968400"/>
                    </a:xfrm>
                    <a:prstGeom prst="rect">
                      <a:avLst/>
                    </a:prstGeom>
                  </pic:spPr>
                </pic:pic>
              </a:graphicData>
            </a:graphic>
          </wp:inline>
        </w:drawing>
      </w:r>
      <w:r>
        <w:rPr>
          <w:noProof/>
          <w:color w:val="2B579A"/>
          <w:shd w:val="clear" w:color="auto" w:fill="E6E6E6"/>
        </w:rPr>
        <mc:AlternateContent>
          <mc:Choice Requires="wps">
            <w:drawing>
              <wp:anchor distT="0" distB="0" distL="114300" distR="114300" simplePos="0" relativeHeight="251661312" behindDoc="1" locked="0" layoutInCell="1" allowOverlap="1" wp14:anchorId="6EDC1A19" wp14:editId="689E361C">
                <wp:simplePos x="0" y="0"/>
                <wp:positionH relativeFrom="page">
                  <wp:align>left</wp:align>
                </wp:positionH>
                <wp:positionV relativeFrom="page">
                  <wp:posOffset>0</wp:posOffset>
                </wp:positionV>
                <wp:extent cx="7560000" cy="2160000"/>
                <wp:effectExtent l="0" t="0" r="3175"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2160000"/>
                        </a:xfrm>
                        <a:prstGeom prst="rect">
                          <a:avLst/>
                        </a:prstGeom>
                        <a:solidFill>
                          <a:srgbClr val="05153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dec="http://schemas.microsoft.com/office/drawing/2017/decorative">
            <w:pict>
              <v:rect id="Rectangle 3" style="position:absolute;margin-left:0;margin-top:0;width:595.3pt;height:170.1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alt="&quot;&quot;" o:spid="_x0000_s1026" fillcolor="#051532" stroked="f" strokeweight="1pt" w14:anchorId="1E561B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">
                <w10:wrap anchorx="page" anchory="page"/>
              </v:rect>
            </w:pict>
          </mc:Fallback>
        </mc:AlternateContent>
      </w:r>
    </w:p>
    <w:p w14:paraId="03831487" w14:textId="77777777" w:rsidR="008E09E1" w:rsidRPr="00A668BF" w:rsidRDefault="008E09E1" w:rsidP="008E09E1">
      <w:pPr>
        <w:pStyle w:val="Title"/>
      </w:pPr>
      <w:bookmarkStart w:id="0" w:name="_Toc30065222"/>
      <w:r>
        <w:t>Workforce Australia</w:t>
      </w:r>
    </w:p>
    <w:p w14:paraId="56B7434D" w14:textId="4DFF5A9E" w:rsidR="008E09E1" w:rsidRDefault="008E09E1" w:rsidP="008E09E1">
      <w:pPr>
        <w:pStyle w:val="Subtitle"/>
        <w:spacing w:before="120" w:after="120"/>
      </w:pPr>
      <w:r>
        <w:t>Information for providers</w:t>
      </w:r>
    </w:p>
    <w:p w14:paraId="4F9DCD05" w14:textId="02129FFF" w:rsidR="008E09E1" w:rsidRDefault="3238A619" w:rsidP="00E4104D">
      <w:r>
        <w:t xml:space="preserve">Workforce </w:t>
      </w:r>
      <w:r w:rsidR="00A547D7">
        <w:t>Australia is</w:t>
      </w:r>
      <w:r>
        <w:t xml:space="preserve"> helping Australians find </w:t>
      </w:r>
      <w:r w:rsidR="3EB308CA">
        <w:t>and keep a job</w:t>
      </w:r>
      <w:r>
        <w:t xml:space="preserve">, change </w:t>
      </w:r>
      <w:proofErr w:type="gramStart"/>
      <w:r>
        <w:t>jobs</w:t>
      </w:r>
      <w:proofErr w:type="gramEnd"/>
      <w:r>
        <w:t xml:space="preserve"> or create their own job. It connects </w:t>
      </w:r>
      <w:r w:rsidR="3A0D5310">
        <w:t xml:space="preserve">businesses </w:t>
      </w:r>
      <w:r>
        <w:t xml:space="preserve">with potential </w:t>
      </w:r>
      <w:r w:rsidR="00A547D7">
        <w:t>employees and</w:t>
      </w:r>
      <w:r>
        <w:t xml:space="preserve"> includes </w:t>
      </w:r>
      <w:r w:rsidR="00A547D7">
        <w:t>a network</w:t>
      </w:r>
      <w:r>
        <w:t xml:space="preserve"> of providers to </w:t>
      </w:r>
      <w:r w:rsidR="00A547D7">
        <w:t>deliver individualised</w:t>
      </w:r>
      <w:r>
        <w:t xml:space="preserve"> case management.</w:t>
      </w:r>
    </w:p>
    <w:p w14:paraId="73CF0FCE" w14:textId="48F6A201" w:rsidR="008E09E1" w:rsidRDefault="3238A619" w:rsidP="47AB2CC5">
      <w:pPr>
        <w:rPr>
          <w:color w:val="333333"/>
        </w:rPr>
      </w:pPr>
      <w:r w:rsidRPr="47AB2CC5">
        <w:rPr>
          <w:color w:val="333333"/>
        </w:rPr>
        <w:t xml:space="preserve">Workforce Australia delivers employment services based on individual needs – Workforce Australia Online for job-ready individuals who can manage their own employment pathways, with individuals that need, or would like, additional </w:t>
      </w:r>
      <w:r w:rsidR="00A547D7" w:rsidRPr="47AB2CC5">
        <w:rPr>
          <w:color w:val="333333"/>
        </w:rPr>
        <w:t>support connected</w:t>
      </w:r>
      <w:r w:rsidRPr="47AB2CC5">
        <w:rPr>
          <w:color w:val="333333"/>
        </w:rPr>
        <w:t xml:space="preserve"> to providers delivering individualised case management.</w:t>
      </w:r>
    </w:p>
    <w:p w14:paraId="699E4D9E" w14:textId="77777777" w:rsidR="008E09E1" w:rsidRDefault="008E09E1" w:rsidP="008E09E1">
      <w:pPr>
        <w:pStyle w:val="Heading1"/>
        <w:spacing w:before="120"/>
        <w:rPr>
          <w:rFonts w:eastAsiaTheme="minorHAnsi"/>
        </w:rPr>
      </w:pPr>
      <w:bookmarkStart w:id="1" w:name="_Hlk96005283"/>
      <w:bookmarkStart w:id="2" w:name="_Toc30065223"/>
      <w:bookmarkEnd w:id="0"/>
      <w:r>
        <w:rPr>
          <w:bCs/>
        </w:rPr>
        <w:t>Workforce Australia Employment Services Provider</w:t>
      </w:r>
      <w:bookmarkEnd w:id="1"/>
    </w:p>
    <w:p w14:paraId="791482EF" w14:textId="63606391" w:rsidR="008E09E1" w:rsidRDefault="008E09E1" w:rsidP="00E4104D">
      <w:r>
        <w:t xml:space="preserve">High-quality provider servicing is crucial to the success of Workforce Australia </w:t>
      </w:r>
      <w:r w:rsidR="00DD5E93">
        <w:t>S</w:t>
      </w:r>
      <w:r>
        <w:t xml:space="preserve">ervices. Licensed </w:t>
      </w:r>
      <w:r w:rsidR="00DD5E93">
        <w:t>E</w:t>
      </w:r>
      <w:r>
        <w:t xml:space="preserve">mployment </w:t>
      </w:r>
      <w:r w:rsidR="00DD5E93">
        <w:t>S</w:t>
      </w:r>
      <w:r>
        <w:t xml:space="preserve">ervices </w:t>
      </w:r>
      <w:r w:rsidR="00DD5E93">
        <w:t>P</w:t>
      </w:r>
      <w:r>
        <w:t xml:space="preserve">roviders are delivering services to individuals who are long-term unemployed or at risk of becoming so. </w:t>
      </w:r>
    </w:p>
    <w:p w14:paraId="11295BF6" w14:textId="03D8A658" w:rsidR="008E09E1" w:rsidRPr="00A547D7" w:rsidRDefault="32AAD9AC">
      <w:r w:rsidRPr="00A547D7">
        <w:t xml:space="preserve">Providers will guide individuals to manage their participation in Workforce Australia Services, including helping them </w:t>
      </w:r>
      <w:r>
        <w:t xml:space="preserve">to </w:t>
      </w:r>
      <w:r w:rsidRPr="00A547D7">
        <w:t>understand how to use the Points Based Activation System (PBAS)</w:t>
      </w:r>
      <w:r>
        <w:t>, and supporting them</w:t>
      </w:r>
      <w:r w:rsidRPr="00A547D7">
        <w:t xml:space="preserve"> to meet their </w:t>
      </w:r>
      <w:r>
        <w:t>mutual obligation requirements</w:t>
      </w:r>
      <w:r w:rsidRPr="00A547D7">
        <w:t>.</w:t>
      </w:r>
    </w:p>
    <w:p w14:paraId="7CFCB13F" w14:textId="0F0AC104" w:rsidR="008E09E1" w:rsidRDefault="008E09E1" w:rsidP="00A547D7">
      <w:r>
        <w:t>Providers support individuals into work through:</w:t>
      </w:r>
      <w:r w:rsidR="5FC1EFE3">
        <w:t xml:space="preserve"> </w:t>
      </w:r>
    </w:p>
    <w:p w14:paraId="45E179E2" w14:textId="7F334E2C" w:rsidR="5FC1EFE3" w:rsidRDefault="5FC1EFE3" w:rsidP="00A547D7">
      <w:pPr>
        <w:pStyle w:val="ListParagraph"/>
        <w:numPr>
          <w:ilvl w:val="0"/>
          <w:numId w:val="14"/>
        </w:numPr>
      </w:pPr>
      <w:r w:rsidRPr="5FC1EFE3">
        <w:t>career guidance, mentoring and vocational training</w:t>
      </w:r>
    </w:p>
    <w:p w14:paraId="0BCB3ACD" w14:textId="72479239" w:rsidR="5FC1EFE3" w:rsidRDefault="5FC1EFE3" w:rsidP="00A547D7">
      <w:pPr>
        <w:pStyle w:val="ListParagraph"/>
        <w:numPr>
          <w:ilvl w:val="0"/>
          <w:numId w:val="14"/>
        </w:numPr>
      </w:pPr>
      <w:r w:rsidRPr="5FC1EFE3">
        <w:t>work experience, job placements, work-related licensing, relocation assistance and post-placement support</w:t>
      </w:r>
    </w:p>
    <w:p w14:paraId="35A144ED" w14:textId="2A9B61B1" w:rsidR="5FC1EFE3" w:rsidRDefault="32AAD9AC" w:rsidP="00A547D7">
      <w:pPr>
        <w:pStyle w:val="ListParagraph"/>
        <w:numPr>
          <w:ilvl w:val="0"/>
          <w:numId w:val="14"/>
        </w:numPr>
      </w:pPr>
      <w:r>
        <w:t>support to access the online platform to manage mutual obligations and look for jobs</w:t>
      </w:r>
    </w:p>
    <w:p w14:paraId="7C49C596" w14:textId="0BD122B0" w:rsidR="5FC1EFE3" w:rsidRDefault="5FC1EFE3" w:rsidP="00A547D7">
      <w:pPr>
        <w:pStyle w:val="ListParagraph"/>
        <w:numPr>
          <w:ilvl w:val="0"/>
          <w:numId w:val="14"/>
        </w:numPr>
      </w:pPr>
      <w:r w:rsidRPr="5FC1EFE3">
        <w:t>career transition assistance for those 45 and over to help improve digital literacy and build confidence and skills</w:t>
      </w:r>
    </w:p>
    <w:p w14:paraId="1D29A282" w14:textId="1313D3C5" w:rsidR="5FC1EFE3" w:rsidRDefault="5FC1EFE3" w:rsidP="00A547D7">
      <w:pPr>
        <w:pStyle w:val="ListParagraph"/>
        <w:numPr>
          <w:ilvl w:val="0"/>
          <w:numId w:val="14"/>
        </w:numPr>
      </w:pPr>
      <w:r w:rsidRPr="5FC1EFE3">
        <w:t>training to explore career options, build job search and workplace skills</w:t>
      </w:r>
    </w:p>
    <w:p w14:paraId="3F299FC3" w14:textId="775B47CB" w:rsidR="5FC1EFE3" w:rsidRDefault="5FC1EFE3" w:rsidP="00A547D7">
      <w:pPr>
        <w:pStyle w:val="ListParagraph"/>
        <w:numPr>
          <w:ilvl w:val="0"/>
          <w:numId w:val="14"/>
        </w:numPr>
      </w:pPr>
      <w:r w:rsidRPr="5FC1EFE3">
        <w:t>services to help young people aged 15 to 24 into work or education</w:t>
      </w:r>
    </w:p>
    <w:p w14:paraId="21E6E264" w14:textId="46222428" w:rsidR="5FC1EFE3" w:rsidRDefault="5FC1EFE3" w:rsidP="00A547D7">
      <w:pPr>
        <w:pStyle w:val="ListParagraph"/>
        <w:numPr>
          <w:ilvl w:val="0"/>
          <w:numId w:val="14"/>
        </w:numPr>
      </w:pPr>
      <w:r w:rsidRPr="5FC1EFE3">
        <w:t>support to start and run a small business.</w:t>
      </w:r>
    </w:p>
    <w:p w14:paraId="3EE2D280" w14:textId="77777777" w:rsidR="008E09E1" w:rsidRDefault="008E09E1" w:rsidP="00E4104D">
      <w:r>
        <w:t>Providers are focusing their time and efforts on individuals who need more help, with the aim of reducing long-term unemployment.</w:t>
      </w:r>
    </w:p>
    <w:p w14:paraId="1EB25C75" w14:textId="658683FC" w:rsidR="008E09E1" w:rsidRPr="00F31590" w:rsidRDefault="008E09E1" w:rsidP="00E4104D">
      <w:r>
        <w:t xml:space="preserve">Providers need to </w:t>
      </w:r>
      <w:r w:rsidR="00A547D7">
        <w:t>demonstrate they</w:t>
      </w:r>
      <w:r>
        <w:t xml:space="preserve"> can effectively support individuals with more complex needs into employment through quality relationships with local businesses and strong links with local community services.</w:t>
      </w:r>
    </w:p>
    <w:p w14:paraId="3B91B3D2" w14:textId="77777777" w:rsidR="008E09E1" w:rsidRDefault="008E09E1" w:rsidP="5FC1EFE3">
      <w:pPr>
        <w:pStyle w:val="Heading1"/>
        <w:spacing w:before="120"/>
        <w:rPr>
          <w:rFonts w:eastAsiaTheme="minorEastAsia"/>
        </w:rPr>
      </w:pPr>
      <w:r w:rsidRPr="5FC1EFE3">
        <w:rPr>
          <w:rFonts w:eastAsiaTheme="minorEastAsia"/>
        </w:rPr>
        <w:t>Provider payment structure</w:t>
      </w:r>
    </w:p>
    <w:p w14:paraId="5FAC456C" w14:textId="77777777" w:rsidR="008E09E1" w:rsidRDefault="008E09E1">
      <w:r w:rsidRPr="00AE47AA">
        <w:t>Employment outcomes</w:t>
      </w:r>
      <w:r>
        <w:t xml:space="preserve"> are</w:t>
      </w:r>
      <w:r w:rsidRPr="00AE47AA">
        <w:t xml:space="preserve"> a core objective of </w:t>
      </w:r>
      <w:r>
        <w:t>Workforce Australia</w:t>
      </w:r>
      <w:r w:rsidRPr="00AE47AA">
        <w:t xml:space="preserve">. </w:t>
      </w:r>
    </w:p>
    <w:p w14:paraId="0E770816" w14:textId="77777777" w:rsidR="00A547D7" w:rsidRDefault="008E09E1">
      <w:r>
        <w:t xml:space="preserve">Providers are delivering personalised and intensive services through a payment structure which recognises caseloads are smaller and includes more disadvantaged </w:t>
      </w:r>
      <w:r w:rsidR="00A547D7">
        <w:t>individuals.</w:t>
      </w:r>
      <w:r>
        <w:t xml:space="preserve"> </w:t>
      </w:r>
    </w:p>
    <w:p w14:paraId="6EF01AAC" w14:textId="4EEDA8F1" w:rsidR="008E09E1" w:rsidRDefault="008E09E1">
      <w:r>
        <w:lastRenderedPageBreak/>
        <w:t xml:space="preserve">The supporting payments include: </w:t>
      </w:r>
    </w:p>
    <w:p w14:paraId="0C3C1B8B" w14:textId="4406B013" w:rsidR="008E09E1" w:rsidRDefault="008E09E1" w:rsidP="00A547D7">
      <w:pPr>
        <w:numPr>
          <w:ilvl w:val="0"/>
          <w:numId w:val="15"/>
        </w:numPr>
      </w:pPr>
      <w:r>
        <w:t xml:space="preserve">up-front payments to provide early </w:t>
      </w:r>
      <w:r w:rsidR="00A547D7">
        <w:t>support.</w:t>
      </w:r>
      <w:r>
        <w:t xml:space="preserve"> </w:t>
      </w:r>
    </w:p>
    <w:p w14:paraId="78F95C10" w14:textId="5B2C94A8" w:rsidR="008E09E1" w:rsidRPr="00AE47AA" w:rsidRDefault="008E09E1" w:rsidP="00A547D7">
      <w:pPr>
        <w:numPr>
          <w:ilvl w:val="0"/>
          <w:numId w:val="15"/>
        </w:numPr>
      </w:pPr>
      <w:r>
        <w:t xml:space="preserve">progress payments to recognise the investments made to get individuals job-ready, including efforts to reduce or remove non-vocational barriers.  </w:t>
      </w:r>
    </w:p>
    <w:p w14:paraId="114DD757" w14:textId="0DEF23AE" w:rsidR="008E09E1" w:rsidRDefault="008E09E1" w:rsidP="00A547D7">
      <w:pPr>
        <w:numPr>
          <w:ilvl w:val="0"/>
          <w:numId w:val="15"/>
        </w:numPr>
      </w:pPr>
      <w:r>
        <w:t>a partial 26-week outcome payment to recognise the more disadvantaged caseload and support job placements in industries such as the aged care sector, which has a high rate of part-time work.</w:t>
      </w:r>
    </w:p>
    <w:p w14:paraId="724ACC17" w14:textId="2A3883D5" w:rsidR="008E09E1" w:rsidRDefault="008E09E1" w:rsidP="00A547D7">
      <w:pPr>
        <w:numPr>
          <w:ilvl w:val="0"/>
          <w:numId w:val="15"/>
        </w:numPr>
      </w:pPr>
      <w:r>
        <w:t>a Very Long-Term Unemployment (VLTU) Bonus to be automatically paid alongside any 12-week or 26-week outcomes when the individual has been unemployed for more than 2 years.</w:t>
      </w:r>
    </w:p>
    <w:p w14:paraId="3A8483FE" w14:textId="77777777" w:rsidR="008E09E1" w:rsidRDefault="008E09E1" w:rsidP="00A547D7">
      <w:r>
        <w:t>The provider payment structure has been tested in the New Employment Services Trial. Based on learnings, stakeholder consultation and independent financial viability analysis, some adjustments have been made to the payment model to support the delivery of intensive case management through lower provider caseload ratios.</w:t>
      </w:r>
    </w:p>
    <w:p w14:paraId="08C88802" w14:textId="77777777" w:rsidR="008E09E1" w:rsidRDefault="008E09E1" w:rsidP="00A547D7">
      <w:r>
        <w:t>The payment structure achieves a balance in incentives to support the longer term and sustained investment required to achieve outcomes for hard to place individuals.</w:t>
      </w:r>
    </w:p>
    <w:p w14:paraId="10167B50" w14:textId="77777777" w:rsidR="008E09E1" w:rsidRPr="00261C92" w:rsidRDefault="008E09E1" w:rsidP="00E4104D">
      <w:pPr>
        <w:pStyle w:val="Heading1"/>
      </w:pPr>
      <w:r w:rsidRPr="00261C92">
        <w:t>Employment Fund</w:t>
      </w:r>
    </w:p>
    <w:p w14:paraId="49856396" w14:textId="31FAE0AA" w:rsidR="008E09E1" w:rsidRDefault="008E09E1" w:rsidP="00A547D7">
      <w:r>
        <w:t>Workforce Australia Employment Services Providers have access to an Employment Fund that they can use to support individuals to prepare for work, based on their needs. Relocation Assistance that supports individuals who need to move to take up a new job will be immediately available for all individuals through the Employment Fund.</w:t>
      </w:r>
    </w:p>
    <w:p w14:paraId="1D4A3BD3" w14:textId="77777777" w:rsidR="008E09E1" w:rsidRPr="00261C92" w:rsidRDefault="008E09E1" w:rsidP="00E4104D">
      <w:pPr>
        <w:pStyle w:val="Heading1"/>
      </w:pPr>
      <w:r w:rsidRPr="00261C92">
        <w:t>Wage subsidies</w:t>
      </w:r>
    </w:p>
    <w:p w14:paraId="43E5C852" w14:textId="44AB59A0" w:rsidR="008E09E1" w:rsidRDefault="3EB308CA" w:rsidP="00A547D7">
      <w:r>
        <w:t xml:space="preserve">Workforce Australia Employment Services Providers can administer wage subsidies of up to a maximum of $10,000 to support individuals into secure, ongoing employment. The Workforce Australia Services Wage Subsidy includes additional flexibility to allow providers to meet business and individual needs through negotiating the specific wage subsidy arrangements, including the length of the wage subsidy agreement, the average hours worked per week and the total amount of the wage subsidy. The Youth Bonus Wage Subsidy will continue to be available for businesses employing eligible individuals aged 15-24 years.  </w:t>
      </w:r>
    </w:p>
    <w:p w14:paraId="6142D43E" w14:textId="7C9A3121" w:rsidR="008E09E1" w:rsidRDefault="008E09E1" w:rsidP="00A547D7">
      <w:r>
        <w:t>For more information on provider payments, Employment Fund and wage subsidies, see</w:t>
      </w:r>
      <w:r w:rsidRPr="0086778C">
        <w:t xml:space="preserve"> the</w:t>
      </w:r>
      <w:r w:rsidR="00FB5456">
        <w:t xml:space="preserve"> </w:t>
      </w:r>
      <w:hyperlink r:id="rId18" w:history="1">
        <w:r w:rsidRPr="00D74174">
          <w:rPr>
            <w:rStyle w:val="Hyperlink"/>
          </w:rPr>
          <w:t>Workforce Australia Employment Services Provider - Payments</w:t>
        </w:r>
      </w:hyperlink>
      <w:r>
        <w:t xml:space="preserve">. </w:t>
      </w:r>
    </w:p>
    <w:p w14:paraId="5BD54249" w14:textId="425BAF4E" w:rsidR="008E09E1" w:rsidRPr="00E4104D" w:rsidRDefault="008E09E1" w:rsidP="00E4104D">
      <w:pPr>
        <w:pStyle w:val="Heading1"/>
      </w:pPr>
      <w:r>
        <w:t>The licensing system</w:t>
      </w:r>
      <w:bookmarkEnd w:id="2"/>
    </w:p>
    <w:p w14:paraId="1F5CDCB6" w14:textId="5E118EFD" w:rsidR="008E09E1" w:rsidRDefault="008E09E1" w:rsidP="00A547D7">
      <w:bookmarkStart w:id="3" w:name="_Toc30065224"/>
      <w:r>
        <w:t xml:space="preserve">The licensing system will drive quality outcomes, simplify providers’ entry and exit to the market, and cut red tape across the procurement process. </w:t>
      </w:r>
    </w:p>
    <w:p w14:paraId="488C0510" w14:textId="5F431043" w:rsidR="008E09E1" w:rsidRDefault="008E09E1" w:rsidP="00A547D7">
      <w:r>
        <w:t xml:space="preserve">A national panel of providers for the delivery of Workforce Australia </w:t>
      </w:r>
      <w:r w:rsidR="001F20DE">
        <w:t>S</w:t>
      </w:r>
      <w:r>
        <w:t>ervices has been established to deliver employment services to individuals who need additional support across all employment regions. Specialist providers will support individuals from diverse cohorts.</w:t>
      </w:r>
    </w:p>
    <w:p w14:paraId="3EAB1393" w14:textId="6CC0C339" w:rsidR="008E09E1" w:rsidRDefault="3EB308CA" w:rsidP="00A547D7">
      <w:r>
        <w:t xml:space="preserve">New providers will get support through the establishment of a $5 million capacity-building fund. The </w:t>
      </w:r>
      <w:r w:rsidR="00A547D7">
        <w:t>fund assists</w:t>
      </w:r>
      <w:r>
        <w:t xml:space="preserve"> eligible providers to achieve certification and requirements for cybersecurity, quality and governance.</w:t>
      </w:r>
    </w:p>
    <w:p w14:paraId="441AC34C" w14:textId="77777777" w:rsidR="008E09E1" w:rsidRPr="00CF38A5" w:rsidRDefault="008E09E1" w:rsidP="00E4104D">
      <w:pPr>
        <w:pStyle w:val="Heading1"/>
      </w:pPr>
      <w:r w:rsidRPr="00CF38A5">
        <w:t>Rewarding high quality services</w:t>
      </w:r>
    </w:p>
    <w:p w14:paraId="51C30CBB" w14:textId="7637F1B9" w:rsidR="008E09E1" w:rsidRDefault="3EB308CA" w:rsidP="008E09E1">
      <w:pPr>
        <w:spacing w:before="120"/>
      </w:pPr>
      <w:r>
        <w:t>Licences will be issued for an initial 3 years, with high performing providers receiving early and regular licence extensions, while poor performers may not have their licences renewed. If a new licence is later added to a region, or an existing provider exits, a new provider will be chosen from the panel.</w:t>
      </w:r>
    </w:p>
    <w:p w14:paraId="3F1524D2" w14:textId="3203DDD0" w:rsidR="47AB2CC5" w:rsidRPr="00772D75" w:rsidRDefault="47AB2CC5" w:rsidP="00772D75">
      <w:pPr>
        <w:spacing w:before="120"/>
      </w:pPr>
      <w:r w:rsidRPr="00772D75">
        <w:t xml:space="preserve">The </w:t>
      </w:r>
      <w:r w:rsidR="00140995" w:rsidRPr="00140995">
        <w:t>Workforce Australia Employment Services Provider Performance Framework</w:t>
      </w:r>
      <w:r w:rsidR="00140995" w:rsidRPr="00140995" w:rsidDel="00140995">
        <w:t xml:space="preserve"> </w:t>
      </w:r>
      <w:r w:rsidRPr="00772D75">
        <w:t>assesses performance holistically, requiring providers to demonstrate performance against all of the following performance criteria in order to continue to operate:</w:t>
      </w:r>
    </w:p>
    <w:p w14:paraId="5713AD22" w14:textId="46687646" w:rsidR="47AB2CC5" w:rsidRPr="00772D75" w:rsidRDefault="47AB2CC5" w:rsidP="00772D75">
      <w:pPr>
        <w:pStyle w:val="ListParagraph"/>
        <w:numPr>
          <w:ilvl w:val="0"/>
          <w:numId w:val="18"/>
        </w:numPr>
        <w:spacing w:before="120"/>
      </w:pPr>
      <w:r w:rsidRPr="00772D75">
        <w:lastRenderedPageBreak/>
        <w:t>Success at moving participants into sustained employment</w:t>
      </w:r>
    </w:p>
    <w:p w14:paraId="49AC6BBD" w14:textId="6FD45BF5" w:rsidR="47AB2CC5" w:rsidRPr="00772D75" w:rsidRDefault="47AB2CC5" w:rsidP="00772D75">
      <w:pPr>
        <w:pStyle w:val="ListParagraph"/>
        <w:numPr>
          <w:ilvl w:val="0"/>
          <w:numId w:val="18"/>
        </w:numPr>
        <w:spacing w:before="120"/>
      </w:pPr>
      <w:r w:rsidRPr="00772D75">
        <w:t>Success at progressing participants towards employment</w:t>
      </w:r>
    </w:p>
    <w:p w14:paraId="6849892F" w14:textId="5EF1F781" w:rsidR="47AB2CC5" w:rsidRPr="00772D75" w:rsidRDefault="47AB2CC5" w:rsidP="00772D75">
      <w:pPr>
        <w:pStyle w:val="ListParagraph"/>
        <w:numPr>
          <w:ilvl w:val="0"/>
          <w:numId w:val="18"/>
        </w:numPr>
        <w:spacing w:before="120"/>
      </w:pPr>
      <w:r w:rsidRPr="00772D75">
        <w:t>Success at delivering high quality services to both participants and employers</w:t>
      </w:r>
    </w:p>
    <w:p w14:paraId="324BF815" w14:textId="561020C3" w:rsidR="47AB2CC5" w:rsidRPr="00772D75" w:rsidRDefault="47AB2CC5" w:rsidP="00772D75">
      <w:pPr>
        <w:pStyle w:val="ListParagraph"/>
        <w:numPr>
          <w:ilvl w:val="0"/>
          <w:numId w:val="18"/>
        </w:numPr>
        <w:spacing w:before="120"/>
      </w:pPr>
      <w:r w:rsidRPr="00772D75">
        <w:t>Compliance with Deed requirements</w:t>
      </w:r>
    </w:p>
    <w:p w14:paraId="3E180B7B" w14:textId="01DEFB90" w:rsidR="47AB2CC5" w:rsidRPr="00772D75" w:rsidRDefault="47AB2CC5" w:rsidP="00772D75">
      <w:pPr>
        <w:spacing w:before="120"/>
      </w:pPr>
      <w:r w:rsidRPr="00772D75">
        <w:t>The new framework includes an explicit focus on quality of service. It does this using a range of qualitative and quantitative assessments including measures based on a wide scale survey of participants ensuring that the provider performance rating is directly impacted by participant views.</w:t>
      </w:r>
    </w:p>
    <w:p w14:paraId="3090E76E" w14:textId="77777777" w:rsidR="008E09E1" w:rsidRPr="00E4104D" w:rsidRDefault="008E09E1" w:rsidP="00E4104D">
      <w:pPr>
        <w:pStyle w:val="Heading1"/>
      </w:pPr>
      <w:r w:rsidRPr="00E4104D">
        <w:t>Complementary Programs</w:t>
      </w:r>
      <w:bookmarkEnd w:id="3"/>
    </w:p>
    <w:p w14:paraId="420B34F6" w14:textId="77777777" w:rsidR="008E09E1" w:rsidRDefault="008E09E1" w:rsidP="008E09E1">
      <w:pPr>
        <w:spacing w:before="120"/>
      </w:pPr>
      <w:r>
        <w:t xml:space="preserve">Eligible individuals also have access to a range of complementary programs including: </w:t>
      </w:r>
    </w:p>
    <w:p w14:paraId="42FB9E94" w14:textId="77777777" w:rsidR="008E09E1" w:rsidRPr="007E48F2" w:rsidRDefault="008E09E1" w:rsidP="00A870E1">
      <w:pPr>
        <w:numPr>
          <w:ilvl w:val="0"/>
          <w:numId w:val="17"/>
        </w:numPr>
      </w:pPr>
      <w:r w:rsidRPr="007E48F2">
        <w:t>Employability Skills Training helps individuals of all ages to explore career options, build employability skills, and improve digital skills and job search skills</w:t>
      </w:r>
    </w:p>
    <w:p w14:paraId="49FF6C1B" w14:textId="55108A6C" w:rsidR="008E09E1" w:rsidRPr="007E48F2" w:rsidRDefault="008E09E1" w:rsidP="00A870E1">
      <w:pPr>
        <w:numPr>
          <w:ilvl w:val="0"/>
          <w:numId w:val="17"/>
        </w:numPr>
      </w:pPr>
      <w:r>
        <w:t>Career Transition Assistance helps mature age individuals aged 45 years and over, improve their digital literacy, and build their confidence and skills to become more competitive in their local labour market</w:t>
      </w:r>
    </w:p>
    <w:p w14:paraId="2E963393" w14:textId="504E7BA2" w:rsidR="008E09E1" w:rsidRPr="007E48F2" w:rsidRDefault="008E09E1" w:rsidP="00A870E1">
      <w:pPr>
        <w:numPr>
          <w:ilvl w:val="0"/>
          <w:numId w:val="17"/>
        </w:numPr>
      </w:pPr>
      <w:bookmarkStart w:id="4" w:name="_Hlk99444467"/>
      <w:r>
        <w:t xml:space="preserve">Self-Employment Assistance helps individuals who want help to start or run a small business </w:t>
      </w:r>
    </w:p>
    <w:bookmarkEnd w:id="4"/>
    <w:p w14:paraId="534553DC" w14:textId="5918A6BC" w:rsidR="008E09E1" w:rsidRPr="007E48F2" w:rsidRDefault="008E09E1" w:rsidP="00A870E1">
      <w:pPr>
        <w:numPr>
          <w:ilvl w:val="0"/>
          <w:numId w:val="17"/>
        </w:numPr>
      </w:pPr>
      <w:r>
        <w:t xml:space="preserve">Transition to Work helps young people aged 15-24 years into work (including apprenticeships and traineeships) or education (see the </w:t>
      </w:r>
      <w:hyperlink r:id="rId19" w:history="1">
        <w:r w:rsidRPr="0074325A">
          <w:rPr>
            <w:rStyle w:val="Hyperlink"/>
            <w:color w:val="auto"/>
            <w:u w:val="none"/>
          </w:rPr>
          <w:t>Transition to Work factsheet</w:t>
        </w:r>
      </w:hyperlink>
      <w:r>
        <w:t>)</w:t>
      </w:r>
    </w:p>
    <w:p w14:paraId="25AF0760" w14:textId="14F304BA" w:rsidR="008E09E1" w:rsidRPr="007E48F2" w:rsidRDefault="008E09E1" w:rsidP="00A870E1">
      <w:pPr>
        <w:numPr>
          <w:ilvl w:val="0"/>
          <w:numId w:val="17"/>
        </w:numPr>
      </w:pPr>
      <w:r>
        <w:t xml:space="preserve">The Entrepreneurship Facilitator Program promotes self-employment through networking events and workshops and have strong links to the local small business ecosystem. </w:t>
      </w:r>
    </w:p>
    <w:p w14:paraId="46BAA94B" w14:textId="77777777" w:rsidR="008E09E1" w:rsidRPr="00E4104D" w:rsidRDefault="008E09E1" w:rsidP="00E4104D">
      <w:pPr>
        <w:pStyle w:val="Heading1"/>
      </w:pPr>
      <w:r w:rsidRPr="00E4104D">
        <w:t>More information</w:t>
      </w:r>
    </w:p>
    <w:p w14:paraId="01FD7DAA" w14:textId="55DEE632" w:rsidR="008E09E1" w:rsidRPr="00A56FC7" w:rsidRDefault="008E09E1" w:rsidP="008E09E1">
      <w:pPr>
        <w:spacing w:before="120"/>
      </w:pPr>
      <w:bookmarkStart w:id="5" w:name="_Hlk99442173"/>
      <w:r>
        <w:t xml:space="preserve">Visit </w:t>
      </w:r>
      <w:hyperlink r:id="rId20">
        <w:r w:rsidRPr="47DE2522">
          <w:rPr>
            <w:rStyle w:val="Hyperlink"/>
          </w:rPr>
          <w:t>Workforce Australia</w:t>
        </w:r>
      </w:hyperlink>
      <w:r>
        <w:t xml:space="preserve"> for more information. </w:t>
      </w:r>
      <w:bookmarkEnd w:id="5"/>
    </w:p>
    <w:p w14:paraId="39EA5DF3" w14:textId="1531DB8C" w:rsidR="00F14BDE" w:rsidRPr="00F14BDE" w:rsidRDefault="00F14BDE" w:rsidP="00CD6123">
      <w:pPr>
        <w:pStyle w:val="Title"/>
        <w:rPr>
          <w:i/>
          <w:iCs/>
        </w:rPr>
      </w:pPr>
    </w:p>
    <w:sectPr w:rsidR="00F14BDE" w:rsidRPr="00F14BDE" w:rsidSect="008507C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5599B" w14:textId="77777777" w:rsidR="005342E2" w:rsidRDefault="005342E2" w:rsidP="00EE7FDA">
      <w:pPr>
        <w:spacing w:after="0"/>
      </w:pPr>
      <w:r>
        <w:separator/>
      </w:r>
    </w:p>
  </w:endnote>
  <w:endnote w:type="continuationSeparator" w:id="0">
    <w:p w14:paraId="3D02A560" w14:textId="77777777" w:rsidR="005342E2" w:rsidRDefault="005342E2" w:rsidP="00EE7F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inionPro-Regular">
    <w:panose1 w:val="00000000000000000000"/>
    <w:charset w:val="00"/>
    <w:family w:val="auto"/>
    <w:notTrueType/>
    <w:pitch w:val="default"/>
    <w:sig w:usb0="00000003" w:usb1="00000000" w:usb2="00000000" w:usb3="00000000" w:csb0="00000001" w:csb1="00000000"/>
  </w:font>
  <w:font w:name="News Gothic Com">
    <w:charset w:val="00"/>
    <w:family w:val="swiss"/>
    <w:pitch w:val="variable"/>
    <w:sig w:usb0="800000AF" w:usb1="5000204A" w:usb2="00000000" w:usb3="00000000" w:csb0="0000009B" w:csb1="00000000"/>
  </w:font>
  <w:font w:name="News Gothic Com Light">
    <w:altName w:val="Calibri"/>
    <w:charset w:val="00"/>
    <w:family w:val="swiss"/>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1B130" w14:textId="77777777" w:rsidR="00534DC7" w:rsidRDefault="00534D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DD719" w14:textId="5758C913" w:rsidR="00105919" w:rsidRDefault="00A1654A">
    <w:pPr>
      <w:pStyle w:val="Footer"/>
    </w:pPr>
    <w:r>
      <w:rPr>
        <w:noProof/>
        <w:color w:val="2B579A"/>
        <w:shd w:val="clear" w:color="auto" w:fill="E6E6E6"/>
      </w:rPr>
      <w:drawing>
        <wp:anchor distT="0" distB="0" distL="114300" distR="114300" simplePos="0" relativeHeight="251660288" behindDoc="1" locked="0" layoutInCell="1" allowOverlap="1" wp14:anchorId="0426B92B" wp14:editId="6D148A8D">
          <wp:simplePos x="0" y="0"/>
          <wp:positionH relativeFrom="page">
            <wp:posOffset>0</wp:posOffset>
          </wp:positionH>
          <wp:positionV relativeFrom="page">
            <wp:posOffset>10253980</wp:posOffset>
          </wp:positionV>
          <wp:extent cx="7560000" cy="428400"/>
          <wp:effectExtent l="0" t="0" r="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60000" cy="4284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34D44" w14:textId="44FEC9CA" w:rsidR="00105919" w:rsidRDefault="00105919">
    <w:pPr>
      <w:pStyle w:val="Footer"/>
    </w:pPr>
    <w:r>
      <w:rPr>
        <w:noProof/>
        <w:color w:val="2B579A"/>
        <w:shd w:val="clear" w:color="auto" w:fill="E6E6E6"/>
      </w:rPr>
      <w:drawing>
        <wp:anchor distT="0" distB="0" distL="114300" distR="114300" simplePos="0" relativeHeight="251658240" behindDoc="1" locked="0" layoutInCell="1" allowOverlap="1" wp14:anchorId="7D90293D" wp14:editId="5762A949">
          <wp:simplePos x="0" y="0"/>
          <wp:positionH relativeFrom="page">
            <wp:posOffset>0</wp:posOffset>
          </wp:positionH>
          <wp:positionV relativeFrom="page">
            <wp:posOffset>9337371</wp:posOffset>
          </wp:positionV>
          <wp:extent cx="7560000" cy="1353483"/>
          <wp:effectExtent l="0" t="0" r="3175"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60000" cy="1353483"/>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4CB97" w14:textId="77777777" w:rsidR="005342E2" w:rsidRDefault="005342E2" w:rsidP="00D105E6">
      <w:pPr>
        <w:spacing w:after="60"/>
      </w:pPr>
      <w:r>
        <w:separator/>
      </w:r>
    </w:p>
  </w:footnote>
  <w:footnote w:type="continuationSeparator" w:id="0">
    <w:p w14:paraId="4117120F" w14:textId="77777777" w:rsidR="005342E2" w:rsidRDefault="005342E2" w:rsidP="00EE7FD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20ED0" w14:textId="77777777" w:rsidR="00534DC7" w:rsidRDefault="00534D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DC032" w14:textId="77777777" w:rsidR="00534DC7" w:rsidRDefault="00534D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0BE2A" w14:textId="77777777" w:rsidR="00534DC7" w:rsidRDefault="00534D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A1C03"/>
    <w:multiLevelType w:val="hybridMultilevel"/>
    <w:tmpl w:val="A838D9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E176C9"/>
    <w:multiLevelType w:val="multilevel"/>
    <w:tmpl w:val="11A8BAC4"/>
    <w:lvl w:ilvl="0">
      <w:start w:val="1"/>
      <w:numFmt w:val="decimal"/>
      <w:pStyle w:val="Heading1Numbered"/>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0194EE8"/>
    <w:multiLevelType w:val="hybridMultilevel"/>
    <w:tmpl w:val="F6E2FDEC"/>
    <w:lvl w:ilvl="0" w:tplc="2C86888C">
      <w:start w:val="1"/>
      <w:numFmt w:val="bullet"/>
      <w:pStyle w:val="Bullets"/>
      <w:lvlText w:val=""/>
      <w:lvlJc w:val="left"/>
      <w:pPr>
        <w:ind w:left="360" w:hanging="360"/>
      </w:pPr>
      <w:rPr>
        <w:rFonts w:ascii="Symbol" w:hAnsi="Symbol" w:hint="default"/>
        <w:color w:val="3C54A5"/>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E8224E2"/>
    <w:multiLevelType w:val="multilevel"/>
    <w:tmpl w:val="B10A65AC"/>
    <w:numStyleLink w:val="Style1"/>
  </w:abstractNum>
  <w:abstractNum w:abstractNumId="4" w15:restartNumberingAfterBreak="0">
    <w:nsid w:val="230B0B81"/>
    <w:multiLevelType w:val="multilevel"/>
    <w:tmpl w:val="43300736"/>
    <w:lvl w:ilvl="0">
      <w:start w:val="1"/>
      <w:numFmt w:val="decimal"/>
      <w:pStyle w:val="Heading2numbered"/>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3D148A6"/>
    <w:multiLevelType w:val="hybridMultilevel"/>
    <w:tmpl w:val="A0F20F4C"/>
    <w:lvl w:ilvl="0" w:tplc="A9C804B8">
      <w:start w:val="1"/>
      <w:numFmt w:val="bullet"/>
      <w:pStyle w:val="ListBullet2"/>
      <w:lvlText w:val="̶"/>
      <w:lvlJc w:val="left"/>
      <w:pPr>
        <w:ind w:left="1004" w:hanging="360"/>
      </w:pPr>
      <w:rPr>
        <w:rFonts w:ascii="Calibri" w:hAnsi="Calibri"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6" w15:restartNumberingAfterBreak="0">
    <w:nsid w:val="29C6487D"/>
    <w:multiLevelType w:val="hybridMultilevel"/>
    <w:tmpl w:val="51907C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A1B0C90"/>
    <w:multiLevelType w:val="hybridMultilevel"/>
    <w:tmpl w:val="626AD4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EE53EF4"/>
    <w:multiLevelType w:val="multilevel"/>
    <w:tmpl w:val="4C06E666"/>
    <w:numStyleLink w:val="RSCBNumberList1"/>
  </w:abstractNum>
  <w:abstractNum w:abstractNumId="9" w15:restartNumberingAfterBreak="0">
    <w:nsid w:val="2F16278F"/>
    <w:multiLevelType w:val="hybridMultilevel"/>
    <w:tmpl w:val="C8AE35A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3A75510E"/>
    <w:multiLevelType w:val="hybridMultilevel"/>
    <w:tmpl w:val="9F2CE6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F863C35"/>
    <w:multiLevelType w:val="multilevel"/>
    <w:tmpl w:val="4C06E666"/>
    <w:styleLink w:val="RSCBNumberList1"/>
    <w:lvl w:ilvl="0">
      <w:start w:val="1"/>
      <w:numFmt w:val="decimal"/>
      <w:pStyle w:val="ListNumber"/>
      <w:lvlText w:val="%1."/>
      <w:lvlJc w:val="left"/>
      <w:pPr>
        <w:ind w:left="284" w:hanging="284"/>
      </w:pPr>
      <w:rPr>
        <w:rFonts w:hint="default"/>
      </w:rPr>
    </w:lvl>
    <w:lvl w:ilvl="1">
      <w:start w:val="1"/>
      <w:numFmt w:val="decimal"/>
      <w:pStyle w:val="ListNumber2"/>
      <w:lvlText w:val="%1.%2."/>
      <w:lvlJc w:val="left"/>
      <w:pPr>
        <w:tabs>
          <w:tab w:val="num" w:pos="737"/>
        </w:tabs>
        <w:ind w:left="737" w:hanging="453"/>
      </w:pPr>
      <w:rPr>
        <w:rFonts w:hint="default"/>
      </w:rPr>
    </w:lvl>
    <w:lvl w:ilvl="2">
      <w:start w:val="1"/>
      <w:numFmt w:val="decimal"/>
      <w:pStyle w:val="ListNumber3"/>
      <w:lvlText w:val="%1.%2.%3."/>
      <w:lvlJc w:val="left"/>
      <w:pPr>
        <w:tabs>
          <w:tab w:val="num" w:pos="1361"/>
        </w:tabs>
        <w:ind w:left="1361" w:hanging="624"/>
      </w:pPr>
      <w:rPr>
        <w:rFonts w:hint="default"/>
      </w:rPr>
    </w:lvl>
    <w:lvl w:ilvl="3">
      <w:start w:val="1"/>
      <w:numFmt w:val="decimal"/>
      <w:pStyle w:val="ListNumber4"/>
      <w:lvlText w:val="%1.%2.%3.%4."/>
      <w:lvlJc w:val="left"/>
      <w:pPr>
        <w:tabs>
          <w:tab w:val="num" w:pos="2155"/>
        </w:tabs>
        <w:ind w:left="2155" w:hanging="794"/>
      </w:pPr>
      <w:rPr>
        <w:rFonts w:hint="default"/>
      </w:rPr>
    </w:lvl>
    <w:lvl w:ilvl="4">
      <w:start w:val="1"/>
      <w:numFmt w:val="lowerLetter"/>
      <w:lvlText w:val="%5."/>
      <w:lvlJc w:val="left"/>
      <w:pPr>
        <w:ind w:left="1420" w:hanging="284"/>
      </w:pPr>
      <w:rPr>
        <w:rFonts w:hint="default"/>
      </w:rPr>
    </w:lvl>
    <w:lvl w:ilvl="5">
      <w:start w:val="1"/>
      <w:numFmt w:val="lowerRoman"/>
      <w:lvlText w:val="%6."/>
      <w:lvlJc w:val="righ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right"/>
      <w:pPr>
        <w:ind w:left="2556" w:hanging="284"/>
      </w:pPr>
      <w:rPr>
        <w:rFonts w:hint="default"/>
      </w:rPr>
    </w:lvl>
  </w:abstractNum>
  <w:abstractNum w:abstractNumId="12" w15:restartNumberingAfterBreak="0">
    <w:nsid w:val="51BE0C68"/>
    <w:multiLevelType w:val="hybridMultilevel"/>
    <w:tmpl w:val="BF887004"/>
    <w:lvl w:ilvl="0" w:tplc="D3B09ED2">
      <w:start w:val="1"/>
      <w:numFmt w:val="bullet"/>
      <w:lvlText w:val=""/>
      <w:lvlJc w:val="left"/>
      <w:pPr>
        <w:ind w:left="720" w:hanging="360"/>
      </w:pPr>
      <w:rPr>
        <w:rFonts w:ascii="Symbol" w:hAnsi="Symbol" w:hint="default"/>
      </w:rPr>
    </w:lvl>
    <w:lvl w:ilvl="1" w:tplc="6486FEE2">
      <w:start w:val="1"/>
      <w:numFmt w:val="bullet"/>
      <w:lvlText w:val=""/>
      <w:lvlJc w:val="left"/>
      <w:pPr>
        <w:ind w:left="1440" w:hanging="360"/>
      </w:pPr>
      <w:rPr>
        <w:rFonts w:ascii="Symbol" w:hAnsi="Symbol" w:hint="default"/>
      </w:rPr>
    </w:lvl>
    <w:lvl w:ilvl="2" w:tplc="D07E0680">
      <w:start w:val="1"/>
      <w:numFmt w:val="bullet"/>
      <w:lvlText w:val=""/>
      <w:lvlJc w:val="left"/>
      <w:pPr>
        <w:ind w:left="2160" w:hanging="360"/>
      </w:pPr>
      <w:rPr>
        <w:rFonts w:ascii="Wingdings" w:hAnsi="Wingdings" w:hint="default"/>
      </w:rPr>
    </w:lvl>
    <w:lvl w:ilvl="3" w:tplc="BDE0B44C">
      <w:start w:val="1"/>
      <w:numFmt w:val="bullet"/>
      <w:lvlText w:val=""/>
      <w:lvlJc w:val="left"/>
      <w:pPr>
        <w:ind w:left="2880" w:hanging="360"/>
      </w:pPr>
      <w:rPr>
        <w:rFonts w:ascii="Symbol" w:hAnsi="Symbol" w:hint="default"/>
      </w:rPr>
    </w:lvl>
    <w:lvl w:ilvl="4" w:tplc="449A4A32">
      <w:start w:val="1"/>
      <w:numFmt w:val="bullet"/>
      <w:lvlText w:val="o"/>
      <w:lvlJc w:val="left"/>
      <w:pPr>
        <w:ind w:left="3600" w:hanging="360"/>
      </w:pPr>
      <w:rPr>
        <w:rFonts w:ascii="Courier New" w:hAnsi="Courier New" w:hint="default"/>
      </w:rPr>
    </w:lvl>
    <w:lvl w:ilvl="5" w:tplc="CD5E22FE">
      <w:start w:val="1"/>
      <w:numFmt w:val="bullet"/>
      <w:lvlText w:val=""/>
      <w:lvlJc w:val="left"/>
      <w:pPr>
        <w:ind w:left="4320" w:hanging="360"/>
      </w:pPr>
      <w:rPr>
        <w:rFonts w:ascii="Wingdings" w:hAnsi="Wingdings" w:hint="default"/>
      </w:rPr>
    </w:lvl>
    <w:lvl w:ilvl="6" w:tplc="B816929A">
      <w:start w:val="1"/>
      <w:numFmt w:val="bullet"/>
      <w:lvlText w:val=""/>
      <w:lvlJc w:val="left"/>
      <w:pPr>
        <w:ind w:left="5040" w:hanging="360"/>
      </w:pPr>
      <w:rPr>
        <w:rFonts w:ascii="Symbol" w:hAnsi="Symbol" w:hint="default"/>
      </w:rPr>
    </w:lvl>
    <w:lvl w:ilvl="7" w:tplc="9C9A67B4">
      <w:start w:val="1"/>
      <w:numFmt w:val="bullet"/>
      <w:lvlText w:val="o"/>
      <w:lvlJc w:val="left"/>
      <w:pPr>
        <w:ind w:left="5760" w:hanging="360"/>
      </w:pPr>
      <w:rPr>
        <w:rFonts w:ascii="Courier New" w:hAnsi="Courier New" w:hint="default"/>
      </w:rPr>
    </w:lvl>
    <w:lvl w:ilvl="8" w:tplc="BFE42CC6">
      <w:start w:val="1"/>
      <w:numFmt w:val="bullet"/>
      <w:lvlText w:val=""/>
      <w:lvlJc w:val="left"/>
      <w:pPr>
        <w:ind w:left="6480" w:hanging="360"/>
      </w:pPr>
      <w:rPr>
        <w:rFonts w:ascii="Wingdings" w:hAnsi="Wingdings" w:hint="default"/>
      </w:rPr>
    </w:lvl>
  </w:abstractNum>
  <w:abstractNum w:abstractNumId="13" w15:restartNumberingAfterBreak="0">
    <w:nsid w:val="57DD04F5"/>
    <w:multiLevelType w:val="multilevel"/>
    <w:tmpl w:val="4C06E666"/>
    <w:numStyleLink w:val="RSCBNumberList1"/>
  </w:abstractNum>
  <w:abstractNum w:abstractNumId="14" w15:restartNumberingAfterBreak="0">
    <w:nsid w:val="69C447DD"/>
    <w:multiLevelType w:val="multilevel"/>
    <w:tmpl w:val="B10A65AC"/>
    <w:styleLink w:val="Style1"/>
    <w:lvl w:ilvl="0">
      <w:start w:val="1"/>
      <w:numFmt w:val="bullet"/>
      <w:pStyle w:val="ListBullet"/>
      <w:lvlText w:val=""/>
      <w:lvlJc w:val="left"/>
      <w:pPr>
        <w:tabs>
          <w:tab w:val="num" w:pos="284"/>
        </w:tabs>
        <w:ind w:left="284" w:hanging="284"/>
      </w:pPr>
      <w:rPr>
        <w:rFonts w:ascii="Symbol" w:hAnsi="Symbol" w:hint="default"/>
      </w:rPr>
    </w:lvl>
    <w:lvl w:ilvl="1">
      <w:start w:val="1"/>
      <w:numFmt w:val="bullet"/>
      <w:lvlText w:val="o"/>
      <w:lvlJc w:val="left"/>
      <w:pPr>
        <w:tabs>
          <w:tab w:val="num" w:pos="567"/>
        </w:tabs>
        <w:ind w:left="567" w:hanging="283"/>
      </w:pPr>
      <w:rPr>
        <w:rFonts w:ascii="Courier New" w:hAnsi="Courier New" w:hint="default"/>
      </w:rPr>
    </w:lvl>
    <w:lvl w:ilvl="2">
      <w:start w:val="1"/>
      <w:numFmt w:val="bullet"/>
      <w:pStyle w:val="ListBullet3"/>
      <w:lvlText w:val=""/>
      <w:lvlJc w:val="left"/>
      <w:pPr>
        <w:tabs>
          <w:tab w:val="num" w:pos="851"/>
        </w:tabs>
        <w:ind w:left="851" w:hanging="284"/>
      </w:pPr>
      <w:rPr>
        <w:rFonts w:ascii="Wingdings" w:hAnsi="Wingdings" w:hint="default"/>
        <w:position w:val="-4"/>
        <w:sz w:val="28"/>
      </w:rPr>
    </w:lvl>
    <w:lvl w:ilvl="3">
      <w:start w:val="1"/>
      <w:numFmt w:val="bullet"/>
      <w:pStyle w:val="ListBullet4"/>
      <w:lvlText w:val=""/>
      <w:lvlJc w:val="left"/>
      <w:pPr>
        <w:tabs>
          <w:tab w:val="num" w:pos="1134"/>
        </w:tabs>
        <w:ind w:left="1134" w:hanging="283"/>
      </w:pPr>
      <w:rPr>
        <w:rFonts w:ascii="Wingdings 2" w:hAnsi="Wingdings 2" w:hint="default"/>
        <w:position w:val="2"/>
        <w:sz w:val="1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1C735F3"/>
    <w:multiLevelType w:val="hybridMultilevel"/>
    <w:tmpl w:val="DABE2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6490E8B"/>
    <w:multiLevelType w:val="hybridMultilevel"/>
    <w:tmpl w:val="3ED613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B8F7E40"/>
    <w:multiLevelType w:val="hybridMultilevel"/>
    <w:tmpl w:val="714607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3"/>
  </w:num>
  <w:num w:numId="4">
    <w:abstractNumId w:val="14"/>
  </w:num>
  <w:num w:numId="5">
    <w:abstractNumId w:val="3"/>
  </w:num>
  <w:num w:numId="6">
    <w:abstractNumId w:val="1"/>
  </w:num>
  <w:num w:numId="7">
    <w:abstractNumId w:val="4"/>
  </w:num>
  <w:num w:numId="8">
    <w:abstractNumId w:val="2"/>
  </w:num>
  <w:num w:numId="9">
    <w:abstractNumId w:val="5"/>
  </w:num>
  <w:num w:numId="10">
    <w:abstractNumId w:val="8"/>
  </w:num>
  <w:num w:numId="11">
    <w:abstractNumId w:val="0"/>
  </w:num>
  <w:num w:numId="12">
    <w:abstractNumId w:val="15"/>
  </w:num>
  <w:num w:numId="13">
    <w:abstractNumId w:val="7"/>
  </w:num>
  <w:num w:numId="14">
    <w:abstractNumId w:val="16"/>
  </w:num>
  <w:num w:numId="15">
    <w:abstractNumId w:val="10"/>
  </w:num>
  <w:num w:numId="16">
    <w:abstractNumId w:val="9"/>
  </w:num>
  <w:num w:numId="17">
    <w:abstractNumId w:val="17"/>
  </w:num>
  <w:num w:numId="1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0"/>
  <w:stylePaneSortMethod w:val="0003"/>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BBC"/>
    <w:rsid w:val="00011BA5"/>
    <w:rsid w:val="00037765"/>
    <w:rsid w:val="00040F83"/>
    <w:rsid w:val="00052659"/>
    <w:rsid w:val="00052B07"/>
    <w:rsid w:val="0009541A"/>
    <w:rsid w:val="000B640F"/>
    <w:rsid w:val="000E406E"/>
    <w:rsid w:val="00105919"/>
    <w:rsid w:val="001261A1"/>
    <w:rsid w:val="0013557F"/>
    <w:rsid w:val="00140995"/>
    <w:rsid w:val="00145A12"/>
    <w:rsid w:val="00155F8B"/>
    <w:rsid w:val="0016510A"/>
    <w:rsid w:val="00165A2C"/>
    <w:rsid w:val="00195EF0"/>
    <w:rsid w:val="001B6D04"/>
    <w:rsid w:val="001C6347"/>
    <w:rsid w:val="001C65BE"/>
    <w:rsid w:val="001F20DE"/>
    <w:rsid w:val="001F444A"/>
    <w:rsid w:val="001F5AFE"/>
    <w:rsid w:val="001F7332"/>
    <w:rsid w:val="00244DD6"/>
    <w:rsid w:val="002462D7"/>
    <w:rsid w:val="00253AD5"/>
    <w:rsid w:val="00257065"/>
    <w:rsid w:val="002678F4"/>
    <w:rsid w:val="00275860"/>
    <w:rsid w:val="00275D69"/>
    <w:rsid w:val="00286F3C"/>
    <w:rsid w:val="002E766F"/>
    <w:rsid w:val="00312F55"/>
    <w:rsid w:val="0031425C"/>
    <w:rsid w:val="00316088"/>
    <w:rsid w:val="003267A5"/>
    <w:rsid w:val="003B13B2"/>
    <w:rsid w:val="003D1AC3"/>
    <w:rsid w:val="003E21F8"/>
    <w:rsid w:val="003E44F1"/>
    <w:rsid w:val="003F0880"/>
    <w:rsid w:val="00426E46"/>
    <w:rsid w:val="00440F0C"/>
    <w:rsid w:val="0046637C"/>
    <w:rsid w:val="0047432C"/>
    <w:rsid w:val="004B48A5"/>
    <w:rsid w:val="004C741C"/>
    <w:rsid w:val="004D00B2"/>
    <w:rsid w:val="004F3CE3"/>
    <w:rsid w:val="004F5993"/>
    <w:rsid w:val="00517064"/>
    <w:rsid w:val="00520CA0"/>
    <w:rsid w:val="00522E88"/>
    <w:rsid w:val="005342E2"/>
    <w:rsid w:val="00534DC7"/>
    <w:rsid w:val="005565B8"/>
    <w:rsid w:val="00566A2E"/>
    <w:rsid w:val="005725B2"/>
    <w:rsid w:val="00575DFC"/>
    <w:rsid w:val="00577A33"/>
    <w:rsid w:val="00582D06"/>
    <w:rsid w:val="00586EA4"/>
    <w:rsid w:val="005A6975"/>
    <w:rsid w:val="005D150B"/>
    <w:rsid w:val="005D2489"/>
    <w:rsid w:val="005F08A3"/>
    <w:rsid w:val="0063350D"/>
    <w:rsid w:val="00654A65"/>
    <w:rsid w:val="00657B92"/>
    <w:rsid w:val="00691F21"/>
    <w:rsid w:val="006B20A8"/>
    <w:rsid w:val="006C2995"/>
    <w:rsid w:val="006D1E27"/>
    <w:rsid w:val="006D7710"/>
    <w:rsid w:val="006F2229"/>
    <w:rsid w:val="00706143"/>
    <w:rsid w:val="00730B97"/>
    <w:rsid w:val="00737C1D"/>
    <w:rsid w:val="0074325A"/>
    <w:rsid w:val="00772D75"/>
    <w:rsid w:val="00774BA7"/>
    <w:rsid w:val="0078584C"/>
    <w:rsid w:val="007A3566"/>
    <w:rsid w:val="007C3D4E"/>
    <w:rsid w:val="007D4962"/>
    <w:rsid w:val="007E48F2"/>
    <w:rsid w:val="007F63CC"/>
    <w:rsid w:val="0080594C"/>
    <w:rsid w:val="00813629"/>
    <w:rsid w:val="00817BD6"/>
    <w:rsid w:val="00832F2D"/>
    <w:rsid w:val="008447BA"/>
    <w:rsid w:val="00876539"/>
    <w:rsid w:val="008A28DA"/>
    <w:rsid w:val="008E09E1"/>
    <w:rsid w:val="008F24CE"/>
    <w:rsid w:val="00931FEE"/>
    <w:rsid w:val="00961F5C"/>
    <w:rsid w:val="00973379"/>
    <w:rsid w:val="00997BE6"/>
    <w:rsid w:val="009D079F"/>
    <w:rsid w:val="009F652B"/>
    <w:rsid w:val="00A112E2"/>
    <w:rsid w:val="00A1654A"/>
    <w:rsid w:val="00A23D73"/>
    <w:rsid w:val="00A34D39"/>
    <w:rsid w:val="00A513A6"/>
    <w:rsid w:val="00A547D7"/>
    <w:rsid w:val="00A70EEB"/>
    <w:rsid w:val="00A713BC"/>
    <w:rsid w:val="00A736B6"/>
    <w:rsid w:val="00A74FD2"/>
    <w:rsid w:val="00A81FB9"/>
    <w:rsid w:val="00A82BDB"/>
    <w:rsid w:val="00A870E1"/>
    <w:rsid w:val="00AA03F6"/>
    <w:rsid w:val="00AA2FD8"/>
    <w:rsid w:val="00AB17E0"/>
    <w:rsid w:val="00AB49D3"/>
    <w:rsid w:val="00AB791A"/>
    <w:rsid w:val="00B00423"/>
    <w:rsid w:val="00B81A68"/>
    <w:rsid w:val="00B91FF8"/>
    <w:rsid w:val="00BA48C8"/>
    <w:rsid w:val="00BB57FE"/>
    <w:rsid w:val="00BD6E26"/>
    <w:rsid w:val="00BE133B"/>
    <w:rsid w:val="00BE54EE"/>
    <w:rsid w:val="00BE6D94"/>
    <w:rsid w:val="00BF2EE7"/>
    <w:rsid w:val="00BF7BDF"/>
    <w:rsid w:val="00C04E0C"/>
    <w:rsid w:val="00C230BC"/>
    <w:rsid w:val="00C30A1E"/>
    <w:rsid w:val="00C50AA1"/>
    <w:rsid w:val="00C55508"/>
    <w:rsid w:val="00C55A70"/>
    <w:rsid w:val="00C66B71"/>
    <w:rsid w:val="00CB7AC5"/>
    <w:rsid w:val="00CD38C9"/>
    <w:rsid w:val="00CD5F0D"/>
    <w:rsid w:val="00CD6123"/>
    <w:rsid w:val="00CF6EBF"/>
    <w:rsid w:val="00D105E6"/>
    <w:rsid w:val="00D84DC0"/>
    <w:rsid w:val="00D910F9"/>
    <w:rsid w:val="00D97626"/>
    <w:rsid w:val="00DA46BB"/>
    <w:rsid w:val="00DD445F"/>
    <w:rsid w:val="00DD4EBE"/>
    <w:rsid w:val="00DD5E93"/>
    <w:rsid w:val="00DE1663"/>
    <w:rsid w:val="00DF0B8A"/>
    <w:rsid w:val="00DF60E1"/>
    <w:rsid w:val="00E4104D"/>
    <w:rsid w:val="00E55470"/>
    <w:rsid w:val="00E814A0"/>
    <w:rsid w:val="00EC4486"/>
    <w:rsid w:val="00EC63BF"/>
    <w:rsid w:val="00ED3F85"/>
    <w:rsid w:val="00EE511B"/>
    <w:rsid w:val="00EE59F7"/>
    <w:rsid w:val="00EE68B6"/>
    <w:rsid w:val="00EE70CE"/>
    <w:rsid w:val="00EE7FDA"/>
    <w:rsid w:val="00EF27F0"/>
    <w:rsid w:val="00F10584"/>
    <w:rsid w:val="00F121AC"/>
    <w:rsid w:val="00F14BDE"/>
    <w:rsid w:val="00F23048"/>
    <w:rsid w:val="00F23C4B"/>
    <w:rsid w:val="00F25A17"/>
    <w:rsid w:val="00F36B35"/>
    <w:rsid w:val="00F54B75"/>
    <w:rsid w:val="00F55BB9"/>
    <w:rsid w:val="00FA1736"/>
    <w:rsid w:val="00FB5456"/>
    <w:rsid w:val="00FD6726"/>
    <w:rsid w:val="00FE0BBC"/>
    <w:rsid w:val="00FF5068"/>
    <w:rsid w:val="00FF73BA"/>
    <w:rsid w:val="017EBD32"/>
    <w:rsid w:val="02BCA57E"/>
    <w:rsid w:val="02D0D564"/>
    <w:rsid w:val="034A6CD0"/>
    <w:rsid w:val="04030477"/>
    <w:rsid w:val="0708823D"/>
    <w:rsid w:val="07C6BC22"/>
    <w:rsid w:val="08C59E61"/>
    <w:rsid w:val="090D2001"/>
    <w:rsid w:val="09228EBD"/>
    <w:rsid w:val="099385A4"/>
    <w:rsid w:val="0BCAD734"/>
    <w:rsid w:val="0C8BEE54"/>
    <w:rsid w:val="0F03BA11"/>
    <w:rsid w:val="0F0E0816"/>
    <w:rsid w:val="0F3956C6"/>
    <w:rsid w:val="0FA95674"/>
    <w:rsid w:val="10EF99AF"/>
    <w:rsid w:val="12B048A6"/>
    <w:rsid w:val="12DDAA5F"/>
    <w:rsid w:val="12FB92F0"/>
    <w:rsid w:val="134F03BE"/>
    <w:rsid w:val="139F3861"/>
    <w:rsid w:val="14344073"/>
    <w:rsid w:val="156BB148"/>
    <w:rsid w:val="159F4E74"/>
    <w:rsid w:val="16125790"/>
    <w:rsid w:val="176BE135"/>
    <w:rsid w:val="18D26FD5"/>
    <w:rsid w:val="19C636D2"/>
    <w:rsid w:val="1C369509"/>
    <w:rsid w:val="1C5DED86"/>
    <w:rsid w:val="1CFE3BCB"/>
    <w:rsid w:val="1DB4F45A"/>
    <w:rsid w:val="2253AFBA"/>
    <w:rsid w:val="2350F0DE"/>
    <w:rsid w:val="2387F5CF"/>
    <w:rsid w:val="242961A9"/>
    <w:rsid w:val="26F1D025"/>
    <w:rsid w:val="28453F47"/>
    <w:rsid w:val="2C6C5227"/>
    <w:rsid w:val="2CD2FB79"/>
    <w:rsid w:val="2EB03565"/>
    <w:rsid w:val="2EE3B9AD"/>
    <w:rsid w:val="2F5DF5B3"/>
    <w:rsid w:val="3238A619"/>
    <w:rsid w:val="32AAD9AC"/>
    <w:rsid w:val="3729D8B3"/>
    <w:rsid w:val="3845732E"/>
    <w:rsid w:val="387BBE14"/>
    <w:rsid w:val="3A0D5310"/>
    <w:rsid w:val="3CEB5060"/>
    <w:rsid w:val="3E8CDD2A"/>
    <w:rsid w:val="3E972B2F"/>
    <w:rsid w:val="3EB308CA"/>
    <w:rsid w:val="3FFFE254"/>
    <w:rsid w:val="415D6EF8"/>
    <w:rsid w:val="434E7570"/>
    <w:rsid w:val="43BD638C"/>
    <w:rsid w:val="45710C81"/>
    <w:rsid w:val="46D4A107"/>
    <w:rsid w:val="47AB2CC5"/>
    <w:rsid w:val="47DE2522"/>
    <w:rsid w:val="48C612C0"/>
    <w:rsid w:val="4AEB28E1"/>
    <w:rsid w:val="4B4198DC"/>
    <w:rsid w:val="4BCF602E"/>
    <w:rsid w:val="4D8D6431"/>
    <w:rsid w:val="4E89D897"/>
    <w:rsid w:val="4EFC1A31"/>
    <w:rsid w:val="503BD324"/>
    <w:rsid w:val="585A7920"/>
    <w:rsid w:val="5A329B32"/>
    <w:rsid w:val="5B6FCAE6"/>
    <w:rsid w:val="5BF9F5BE"/>
    <w:rsid w:val="5D9E8F84"/>
    <w:rsid w:val="5F540434"/>
    <w:rsid w:val="5FC1EFE3"/>
    <w:rsid w:val="613A9E49"/>
    <w:rsid w:val="6286CE1F"/>
    <w:rsid w:val="62B85A4D"/>
    <w:rsid w:val="6327258C"/>
    <w:rsid w:val="67D89AF6"/>
    <w:rsid w:val="6AD63237"/>
    <w:rsid w:val="6BBD8628"/>
    <w:rsid w:val="6BD35271"/>
    <w:rsid w:val="6C5164AB"/>
    <w:rsid w:val="6CD2B300"/>
    <w:rsid w:val="6D2F1B7B"/>
    <w:rsid w:val="6DAC0166"/>
    <w:rsid w:val="6F47D1C7"/>
    <w:rsid w:val="6F619010"/>
    <w:rsid w:val="7002123A"/>
    <w:rsid w:val="719E02A1"/>
    <w:rsid w:val="71F1F9DF"/>
    <w:rsid w:val="72204E15"/>
    <w:rsid w:val="79659115"/>
    <w:rsid w:val="7ACABBF5"/>
    <w:rsid w:val="7C101C5B"/>
    <w:rsid w:val="7EA70545"/>
    <w:rsid w:val="7FAECC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EE4060C"/>
  <w15:chartTrackingRefBased/>
  <w15:docId w15:val="{5DCBC3CB-3BCE-480D-8FA1-92A0E3D7D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lsdException w:name="heading 6" w:uiPriority="9"/>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header"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unhideWhenUsed="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qFormat="1"/>
    <w:lsdException w:name="List 2" w:semiHidden="1"/>
    <w:lsdException w:name="List 3" w:semiHidden="1"/>
    <w:lsdException w:name="List 4" w:semiHidden="1"/>
    <w:lsdException w:name="List 5" w:semiHidden="1"/>
    <w:lsdException w:name="List Bullet 2" w:qFormat="1"/>
    <w:lsdException w:name="List Bullet 5" w:semiHidden="1" w:unhideWhenUsed="1"/>
    <w:lsdException w:name="List Number 2" w:qFormat="1"/>
    <w:lsdException w:name="List Number 3" w:qFormat="1"/>
    <w:lsdException w:name="List Number 4" w:qFormat="1"/>
    <w:lsdException w:name="List Number 5" w:semiHidden="1" w:unhideWhenUsed="1"/>
    <w:lsdException w:name="Title" w:uiPriority="7"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8"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unhideWhenUsed="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54A"/>
    <w:pPr>
      <w:spacing w:after="120" w:line="240" w:lineRule="auto"/>
    </w:pPr>
    <w:rPr>
      <w:sz w:val="20"/>
    </w:rPr>
  </w:style>
  <w:style w:type="paragraph" w:styleId="Heading1">
    <w:name w:val="heading 1"/>
    <w:basedOn w:val="Normal"/>
    <w:next w:val="Normal"/>
    <w:link w:val="Heading1Char"/>
    <w:uiPriority w:val="9"/>
    <w:qFormat/>
    <w:rsid w:val="00145A12"/>
    <w:pPr>
      <w:keepNext/>
      <w:keepLines/>
      <w:spacing w:before="240"/>
      <w:outlineLvl w:val="0"/>
    </w:pPr>
    <w:rPr>
      <w:rFonts w:ascii="Calibri" w:eastAsiaTheme="majorEastAsia" w:hAnsi="Calibri" w:cstheme="majorBidi"/>
      <w:b/>
      <w:color w:val="051532"/>
      <w:sz w:val="34"/>
      <w:szCs w:val="32"/>
    </w:rPr>
  </w:style>
  <w:style w:type="paragraph" w:styleId="Heading2">
    <w:name w:val="heading 2"/>
    <w:basedOn w:val="Normal"/>
    <w:next w:val="Normal"/>
    <w:link w:val="Heading2Char"/>
    <w:uiPriority w:val="9"/>
    <w:qFormat/>
    <w:rsid w:val="00105919"/>
    <w:pPr>
      <w:keepNext/>
      <w:keepLines/>
      <w:spacing w:before="240"/>
      <w:outlineLvl w:val="1"/>
    </w:pPr>
    <w:rPr>
      <w:rFonts w:ascii="Calibri" w:eastAsiaTheme="majorEastAsia" w:hAnsi="Calibri" w:cstheme="majorBidi"/>
      <w:b/>
      <w:color w:val="0E77CD"/>
      <w:sz w:val="28"/>
      <w:szCs w:val="26"/>
    </w:rPr>
  </w:style>
  <w:style w:type="paragraph" w:styleId="Heading3">
    <w:name w:val="heading 3"/>
    <w:basedOn w:val="Normal"/>
    <w:next w:val="Normal"/>
    <w:link w:val="Heading3Char"/>
    <w:uiPriority w:val="9"/>
    <w:qFormat/>
    <w:rsid w:val="00105919"/>
    <w:pPr>
      <w:keepNext/>
      <w:keepLines/>
      <w:spacing w:before="240"/>
      <w:outlineLvl w:val="2"/>
    </w:pPr>
    <w:rPr>
      <w:rFonts w:ascii="Calibri" w:eastAsiaTheme="majorEastAsia" w:hAnsi="Calibri" w:cstheme="majorBidi"/>
      <w:b/>
      <w:color w:val="051532"/>
      <w:sz w:val="24"/>
      <w:szCs w:val="24"/>
    </w:rPr>
  </w:style>
  <w:style w:type="paragraph" w:styleId="Heading4">
    <w:name w:val="heading 4"/>
    <w:basedOn w:val="Normal"/>
    <w:next w:val="Normal"/>
    <w:link w:val="Heading4Char"/>
    <w:uiPriority w:val="9"/>
    <w:qFormat/>
    <w:rsid w:val="00105919"/>
    <w:pPr>
      <w:keepNext/>
      <w:keepLines/>
      <w:spacing w:before="240"/>
      <w:outlineLvl w:val="3"/>
    </w:pPr>
    <w:rPr>
      <w:rFonts w:ascii="Calibri" w:eastAsiaTheme="majorEastAsia" w:hAnsi="Calibri" w:cstheme="majorBidi"/>
      <w:b/>
      <w:i/>
      <w:iCs/>
      <w:color w:val="0E77CD"/>
    </w:rPr>
  </w:style>
  <w:style w:type="paragraph" w:styleId="Heading5">
    <w:name w:val="heading 5"/>
    <w:basedOn w:val="Normal"/>
    <w:next w:val="Normal"/>
    <w:link w:val="Heading5Char"/>
    <w:uiPriority w:val="9"/>
    <w:rsid w:val="00813629"/>
    <w:pPr>
      <w:keepNext/>
      <w:keepLines/>
      <w:spacing w:before="40" w:after="0"/>
      <w:outlineLvl w:val="4"/>
    </w:pPr>
    <w:rPr>
      <w:rFonts w:ascii="Calibri" w:eastAsiaTheme="majorEastAsia" w:hAnsi="Calibri" w:cstheme="majorBidi"/>
      <w:b/>
      <w:color w:val="757575"/>
    </w:rPr>
  </w:style>
  <w:style w:type="paragraph" w:styleId="Heading6">
    <w:name w:val="heading 6"/>
    <w:basedOn w:val="Normal"/>
    <w:next w:val="Normal"/>
    <w:link w:val="Heading6Char"/>
    <w:uiPriority w:val="9"/>
    <w:rsid w:val="00813629"/>
    <w:pPr>
      <w:keepNext/>
      <w:keepLines/>
      <w:spacing w:before="40" w:after="0"/>
      <w:outlineLvl w:val="5"/>
    </w:pPr>
    <w:rPr>
      <w:rFonts w:ascii="Calibri" w:eastAsiaTheme="majorEastAsia" w:hAnsi="Calibri" w:cstheme="majorBidi"/>
      <w:b/>
      <w:i/>
      <w:color w:val="75757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65B8"/>
    <w:rPr>
      <w:color w:val="808080"/>
    </w:rPr>
  </w:style>
  <w:style w:type="paragraph" w:styleId="Title">
    <w:name w:val="Title"/>
    <w:basedOn w:val="Normal"/>
    <w:next w:val="Normal"/>
    <w:link w:val="TitleChar"/>
    <w:uiPriority w:val="7"/>
    <w:qFormat/>
    <w:rsid w:val="00105919"/>
    <w:pPr>
      <w:spacing w:before="600"/>
      <w:contextualSpacing/>
    </w:pPr>
    <w:rPr>
      <w:rFonts w:ascii="Calibri" w:eastAsiaTheme="majorEastAsia" w:hAnsi="Calibri" w:cstheme="majorBidi"/>
      <w:b/>
      <w:color w:val="051532"/>
      <w:spacing w:val="-10"/>
      <w:kern w:val="28"/>
      <w:sz w:val="48"/>
      <w:szCs w:val="56"/>
    </w:rPr>
  </w:style>
  <w:style w:type="character" w:customStyle="1" w:styleId="TitleChar">
    <w:name w:val="Title Char"/>
    <w:basedOn w:val="DefaultParagraphFont"/>
    <w:link w:val="Title"/>
    <w:uiPriority w:val="7"/>
    <w:rsid w:val="00105919"/>
    <w:rPr>
      <w:rFonts w:ascii="Calibri" w:eastAsiaTheme="majorEastAsia" w:hAnsi="Calibri" w:cstheme="majorBidi"/>
      <w:b/>
      <w:color w:val="051532"/>
      <w:spacing w:val="-10"/>
      <w:kern w:val="28"/>
      <w:sz w:val="48"/>
      <w:szCs w:val="56"/>
    </w:rPr>
  </w:style>
  <w:style w:type="paragraph" w:customStyle="1" w:styleId="InstructionText">
    <w:name w:val="Instruction Text"/>
    <w:basedOn w:val="Normal"/>
    <w:rsid w:val="00A82BDB"/>
    <w:pPr>
      <w:spacing w:after="200"/>
    </w:pPr>
    <w:rPr>
      <w:color w:val="7030A0"/>
    </w:rPr>
  </w:style>
  <w:style w:type="character" w:customStyle="1" w:styleId="Heading1Char">
    <w:name w:val="Heading 1 Char"/>
    <w:basedOn w:val="DefaultParagraphFont"/>
    <w:link w:val="Heading1"/>
    <w:uiPriority w:val="9"/>
    <w:rsid w:val="00145A12"/>
    <w:rPr>
      <w:rFonts w:ascii="Calibri" w:eastAsiaTheme="majorEastAsia" w:hAnsi="Calibri" w:cstheme="majorBidi"/>
      <w:b/>
      <w:color w:val="051532"/>
      <w:sz w:val="34"/>
      <w:szCs w:val="32"/>
    </w:rPr>
  </w:style>
  <w:style w:type="character" w:customStyle="1" w:styleId="Heading2Char">
    <w:name w:val="Heading 2 Char"/>
    <w:basedOn w:val="DefaultParagraphFont"/>
    <w:link w:val="Heading2"/>
    <w:uiPriority w:val="9"/>
    <w:rsid w:val="00105919"/>
    <w:rPr>
      <w:rFonts w:ascii="Calibri" w:eastAsiaTheme="majorEastAsia" w:hAnsi="Calibri" w:cstheme="majorBidi"/>
      <w:b/>
      <w:color w:val="0E77CD"/>
      <w:sz w:val="28"/>
      <w:szCs w:val="26"/>
    </w:rPr>
  </w:style>
  <w:style w:type="character" w:customStyle="1" w:styleId="Heading3Char">
    <w:name w:val="Heading 3 Char"/>
    <w:basedOn w:val="DefaultParagraphFont"/>
    <w:link w:val="Heading3"/>
    <w:uiPriority w:val="9"/>
    <w:rsid w:val="00105919"/>
    <w:rPr>
      <w:rFonts w:ascii="Calibri" w:eastAsiaTheme="majorEastAsia" w:hAnsi="Calibri" w:cstheme="majorBidi"/>
      <w:b/>
      <w:color w:val="051532"/>
      <w:sz w:val="24"/>
      <w:szCs w:val="24"/>
    </w:rPr>
  </w:style>
  <w:style w:type="character" w:customStyle="1" w:styleId="Heading4Char">
    <w:name w:val="Heading 4 Char"/>
    <w:basedOn w:val="DefaultParagraphFont"/>
    <w:link w:val="Heading4"/>
    <w:uiPriority w:val="9"/>
    <w:rsid w:val="00105919"/>
    <w:rPr>
      <w:rFonts w:ascii="Calibri" w:eastAsiaTheme="majorEastAsia" w:hAnsi="Calibri" w:cstheme="majorBidi"/>
      <w:b/>
      <w:i/>
      <w:iCs/>
      <w:color w:val="0E77CD"/>
      <w:sz w:val="20"/>
    </w:rPr>
  </w:style>
  <w:style w:type="paragraph" w:styleId="ListNumber">
    <w:name w:val="List Number"/>
    <w:basedOn w:val="Normal"/>
    <w:uiPriority w:val="99"/>
    <w:qFormat/>
    <w:rsid w:val="003F0880"/>
    <w:pPr>
      <w:numPr>
        <w:numId w:val="10"/>
      </w:numPr>
      <w:tabs>
        <w:tab w:val="left" w:pos="284"/>
        <w:tab w:val="left" w:pos="567"/>
        <w:tab w:val="left" w:pos="851"/>
        <w:tab w:val="left" w:pos="1134"/>
      </w:tabs>
      <w:contextualSpacing/>
    </w:pPr>
  </w:style>
  <w:style w:type="paragraph" w:styleId="ListNumber2">
    <w:name w:val="List Number 2"/>
    <w:basedOn w:val="Normal"/>
    <w:uiPriority w:val="99"/>
    <w:qFormat/>
    <w:rsid w:val="003F0880"/>
    <w:pPr>
      <w:numPr>
        <w:ilvl w:val="1"/>
        <w:numId w:val="10"/>
      </w:numPr>
      <w:contextualSpacing/>
    </w:pPr>
  </w:style>
  <w:style w:type="paragraph" w:styleId="ListBullet">
    <w:name w:val="List Bullet"/>
    <w:basedOn w:val="Normal"/>
    <w:uiPriority w:val="99"/>
    <w:qFormat/>
    <w:rsid w:val="00316088"/>
    <w:pPr>
      <w:numPr>
        <w:numId w:val="5"/>
      </w:numPr>
      <w:contextualSpacing/>
    </w:pPr>
  </w:style>
  <w:style w:type="paragraph" w:styleId="ListBullet2">
    <w:name w:val="List Bullet 2"/>
    <w:basedOn w:val="Normal"/>
    <w:uiPriority w:val="99"/>
    <w:qFormat/>
    <w:rsid w:val="00105919"/>
    <w:pPr>
      <w:numPr>
        <w:numId w:val="9"/>
      </w:numPr>
      <w:tabs>
        <w:tab w:val="left" w:pos="567"/>
      </w:tabs>
      <w:ind w:left="738" w:hanging="454"/>
      <w:contextualSpacing/>
    </w:pPr>
  </w:style>
  <w:style w:type="character" w:styleId="Hyperlink">
    <w:name w:val="Hyperlink"/>
    <w:basedOn w:val="DefaultParagraphFont"/>
    <w:uiPriority w:val="99"/>
    <w:qFormat/>
    <w:rsid w:val="005725B2"/>
    <w:rPr>
      <w:color w:val="32375D"/>
      <w:u w:val="single"/>
    </w:rPr>
  </w:style>
  <w:style w:type="table" w:styleId="TableGrid">
    <w:name w:val="Table Grid"/>
    <w:aliases w:val="NSRB Table"/>
    <w:basedOn w:val="TableNormal"/>
    <w:uiPriority w:val="39"/>
    <w:rsid w:val="00105919"/>
    <w:pPr>
      <w:spacing w:after="40" w:line="240" w:lineRule="auto"/>
    </w:pPr>
    <w:tblPr>
      <w:tblBorders>
        <w:top w:val="single" w:sz="4" w:space="0" w:color="32375D"/>
        <w:left w:val="single" w:sz="4" w:space="0" w:color="32375D"/>
        <w:bottom w:val="single" w:sz="4" w:space="0" w:color="32375D"/>
        <w:right w:val="single" w:sz="4" w:space="0" w:color="32375D"/>
        <w:insideH w:val="single" w:sz="4" w:space="0" w:color="32375D"/>
        <w:insideV w:val="single" w:sz="4" w:space="0" w:color="32375D"/>
      </w:tblBorders>
      <w:tblCellMar>
        <w:top w:w="45" w:type="dxa"/>
      </w:tblCellMar>
    </w:tblPr>
    <w:tcPr>
      <w:vAlign w:val="center"/>
    </w:tcPr>
    <w:tblStylePr w:type="firstRow">
      <w:pPr>
        <w:jc w:val="left"/>
      </w:pPr>
      <w:rPr>
        <w:rFonts w:ascii="Calibri" w:hAnsi="Calibri"/>
        <w:b/>
        <w:color w:val="FFFFFF" w:themeColor="background1"/>
        <w:sz w:val="24"/>
      </w:rPr>
      <w:tblPr/>
      <w:tcPr>
        <w:shd w:val="clear" w:color="auto" w:fill="051532"/>
      </w:tcPr>
    </w:tblStylePr>
  </w:style>
  <w:style w:type="paragraph" w:styleId="Caption">
    <w:name w:val="caption"/>
    <w:basedOn w:val="Normal"/>
    <w:next w:val="Normal"/>
    <w:uiPriority w:val="35"/>
    <w:qFormat/>
    <w:rsid w:val="00706143"/>
    <w:rPr>
      <w:b/>
      <w:i/>
    </w:rPr>
  </w:style>
  <w:style w:type="numbering" w:customStyle="1" w:styleId="RSCBNumberList1">
    <w:name w:val="RSCB Number List 1"/>
    <w:uiPriority w:val="99"/>
    <w:rsid w:val="003F0880"/>
    <w:pPr>
      <w:numPr>
        <w:numId w:val="2"/>
      </w:numPr>
    </w:pPr>
  </w:style>
  <w:style w:type="paragraph" w:styleId="ListBullet3">
    <w:name w:val="List Bullet 3"/>
    <w:basedOn w:val="Normal"/>
    <w:uiPriority w:val="99"/>
    <w:rsid w:val="00316088"/>
    <w:pPr>
      <w:numPr>
        <w:ilvl w:val="2"/>
        <w:numId w:val="5"/>
      </w:numPr>
      <w:tabs>
        <w:tab w:val="left" w:pos="851"/>
      </w:tabs>
      <w:contextualSpacing/>
    </w:pPr>
  </w:style>
  <w:style w:type="paragraph" w:styleId="ListNumber3">
    <w:name w:val="List Number 3"/>
    <w:basedOn w:val="Normal"/>
    <w:uiPriority w:val="99"/>
    <w:qFormat/>
    <w:rsid w:val="003F0880"/>
    <w:pPr>
      <w:numPr>
        <w:ilvl w:val="2"/>
        <w:numId w:val="10"/>
      </w:numPr>
      <w:tabs>
        <w:tab w:val="left" w:pos="1021"/>
      </w:tabs>
      <w:contextualSpacing/>
    </w:pPr>
  </w:style>
  <w:style w:type="paragraph" w:styleId="ListNumber4">
    <w:name w:val="List Number 4"/>
    <w:basedOn w:val="Normal"/>
    <w:uiPriority w:val="99"/>
    <w:qFormat/>
    <w:rsid w:val="003F0880"/>
    <w:pPr>
      <w:numPr>
        <w:ilvl w:val="3"/>
        <w:numId w:val="10"/>
      </w:numPr>
      <w:contextualSpacing/>
    </w:pPr>
  </w:style>
  <w:style w:type="paragraph" w:styleId="ListBullet4">
    <w:name w:val="List Bullet 4"/>
    <w:basedOn w:val="Normal"/>
    <w:uiPriority w:val="99"/>
    <w:rsid w:val="00316088"/>
    <w:pPr>
      <w:numPr>
        <w:ilvl w:val="3"/>
        <w:numId w:val="5"/>
      </w:numPr>
      <w:tabs>
        <w:tab w:val="left" w:pos="1134"/>
      </w:tabs>
      <w:contextualSpacing/>
    </w:pPr>
  </w:style>
  <w:style w:type="numbering" w:customStyle="1" w:styleId="Style1">
    <w:name w:val="Style1"/>
    <w:uiPriority w:val="99"/>
    <w:rsid w:val="00316088"/>
    <w:pPr>
      <w:numPr>
        <w:numId w:val="4"/>
      </w:numPr>
    </w:pPr>
  </w:style>
  <w:style w:type="paragraph" w:styleId="Header">
    <w:name w:val="header"/>
    <w:basedOn w:val="Normal"/>
    <w:link w:val="HeaderChar"/>
    <w:uiPriority w:val="99"/>
    <w:unhideWhenUsed/>
    <w:rsid w:val="00EE7FDA"/>
    <w:pPr>
      <w:tabs>
        <w:tab w:val="center" w:pos="4513"/>
        <w:tab w:val="right" w:pos="9026"/>
      </w:tabs>
      <w:spacing w:after="0"/>
    </w:pPr>
  </w:style>
  <w:style w:type="character" w:customStyle="1" w:styleId="HeaderChar">
    <w:name w:val="Header Char"/>
    <w:basedOn w:val="DefaultParagraphFont"/>
    <w:link w:val="Header"/>
    <w:uiPriority w:val="99"/>
    <w:rsid w:val="00F121AC"/>
  </w:style>
  <w:style w:type="paragraph" w:styleId="Footer">
    <w:name w:val="footer"/>
    <w:basedOn w:val="Normal"/>
    <w:link w:val="FooterChar"/>
    <w:uiPriority w:val="99"/>
    <w:rsid w:val="00EC4486"/>
    <w:pPr>
      <w:tabs>
        <w:tab w:val="center" w:pos="4513"/>
        <w:tab w:val="right" w:pos="9026"/>
      </w:tabs>
      <w:spacing w:after="0"/>
    </w:pPr>
  </w:style>
  <w:style w:type="character" w:customStyle="1" w:styleId="FooterChar">
    <w:name w:val="Footer Char"/>
    <w:basedOn w:val="DefaultParagraphFont"/>
    <w:link w:val="Footer"/>
    <w:uiPriority w:val="99"/>
    <w:rsid w:val="00EC4486"/>
    <w:rPr>
      <w:sz w:val="20"/>
    </w:rPr>
  </w:style>
  <w:style w:type="paragraph" w:styleId="FootnoteText">
    <w:name w:val="footnote text"/>
    <w:basedOn w:val="Normal"/>
    <w:link w:val="FootnoteTextChar"/>
    <w:uiPriority w:val="99"/>
    <w:rsid w:val="00A70EEB"/>
    <w:pPr>
      <w:spacing w:after="0"/>
    </w:pPr>
    <w:rPr>
      <w:sz w:val="14"/>
      <w:szCs w:val="20"/>
    </w:rPr>
  </w:style>
  <w:style w:type="character" w:customStyle="1" w:styleId="FootnoteTextChar">
    <w:name w:val="Footnote Text Char"/>
    <w:basedOn w:val="DefaultParagraphFont"/>
    <w:link w:val="FootnoteText"/>
    <w:uiPriority w:val="99"/>
    <w:rsid w:val="00A70EEB"/>
    <w:rPr>
      <w:sz w:val="14"/>
      <w:szCs w:val="20"/>
    </w:rPr>
  </w:style>
  <w:style w:type="character" w:styleId="FootnoteReference">
    <w:name w:val="footnote reference"/>
    <w:basedOn w:val="DefaultParagraphFont"/>
    <w:uiPriority w:val="99"/>
    <w:semiHidden/>
    <w:unhideWhenUsed/>
    <w:rsid w:val="005725B2"/>
    <w:rPr>
      <w:vertAlign w:val="superscript"/>
    </w:rPr>
  </w:style>
  <w:style w:type="paragraph" w:styleId="Subtitle">
    <w:name w:val="Subtitle"/>
    <w:basedOn w:val="Normal"/>
    <w:next w:val="Normal"/>
    <w:link w:val="SubtitleChar"/>
    <w:uiPriority w:val="8"/>
    <w:qFormat/>
    <w:rsid w:val="00105919"/>
    <w:pPr>
      <w:numPr>
        <w:ilvl w:val="1"/>
      </w:numPr>
      <w:spacing w:after="600"/>
    </w:pPr>
    <w:rPr>
      <w:rFonts w:ascii="Calibri" w:eastAsiaTheme="minorEastAsia" w:hAnsi="Calibri"/>
      <w:b/>
      <w:color w:val="0E77CD"/>
      <w:spacing w:val="15"/>
      <w:sz w:val="40"/>
    </w:rPr>
  </w:style>
  <w:style w:type="character" w:customStyle="1" w:styleId="SubtitleChar">
    <w:name w:val="Subtitle Char"/>
    <w:basedOn w:val="DefaultParagraphFont"/>
    <w:link w:val="Subtitle"/>
    <w:uiPriority w:val="8"/>
    <w:rsid w:val="00105919"/>
    <w:rPr>
      <w:rFonts w:ascii="Calibri" w:eastAsiaTheme="minorEastAsia" w:hAnsi="Calibri"/>
      <w:b/>
      <w:color w:val="0E77CD"/>
      <w:spacing w:val="15"/>
      <w:sz w:val="40"/>
    </w:rPr>
  </w:style>
  <w:style w:type="character" w:styleId="Strong">
    <w:name w:val="Strong"/>
    <w:basedOn w:val="DefaultParagraphFont"/>
    <w:uiPriority w:val="22"/>
    <w:qFormat/>
    <w:rsid w:val="001F444A"/>
    <w:rPr>
      <w:b/>
      <w:bCs/>
    </w:rPr>
  </w:style>
  <w:style w:type="character" w:customStyle="1" w:styleId="Heading5Char">
    <w:name w:val="Heading 5 Char"/>
    <w:basedOn w:val="DefaultParagraphFont"/>
    <w:link w:val="Heading5"/>
    <w:uiPriority w:val="9"/>
    <w:rsid w:val="00813629"/>
    <w:rPr>
      <w:rFonts w:ascii="Calibri" w:eastAsiaTheme="majorEastAsia" w:hAnsi="Calibri" w:cstheme="majorBidi"/>
      <w:b/>
      <w:color w:val="757575"/>
    </w:rPr>
  </w:style>
  <w:style w:type="character" w:customStyle="1" w:styleId="Heading6Char">
    <w:name w:val="Heading 6 Char"/>
    <w:basedOn w:val="DefaultParagraphFont"/>
    <w:link w:val="Heading6"/>
    <w:uiPriority w:val="9"/>
    <w:rsid w:val="00813629"/>
    <w:rPr>
      <w:rFonts w:ascii="Calibri" w:eastAsiaTheme="majorEastAsia" w:hAnsi="Calibri" w:cstheme="majorBidi"/>
      <w:b/>
      <w:i/>
      <w:color w:val="757575"/>
    </w:rPr>
  </w:style>
  <w:style w:type="character" w:styleId="BookTitle">
    <w:name w:val="Book Title"/>
    <w:basedOn w:val="DefaultParagraphFont"/>
    <w:uiPriority w:val="33"/>
    <w:semiHidden/>
    <w:qFormat/>
    <w:rsid w:val="00B81A68"/>
    <w:rPr>
      <w:b w:val="0"/>
      <w:bCs/>
      <w:i/>
      <w:iCs/>
      <w:spacing w:val="5"/>
    </w:rPr>
  </w:style>
  <w:style w:type="character" w:styleId="Emphasis">
    <w:name w:val="Emphasis"/>
    <w:basedOn w:val="DefaultParagraphFont"/>
    <w:uiPriority w:val="20"/>
    <w:qFormat/>
    <w:rsid w:val="001C6347"/>
    <w:rPr>
      <w:b w:val="0"/>
      <w:i/>
      <w:iCs/>
    </w:rPr>
  </w:style>
  <w:style w:type="paragraph" w:customStyle="1" w:styleId="SourceImageCaption">
    <w:name w:val="Source/Image Caption"/>
    <w:basedOn w:val="Normal"/>
    <w:rsid w:val="00DE1663"/>
    <w:rPr>
      <w:sz w:val="18"/>
    </w:rPr>
  </w:style>
  <w:style w:type="paragraph" w:customStyle="1" w:styleId="Normal-AfterTableFigure">
    <w:name w:val="Normal - After Table/Figure"/>
    <w:basedOn w:val="Normal"/>
    <w:rsid w:val="002678F4"/>
    <w:pPr>
      <w:spacing w:before="240"/>
    </w:pPr>
  </w:style>
  <w:style w:type="paragraph" w:styleId="ListParagraph">
    <w:name w:val="List Paragraph"/>
    <w:aliases w:val="Recommendation,L,List Paragraph1,List Paragraph11,NFP GP Bulleted List,FooterText,numbered,Paragraphe de liste1,Bulletr List Paragraph,列出段落,列出段落1,List Paragraph2,List Paragraph21,Listeafsnit1,Parágrafo da Lista1,Párrafo de lista1,リスト段落1,列"/>
    <w:basedOn w:val="Normal"/>
    <w:link w:val="ListParagraphChar"/>
    <w:uiPriority w:val="34"/>
    <w:qFormat/>
    <w:rsid w:val="002678F4"/>
    <w:pPr>
      <w:ind w:left="720"/>
      <w:contextualSpacing/>
    </w:pPr>
  </w:style>
  <w:style w:type="paragraph" w:customStyle="1" w:styleId="Heading1Numbered">
    <w:name w:val="Heading 1 Numbered"/>
    <w:basedOn w:val="Heading1"/>
    <w:rsid w:val="0046637C"/>
    <w:pPr>
      <w:numPr>
        <w:numId w:val="6"/>
      </w:numPr>
    </w:pPr>
  </w:style>
  <w:style w:type="paragraph" w:customStyle="1" w:styleId="Heading2numbered">
    <w:name w:val="Heading 2 numbered"/>
    <w:basedOn w:val="Heading2"/>
    <w:rsid w:val="0046637C"/>
    <w:pPr>
      <w:numPr>
        <w:numId w:val="7"/>
      </w:numPr>
    </w:pPr>
  </w:style>
  <w:style w:type="paragraph" w:styleId="Quote">
    <w:name w:val="Quote"/>
    <w:basedOn w:val="Normal"/>
    <w:next w:val="Normal"/>
    <w:link w:val="QuoteChar"/>
    <w:uiPriority w:val="29"/>
    <w:qFormat/>
    <w:rsid w:val="00A1654A"/>
    <w:pPr>
      <w:spacing w:before="200" w:after="360"/>
      <w:ind w:left="567" w:right="567"/>
    </w:pPr>
    <w:rPr>
      <w:i/>
      <w:iCs/>
      <w:color w:val="404040" w:themeColor="text1" w:themeTint="BF"/>
    </w:rPr>
  </w:style>
  <w:style w:type="character" w:customStyle="1" w:styleId="QuoteChar">
    <w:name w:val="Quote Char"/>
    <w:basedOn w:val="DefaultParagraphFont"/>
    <w:link w:val="Quote"/>
    <w:uiPriority w:val="29"/>
    <w:rsid w:val="00A1654A"/>
    <w:rPr>
      <w:i/>
      <w:iCs/>
      <w:color w:val="404040" w:themeColor="text1" w:themeTint="BF"/>
      <w:sz w:val="20"/>
    </w:rPr>
  </w:style>
  <w:style w:type="character" w:styleId="IntenseEmphasis">
    <w:name w:val="Intense Emphasis"/>
    <w:basedOn w:val="DefaultParagraphFont"/>
    <w:uiPriority w:val="21"/>
    <w:semiHidden/>
    <w:rsid w:val="00A34D39"/>
    <w:rPr>
      <w:b/>
      <w:i/>
      <w:iCs/>
      <w:color w:val="auto"/>
    </w:rPr>
  </w:style>
  <w:style w:type="character" w:styleId="IntenseReference">
    <w:name w:val="Intense Reference"/>
    <w:basedOn w:val="DefaultParagraphFont"/>
    <w:uiPriority w:val="32"/>
    <w:semiHidden/>
    <w:rsid w:val="00A34D39"/>
    <w:rPr>
      <w:b/>
      <w:bCs/>
      <w:smallCaps/>
      <w:color w:val="auto"/>
      <w:spacing w:val="5"/>
      <w:u w:val="single"/>
    </w:rPr>
  </w:style>
  <w:style w:type="character" w:styleId="SubtleReference">
    <w:name w:val="Subtle Reference"/>
    <w:basedOn w:val="DefaultParagraphFont"/>
    <w:uiPriority w:val="31"/>
    <w:semiHidden/>
    <w:rsid w:val="00A74FD2"/>
    <w:rPr>
      <w:smallCaps/>
      <w:color w:val="auto"/>
      <w:u w:val="single"/>
    </w:rPr>
  </w:style>
  <w:style w:type="paragraph" w:customStyle="1" w:styleId="NoParagraphStyle">
    <w:name w:val="[No Paragraph Style]"/>
    <w:rsid w:val="00C30A1E"/>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paragraph" w:customStyle="1" w:styleId="Tagline">
    <w:name w:val="Tagline"/>
    <w:basedOn w:val="Normal"/>
    <w:uiPriority w:val="99"/>
    <w:rsid w:val="00C30A1E"/>
    <w:pPr>
      <w:autoSpaceDE w:val="0"/>
      <w:autoSpaceDN w:val="0"/>
      <w:adjustRightInd w:val="0"/>
      <w:spacing w:after="0" w:line="288" w:lineRule="auto"/>
      <w:textAlignment w:val="center"/>
    </w:pPr>
    <w:rPr>
      <w:rFonts w:ascii="News Gothic Com" w:hAnsi="News Gothic Com" w:cs="News Gothic Com"/>
      <w:b/>
      <w:bCs/>
      <w:color w:val="E9A913"/>
      <w:sz w:val="26"/>
      <w:szCs w:val="26"/>
      <w:lang w:val="en-US"/>
    </w:rPr>
  </w:style>
  <w:style w:type="paragraph" w:customStyle="1" w:styleId="Footertext">
    <w:name w:val="Footer text"/>
    <w:basedOn w:val="Tagline"/>
    <w:rsid w:val="00C30A1E"/>
    <w:rPr>
      <w:rFonts w:ascii="Calibri" w:hAnsi="Calibri"/>
    </w:rPr>
  </w:style>
  <w:style w:type="paragraph" w:customStyle="1" w:styleId="Body">
    <w:name w:val="Body"/>
    <w:basedOn w:val="NoParagraphStyle"/>
    <w:uiPriority w:val="99"/>
    <w:rsid w:val="00A23D73"/>
    <w:pPr>
      <w:suppressAutoHyphens/>
      <w:spacing w:after="113" w:line="260" w:lineRule="atLeast"/>
    </w:pPr>
    <w:rPr>
      <w:rFonts w:ascii="News Gothic Com Light" w:hAnsi="News Gothic Com Light" w:cs="News Gothic Com Light"/>
      <w:sz w:val="20"/>
      <w:szCs w:val="20"/>
    </w:rPr>
  </w:style>
  <w:style w:type="paragraph" w:customStyle="1" w:styleId="Series">
    <w:name w:val="Series"/>
    <w:basedOn w:val="Normal"/>
    <w:uiPriority w:val="99"/>
    <w:rsid w:val="00A23D73"/>
    <w:pPr>
      <w:autoSpaceDE w:val="0"/>
      <w:autoSpaceDN w:val="0"/>
      <w:adjustRightInd w:val="0"/>
      <w:spacing w:after="0" w:line="288" w:lineRule="auto"/>
      <w:jc w:val="center"/>
      <w:textAlignment w:val="center"/>
    </w:pPr>
    <w:rPr>
      <w:rFonts w:ascii="News Gothic Com" w:hAnsi="News Gothic Com" w:cs="News Gothic Com"/>
      <w:b/>
      <w:bCs/>
      <w:color w:val="000000"/>
      <w:sz w:val="33"/>
      <w:szCs w:val="33"/>
      <w:lang w:val="en-US"/>
    </w:rPr>
  </w:style>
  <w:style w:type="paragraph" w:customStyle="1" w:styleId="H2">
    <w:name w:val="H2"/>
    <w:basedOn w:val="Normal"/>
    <w:uiPriority w:val="99"/>
    <w:rsid w:val="00A23D73"/>
    <w:pPr>
      <w:autoSpaceDE w:val="0"/>
      <w:autoSpaceDN w:val="0"/>
      <w:adjustRightInd w:val="0"/>
      <w:spacing w:before="397" w:after="397" w:line="300" w:lineRule="atLeast"/>
      <w:textAlignment w:val="center"/>
    </w:pPr>
    <w:rPr>
      <w:rFonts w:ascii="News Gothic Com" w:hAnsi="News Gothic Com" w:cs="News Gothic Com"/>
      <w:b/>
      <w:bCs/>
      <w:color w:val="3C54A4"/>
      <w:sz w:val="24"/>
      <w:szCs w:val="24"/>
      <w:lang w:val="en-US"/>
    </w:rPr>
  </w:style>
  <w:style w:type="paragraph" w:customStyle="1" w:styleId="H2nospace">
    <w:name w:val="H2 no space"/>
    <w:basedOn w:val="H2"/>
    <w:uiPriority w:val="99"/>
    <w:rsid w:val="00A23D73"/>
    <w:pPr>
      <w:spacing w:before="113" w:after="113"/>
    </w:pPr>
  </w:style>
  <w:style w:type="paragraph" w:customStyle="1" w:styleId="Bullets">
    <w:name w:val="Bullets"/>
    <w:basedOn w:val="Body"/>
    <w:uiPriority w:val="99"/>
    <w:rsid w:val="005D150B"/>
    <w:pPr>
      <w:numPr>
        <w:numId w:val="8"/>
      </w:numPr>
      <w:spacing w:after="80" w:line="240" w:lineRule="auto"/>
      <w:ind w:left="227" w:hanging="227"/>
    </w:pPr>
    <w:rPr>
      <w:rFonts w:ascii="Calibri" w:hAnsi="Calibri"/>
    </w:rPr>
  </w:style>
  <w:style w:type="paragraph" w:customStyle="1" w:styleId="Bullestlast">
    <w:name w:val="Bullest last"/>
    <w:basedOn w:val="Bullets"/>
    <w:uiPriority w:val="99"/>
    <w:rsid w:val="00A23D73"/>
    <w:pPr>
      <w:spacing w:after="113"/>
    </w:pPr>
  </w:style>
  <w:style w:type="paragraph" w:customStyle="1" w:styleId="Footnote">
    <w:name w:val="Footnote"/>
    <w:basedOn w:val="NoParagraphStyle"/>
    <w:uiPriority w:val="99"/>
    <w:rsid w:val="00275860"/>
    <w:pPr>
      <w:suppressAutoHyphens/>
      <w:spacing w:after="60" w:line="240" w:lineRule="auto"/>
      <w:ind w:left="170" w:hanging="170"/>
    </w:pPr>
    <w:rPr>
      <w:rFonts w:ascii="Calibri" w:hAnsi="Calibri" w:cs="News Gothic Com"/>
      <w:sz w:val="14"/>
      <w:szCs w:val="14"/>
    </w:rPr>
  </w:style>
  <w:style w:type="paragraph" w:customStyle="1" w:styleId="Heading2withicon">
    <w:name w:val="Heading 2 with icon"/>
    <w:basedOn w:val="Heading2"/>
    <w:rsid w:val="00052B07"/>
  </w:style>
  <w:style w:type="paragraph" w:customStyle="1" w:styleId="Style2">
    <w:name w:val="Style2"/>
    <w:basedOn w:val="Heading2"/>
    <w:link w:val="Style2Char"/>
    <w:qFormat/>
    <w:rsid w:val="00052B07"/>
    <w:rPr>
      <w:position w:val="-66"/>
    </w:rPr>
  </w:style>
  <w:style w:type="paragraph" w:customStyle="1" w:styleId="Heading2withicontopofcolumn">
    <w:name w:val="Heading 2 with icon top of column"/>
    <w:basedOn w:val="Heading2withicon"/>
    <w:rsid w:val="005D150B"/>
    <w:pPr>
      <w:spacing w:before="0"/>
    </w:pPr>
  </w:style>
  <w:style w:type="character" w:customStyle="1" w:styleId="Style2Char">
    <w:name w:val="Style2 Char"/>
    <w:basedOn w:val="Heading2Char"/>
    <w:link w:val="Style2"/>
    <w:rsid w:val="00052B07"/>
    <w:rPr>
      <w:rFonts w:ascii="Calibri" w:eastAsiaTheme="majorEastAsia" w:hAnsi="Calibri" w:cstheme="majorBidi"/>
      <w:b/>
      <w:color w:val="002D3F"/>
      <w:position w:val="-66"/>
      <w:sz w:val="24"/>
      <w:szCs w:val="26"/>
    </w:rPr>
  </w:style>
  <w:style w:type="table" w:styleId="TableGridLight">
    <w:name w:val="Grid Table Light"/>
    <w:aliases w:val="Case study"/>
    <w:basedOn w:val="TableNormal"/>
    <w:uiPriority w:val="40"/>
    <w:rsid w:val="00286F3C"/>
    <w:pPr>
      <w:spacing w:after="80" w:line="240" w:lineRule="auto"/>
    </w:pPr>
    <w:rPr>
      <w:sz w:val="20"/>
    </w:rPr>
    <w:tblPr/>
    <w:tcPr>
      <w:shd w:val="clear" w:color="auto" w:fill="F4F4F4"/>
      <w:tcMar>
        <w:top w:w="45" w:type="dxa"/>
        <w:left w:w="108" w:type="dxa"/>
        <w:bottom w:w="0" w:type="dxa"/>
        <w:right w:w="108" w:type="dxa"/>
      </w:tcMar>
    </w:tcPr>
  </w:style>
  <w:style w:type="character" w:customStyle="1" w:styleId="Baselineshiftforheader2withicon">
    <w:name w:val="Baseline shift for header 2 with icon"/>
    <w:basedOn w:val="DefaultParagraphFont"/>
    <w:uiPriority w:val="1"/>
    <w:qFormat/>
    <w:rsid w:val="005D150B"/>
    <w:rPr>
      <w:position w:val="32"/>
    </w:rPr>
  </w:style>
  <w:style w:type="paragraph" w:customStyle="1" w:styleId="Boxheader">
    <w:name w:val="Box header"/>
    <w:basedOn w:val="Normal"/>
    <w:qFormat/>
    <w:rsid w:val="00B00423"/>
    <w:pPr>
      <w:spacing w:after="0"/>
    </w:pPr>
    <w:rPr>
      <w:b/>
      <w:color w:val="FFFFFF" w:themeColor="background1"/>
    </w:rPr>
  </w:style>
  <w:style w:type="table" w:styleId="PlainTable1">
    <w:name w:val="Plain Table 1"/>
    <w:basedOn w:val="TableNormal"/>
    <w:uiPriority w:val="41"/>
    <w:rsid w:val="00286F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A736B6"/>
    <w:rPr>
      <w:sz w:val="16"/>
      <w:szCs w:val="16"/>
    </w:rPr>
  </w:style>
  <w:style w:type="paragraph" w:styleId="CommentText">
    <w:name w:val="annotation text"/>
    <w:basedOn w:val="Normal"/>
    <w:link w:val="CommentTextChar"/>
    <w:uiPriority w:val="99"/>
    <w:semiHidden/>
    <w:unhideWhenUsed/>
    <w:rsid w:val="00A736B6"/>
    <w:pPr>
      <w:spacing w:after="200"/>
    </w:pPr>
    <w:rPr>
      <w:szCs w:val="20"/>
    </w:rPr>
  </w:style>
  <w:style w:type="character" w:customStyle="1" w:styleId="CommentTextChar">
    <w:name w:val="Comment Text Char"/>
    <w:basedOn w:val="DefaultParagraphFont"/>
    <w:link w:val="CommentText"/>
    <w:uiPriority w:val="99"/>
    <w:semiHidden/>
    <w:rsid w:val="00A736B6"/>
    <w:rPr>
      <w:sz w:val="20"/>
      <w:szCs w:val="20"/>
    </w:rPr>
  </w:style>
  <w:style w:type="character" w:customStyle="1" w:styleId="ListParagraphChar">
    <w:name w:val="List Paragraph Char"/>
    <w:aliases w:val="Recommendation Char,L Char,List Paragraph1 Char,List Paragraph11 Char,NFP GP Bulleted List Char,FooterText Char,numbered Char,Paragraphe de liste1 Char,Bulletr List Paragraph Char,列出段落 Char,列出段落1 Char,List Paragraph2 Char,リスト段落1 Char"/>
    <w:basedOn w:val="DefaultParagraphFont"/>
    <w:link w:val="ListParagraph"/>
    <w:uiPriority w:val="34"/>
    <w:qFormat/>
    <w:locked/>
    <w:rsid w:val="00A736B6"/>
    <w:rPr>
      <w:sz w:val="20"/>
    </w:rPr>
  </w:style>
  <w:style w:type="paragraph" w:styleId="CommentSubject">
    <w:name w:val="annotation subject"/>
    <w:basedOn w:val="CommentText"/>
    <w:next w:val="CommentText"/>
    <w:link w:val="CommentSubjectChar"/>
    <w:uiPriority w:val="99"/>
    <w:semiHidden/>
    <w:unhideWhenUsed/>
    <w:rsid w:val="003D1AC3"/>
    <w:pPr>
      <w:spacing w:after="120"/>
    </w:pPr>
    <w:rPr>
      <w:b/>
      <w:bCs/>
    </w:rPr>
  </w:style>
  <w:style w:type="character" w:customStyle="1" w:styleId="CommentSubjectChar">
    <w:name w:val="Comment Subject Char"/>
    <w:basedOn w:val="CommentTextChar"/>
    <w:link w:val="CommentSubject"/>
    <w:uiPriority w:val="99"/>
    <w:semiHidden/>
    <w:rsid w:val="003D1AC3"/>
    <w:rPr>
      <w:b/>
      <w:bCs/>
      <w:sz w:val="20"/>
      <w:szCs w:val="20"/>
    </w:rPr>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unhideWhenUsed/>
    <w:rsid w:val="00CB7A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70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dese.gov.au/workforce-australia/resources/workforce-australia-employment-services-provider-payment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workforceaustralia.gov.a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www.dese.gov.au/transition-work/resources/transition-work-fact-shee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10D486C612E5418C975EEA3053FB3F" ma:contentTypeVersion="7" ma:contentTypeDescription="Create a new document." ma:contentTypeScope="" ma:versionID="1144e4339b01ae6026510fd122875b6f">
  <xsd:schema xmlns:xsd="http://www.w3.org/2001/XMLSchema" xmlns:xs="http://www.w3.org/2001/XMLSchema" xmlns:p="http://schemas.microsoft.com/office/2006/metadata/properties" xmlns:ns2="1f4336c8-cde0-40ab-bbd2-80a399a6ba64" xmlns:ns3="1ecce8f5-3856-4ffb-b642-2c653228d680" targetNamespace="http://schemas.microsoft.com/office/2006/metadata/properties" ma:root="true" ma:fieldsID="3147b5a8563c9588fb7d1735136ca0e4" ns2:_="" ns3:_="">
    <xsd:import namespace="1f4336c8-cde0-40ab-bbd2-80a399a6ba64"/>
    <xsd:import namespace="1ecce8f5-3856-4ffb-b642-2c653228d68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Tobedeleted_x003f_"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4336c8-cde0-40ab-bbd2-80a399a6ba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Tobedeleted_x003f_" ma:index="12" nillable="true" ma:displayName="To be deleted?" ma:default="0" ma:format="Dropdown" ma:internalName="Tobedeleted_x003f_">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ecce8f5-3856-4ffb-b642-2c653228d68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obedeleted_x003f_ xmlns="1f4336c8-cde0-40ab-bbd2-80a399a6ba64">false</Tobedeleted_x003f_>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6AD89-F185-4003-B493-72306718D0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4336c8-cde0-40ab-bbd2-80a399a6ba64"/>
    <ds:schemaRef ds:uri="1ecce8f5-3856-4ffb-b642-2c653228d6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599AE2-9ABA-41AD-9FBD-A20308E5DF63}">
  <ds:schemaRefs>
    <ds:schemaRef ds:uri="http://schemas.microsoft.com/sharepoint/v3/contenttype/forms"/>
  </ds:schemaRefs>
</ds:datastoreItem>
</file>

<file path=customXml/itemProps3.xml><?xml version="1.0" encoding="utf-8"?>
<ds:datastoreItem xmlns:ds="http://schemas.openxmlformats.org/officeDocument/2006/customXml" ds:itemID="{1BDB2D86-CC91-49C1-88E9-E8F8CA6D187A}">
  <ds:schemaRefs>
    <ds:schemaRef ds:uri="http://purl.org/dc/terms/"/>
    <ds:schemaRef ds:uri="1ecce8f5-3856-4ffb-b642-2c653228d680"/>
    <ds:schemaRef ds:uri="http://schemas.microsoft.com/office/2006/metadata/properties"/>
    <ds:schemaRef ds:uri="http://schemas.microsoft.com/office/infopath/2007/PartnerControls"/>
    <ds:schemaRef ds:uri="http://schemas.openxmlformats.org/package/2006/metadata/core-properties"/>
    <ds:schemaRef ds:uri="http://schemas.microsoft.com/office/2006/documentManagement/types"/>
    <ds:schemaRef ds:uri="http://www.w3.org/XML/1998/namespace"/>
    <ds:schemaRef ds:uri="http://purl.org/dc/elements/1.1/"/>
    <ds:schemaRef ds:uri="1f4336c8-cde0-40ab-bbd2-80a399a6ba64"/>
    <ds:schemaRef ds:uri="http://purl.org/dc/dcmitype/"/>
  </ds:schemaRefs>
</ds:datastoreItem>
</file>

<file path=customXml/itemProps4.xml><?xml version="1.0" encoding="utf-8"?>
<ds:datastoreItem xmlns:ds="http://schemas.openxmlformats.org/officeDocument/2006/customXml" ds:itemID="{1CF49D2B-8C93-4E2C-B22C-BF8476B74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1123</Words>
  <Characters>6402</Characters>
  <Application>Microsoft Office Word</Application>
  <DocSecurity>0</DocSecurity>
  <Lines>53</Lines>
  <Paragraphs>15</Paragraphs>
  <ScaleCrop>false</ScaleCrop>
  <Company>Australian Government</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Government Workforce Australia</dc:title>
  <dc:subject/>
  <dc:creator>BRENNAN,Kate</dc:creator>
  <cp:keywords/>
  <dc:description/>
  <cp:lastModifiedBy>SMYTH,Kylie</cp:lastModifiedBy>
  <cp:revision>2</cp:revision>
  <dcterms:created xsi:type="dcterms:W3CDTF">2022-07-04T01:42:00Z</dcterms:created>
  <dcterms:modified xsi:type="dcterms:W3CDTF">2022-07-04T01:42:00Z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877481-9e35-4b68-b667-876a73c6db41_Enabled">
    <vt:lpwstr>true</vt:lpwstr>
  </property>
  <property fmtid="{D5CDD505-2E9C-101B-9397-08002B2CF9AE}" pid="3" name="MSIP_Label_5f877481-9e35-4b68-b667-876a73c6db41_SetDate">
    <vt:lpwstr>2022-04-13T04:43:49Z</vt:lpwstr>
  </property>
  <property fmtid="{D5CDD505-2E9C-101B-9397-08002B2CF9AE}" pid="4" name="MSIP_Label_5f877481-9e35-4b68-b667-876a73c6db41_Method">
    <vt:lpwstr>Privileged</vt:lpwstr>
  </property>
  <property fmtid="{D5CDD505-2E9C-101B-9397-08002B2CF9AE}" pid="5" name="MSIP_Label_5f877481-9e35-4b68-b667-876a73c6db41_Name">
    <vt:lpwstr>5f877481-9e35-4b68-b667-876a73c6db41</vt:lpwstr>
  </property>
  <property fmtid="{D5CDD505-2E9C-101B-9397-08002B2CF9AE}" pid="6" name="MSIP_Label_5f877481-9e35-4b68-b667-876a73c6db41_SiteId">
    <vt:lpwstr>dd0cfd15-4558-4b12-8bad-ea26984fc417</vt:lpwstr>
  </property>
  <property fmtid="{D5CDD505-2E9C-101B-9397-08002B2CF9AE}" pid="7" name="MSIP_Label_5f877481-9e35-4b68-b667-876a73c6db41_ActionId">
    <vt:lpwstr>1380ef66-15aa-4b34-b76f-351f33ceef07</vt:lpwstr>
  </property>
  <property fmtid="{D5CDD505-2E9C-101B-9397-08002B2CF9AE}" pid="8" name="MSIP_Label_5f877481-9e35-4b68-b667-876a73c6db41_ContentBits">
    <vt:lpwstr>0</vt:lpwstr>
  </property>
  <property fmtid="{D5CDD505-2E9C-101B-9397-08002B2CF9AE}" pid="9" name="ContentTypeId">
    <vt:lpwstr>0x0101007510D486C612E5418C975EEA3053FB3F</vt:lpwstr>
  </property>
  <property fmtid="{D5CDD505-2E9C-101B-9397-08002B2CF9AE}" pid="10" name="MSIP_Label_79d889eb-932f-4752-8739-64d25806ef64_SetDate">
    <vt:lpwstr>2022-05-03T07:15:15Z</vt:lpwstr>
  </property>
  <property fmtid="{D5CDD505-2E9C-101B-9397-08002B2CF9AE}" pid="11" name="MSIP_Label_79d889eb-932f-4752-8739-64d25806ef64_SiteId">
    <vt:lpwstr>dd0cfd15-4558-4b12-8bad-ea26984fc417</vt:lpwstr>
  </property>
  <property fmtid="{D5CDD505-2E9C-101B-9397-08002B2CF9AE}" pid="12" name="MSIP_Label_79d889eb-932f-4752-8739-64d25806ef64_Method">
    <vt:lpwstr>Privileged</vt:lpwstr>
  </property>
  <property fmtid="{D5CDD505-2E9C-101B-9397-08002B2CF9AE}" pid="13" name="MSIP_Label_79d889eb-932f-4752-8739-64d25806ef64_ActionId">
    <vt:lpwstr>d99694f1-cca5-4098-b8b3-957a6a7c5927</vt:lpwstr>
  </property>
  <property fmtid="{D5CDD505-2E9C-101B-9397-08002B2CF9AE}" pid="14" name="MSIP_Label_79d889eb-932f-4752-8739-64d25806ef64_ContentBits">
    <vt:lpwstr>0</vt:lpwstr>
  </property>
  <property fmtid="{D5CDD505-2E9C-101B-9397-08002B2CF9AE}" pid="15" name="MSIP_Label_79d889eb-932f-4752-8739-64d25806ef64_Name">
    <vt:lpwstr>79d889eb-932f-4752-8739-64d25806ef64</vt:lpwstr>
  </property>
  <property fmtid="{D5CDD505-2E9C-101B-9397-08002B2CF9AE}" pid="16" name="MSIP_Label_79d889eb-932f-4752-8739-64d25806ef64_Enabled">
    <vt:lpwstr>true</vt:lpwstr>
  </property>
</Properties>
</file>