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57C99336" w:rsidR="005565B8" w:rsidRDefault="00286F3C" w:rsidP="00C55A70">
      <w:pPr>
        <w:spacing w:after="1600"/>
        <w:sectPr w:rsidR="005565B8" w:rsidSect="00C55A70">
          <w:headerReference w:type="even" r:id="rId11"/>
          <w:headerReference w:type="default" r:id="rId12"/>
          <w:footerReference w:type="even" r:id="rId13"/>
          <w:footerReference w:type="default" r:id="rId14"/>
          <w:headerReference w:type="first" r:id="rId15"/>
          <w:footerReference w:type="first" r:id="rId16"/>
          <w:pgSz w:w="11906" w:h="16838"/>
          <w:pgMar w:top="1021" w:right="851" w:bottom="1418" w:left="851" w:header="227" w:footer="1474" w:gutter="0"/>
          <w:cols w:space="708"/>
          <w:titlePg/>
          <w:docGrid w:linePitch="360"/>
        </w:sectPr>
      </w:pPr>
      <w:r w:rsidRPr="007D29EC">
        <w:rPr>
          <w:noProof/>
          <w:color w:val="2B579A"/>
        </w:rPr>
        <w:drawing>
          <wp:inline distT="0" distB="0" distL="0" distR="0" wp14:anchorId="7D8C6F17" wp14:editId="5D6877FE">
            <wp:extent cx="3506400" cy="968400"/>
            <wp:effectExtent l="0" t="0" r="0" b="3175"/>
            <wp:docPr id="6" name="Picture 6" descr="Australian Government&#10;Workforce Austr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ustralian Government&#10;Workforce Australi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6400" cy="968400"/>
                    </a:xfrm>
                    <a:prstGeom prst="rect">
                      <a:avLst/>
                    </a:prstGeom>
                  </pic:spPr>
                </pic:pic>
              </a:graphicData>
            </a:graphic>
          </wp:inline>
        </w:drawing>
      </w:r>
      <w:r>
        <w:rPr>
          <w:noProof/>
          <w:color w:val="2B579A"/>
          <w:shd w:val="clear" w:color="auto" w:fill="E6E6E6"/>
        </w:rPr>
        <mc:AlternateContent>
          <mc:Choice Requires="wps">
            <w:drawing>
              <wp:anchor distT="0" distB="0" distL="114300" distR="114300" simplePos="0" relativeHeight="251661312" behindDoc="1" locked="0" layoutInCell="1" allowOverlap="1" wp14:anchorId="6EDC1A19" wp14:editId="589DDFBB">
                <wp:simplePos x="0" y="0"/>
                <wp:positionH relativeFrom="page">
                  <wp:align>left</wp:align>
                </wp:positionH>
                <wp:positionV relativeFrom="page">
                  <wp:posOffset>0</wp:posOffset>
                </wp:positionV>
                <wp:extent cx="7560000" cy="2160000"/>
                <wp:effectExtent l="0" t="0" r="3175"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2160000"/>
                        </a:xfrm>
                        <a:prstGeom prst="rect">
                          <a:avLst/>
                        </a:prstGeom>
                        <a:solidFill>
                          <a:srgbClr val="05153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7DB04" id="Rectangle 3" o:spid="_x0000_s1026" alt="&quot;&quot;" style="position:absolute;margin-left:0;margin-top:0;width:595.3pt;height:170.1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" fillcolor="#051532" stroked="f" strokeweight="1pt">
                <w10:wrap anchorx="page" anchory="page"/>
              </v:rect>
            </w:pict>
          </mc:Fallback>
        </mc:AlternateContent>
      </w:r>
    </w:p>
    <w:p w14:paraId="66250B2B" w14:textId="3E775BEC" w:rsidR="00F14BDE" w:rsidRPr="00F14BDE" w:rsidRDefault="00F14BDE" w:rsidP="006C2995">
      <w:pPr>
        <w:pStyle w:val="Title"/>
      </w:pPr>
      <w:r>
        <w:t>Workforce Australia Services</w:t>
      </w:r>
    </w:p>
    <w:p w14:paraId="2098F895" w14:textId="77777777" w:rsidR="00F14BDE" w:rsidRDefault="00F14BDE" w:rsidP="00F14BDE">
      <w:pPr>
        <w:pStyle w:val="Heading1"/>
      </w:pPr>
      <w:r w:rsidRPr="00F14BDE">
        <w:t>Workforce Australia Employment Services Provider Payments</w:t>
      </w:r>
    </w:p>
    <w:p w14:paraId="46BFB356" w14:textId="6FB0FD1A" w:rsidR="00F14BDE" w:rsidRDefault="53C31331" w:rsidP="3B0102A0">
      <w:pPr>
        <w:pStyle w:val="Heading2"/>
        <w:rPr>
          <w:rFonts w:asciiTheme="minorHAnsi" w:eastAsiaTheme="minorEastAsia" w:hAnsiTheme="minorHAnsi" w:cstheme="minorBidi"/>
          <w:b w:val="0"/>
          <w:color w:val="auto"/>
          <w:sz w:val="20"/>
          <w:szCs w:val="20"/>
        </w:rPr>
      </w:pPr>
      <w:r w:rsidRPr="0CB51735">
        <w:rPr>
          <w:rFonts w:asciiTheme="minorHAnsi" w:eastAsiaTheme="minorEastAsia" w:hAnsiTheme="minorHAnsi" w:cstheme="minorBidi"/>
          <w:b w:val="0"/>
          <w:color w:val="auto"/>
          <w:sz w:val="20"/>
          <w:szCs w:val="20"/>
        </w:rPr>
        <w:t>Workforce Australia Employment Services Providers</w:t>
      </w:r>
      <w:r w:rsidR="00DB5252" w:rsidRPr="0CB51735">
        <w:rPr>
          <w:rFonts w:asciiTheme="minorHAnsi" w:eastAsiaTheme="minorEastAsia" w:hAnsiTheme="minorHAnsi" w:cstheme="minorBidi"/>
          <w:b w:val="0"/>
          <w:color w:val="auto"/>
          <w:sz w:val="20"/>
          <w:szCs w:val="20"/>
        </w:rPr>
        <w:t xml:space="preserve"> </w:t>
      </w:r>
      <w:r w:rsidRPr="0CB51735">
        <w:rPr>
          <w:rFonts w:asciiTheme="minorHAnsi" w:eastAsiaTheme="minorEastAsia" w:hAnsiTheme="minorHAnsi" w:cstheme="minorBidi"/>
          <w:b w:val="0"/>
          <w:color w:val="auto"/>
          <w:sz w:val="20"/>
          <w:szCs w:val="20"/>
        </w:rPr>
        <w:t xml:space="preserve">will receive Employment Outcome Payments </w:t>
      </w:r>
      <w:r w:rsidR="00DF3F1D" w:rsidRPr="0CB51735">
        <w:rPr>
          <w:rFonts w:asciiTheme="minorHAnsi" w:eastAsiaTheme="minorEastAsia" w:hAnsiTheme="minorHAnsi" w:cstheme="minorBidi"/>
          <w:b w:val="0"/>
          <w:color w:val="auto"/>
          <w:sz w:val="20"/>
          <w:szCs w:val="20"/>
        </w:rPr>
        <w:t>when participants</w:t>
      </w:r>
      <w:r w:rsidRPr="0CB51735">
        <w:rPr>
          <w:rFonts w:asciiTheme="minorHAnsi" w:eastAsiaTheme="minorEastAsia" w:hAnsiTheme="minorHAnsi" w:cstheme="minorBidi"/>
          <w:b w:val="0"/>
          <w:color w:val="auto"/>
          <w:sz w:val="20"/>
          <w:szCs w:val="20"/>
        </w:rPr>
        <w:t xml:space="preserve"> achieve 4, 12 and 26-week Employment Outcomes. A Very Long Term Unemployment (VLTU) Bonus is payable in addition to some Employment Outcomes for the most disadvantaged participants. Upfront Payments are available to support early intervention, as well as Progress Payments that recognise the investment</w:t>
      </w:r>
      <w:r w:rsidRPr="0CB51735">
        <w:rPr>
          <w:rFonts w:asciiTheme="minorHAnsi" w:eastAsiaTheme="minorEastAsia" w:hAnsiTheme="minorHAnsi" w:cstheme="minorBidi"/>
          <w:b w:val="0"/>
          <w:color w:val="auto"/>
          <w:sz w:val="20"/>
          <w:szCs w:val="20"/>
        </w:rPr>
        <w:t>s</w:t>
      </w:r>
      <w:r w:rsidRPr="0CB51735">
        <w:rPr>
          <w:rFonts w:asciiTheme="minorHAnsi" w:eastAsiaTheme="minorEastAsia" w:hAnsiTheme="minorHAnsi" w:cstheme="minorBidi"/>
          <w:b w:val="0"/>
          <w:color w:val="auto"/>
          <w:sz w:val="20"/>
          <w:szCs w:val="20"/>
        </w:rPr>
        <w:t xml:space="preserve"> made to </w:t>
      </w:r>
      <w:r w:rsidRPr="0CB51735">
        <w:rPr>
          <w:rFonts w:asciiTheme="minorHAnsi" w:eastAsiaTheme="minorEastAsia" w:hAnsiTheme="minorHAnsi" w:cstheme="minorBidi"/>
          <w:b w:val="0"/>
          <w:color w:val="auto"/>
          <w:sz w:val="20"/>
          <w:szCs w:val="20"/>
        </w:rPr>
        <w:t>support</w:t>
      </w:r>
      <w:r w:rsidRPr="0CB51735">
        <w:rPr>
          <w:rFonts w:asciiTheme="minorHAnsi" w:eastAsiaTheme="minorEastAsia" w:hAnsiTheme="minorHAnsi" w:cstheme="minorBidi"/>
          <w:b w:val="0"/>
          <w:color w:val="auto"/>
          <w:sz w:val="20"/>
          <w:szCs w:val="20"/>
        </w:rPr>
        <w:t xml:space="preserve"> participants </w:t>
      </w:r>
      <w:r w:rsidRPr="0CB51735">
        <w:rPr>
          <w:rFonts w:asciiTheme="minorHAnsi" w:eastAsiaTheme="minorEastAsia" w:hAnsiTheme="minorHAnsi" w:cstheme="minorBidi"/>
          <w:b w:val="0"/>
          <w:color w:val="auto"/>
          <w:sz w:val="20"/>
          <w:szCs w:val="20"/>
        </w:rPr>
        <w:t xml:space="preserve">becoming </w:t>
      </w:r>
      <w:r w:rsidRPr="0CB51735">
        <w:rPr>
          <w:rFonts w:asciiTheme="minorHAnsi" w:eastAsiaTheme="minorEastAsia" w:hAnsiTheme="minorHAnsi" w:cstheme="minorBidi"/>
          <w:b w:val="0"/>
          <w:color w:val="auto"/>
          <w:sz w:val="20"/>
          <w:szCs w:val="20"/>
        </w:rPr>
        <w:t>job-ready</w:t>
      </w:r>
      <w:r w:rsidRPr="0CB51735">
        <w:rPr>
          <w:rFonts w:asciiTheme="minorHAnsi" w:eastAsiaTheme="minorEastAsia" w:hAnsiTheme="minorHAnsi" w:cstheme="minorBidi"/>
          <w:b w:val="0"/>
          <w:color w:val="auto"/>
          <w:sz w:val="20"/>
          <w:szCs w:val="20"/>
        </w:rPr>
        <w:t>. This</w:t>
      </w:r>
      <w:r w:rsidRPr="0CB51735">
        <w:rPr>
          <w:rFonts w:asciiTheme="minorHAnsi" w:eastAsiaTheme="minorEastAsia" w:hAnsiTheme="minorHAnsi" w:cstheme="minorBidi"/>
          <w:b w:val="0"/>
          <w:color w:val="auto"/>
          <w:sz w:val="20"/>
          <w:szCs w:val="20"/>
        </w:rPr>
        <w:t xml:space="preserve"> includ</w:t>
      </w:r>
      <w:r w:rsidRPr="0CB51735">
        <w:rPr>
          <w:rFonts w:asciiTheme="minorHAnsi" w:eastAsiaTheme="minorEastAsia" w:hAnsiTheme="minorHAnsi" w:cstheme="minorBidi"/>
          <w:b w:val="0"/>
          <w:color w:val="auto"/>
          <w:sz w:val="20"/>
          <w:szCs w:val="20"/>
        </w:rPr>
        <w:t>es</w:t>
      </w:r>
      <w:r w:rsidRPr="0CB51735">
        <w:rPr>
          <w:rFonts w:asciiTheme="minorHAnsi" w:eastAsiaTheme="minorEastAsia" w:hAnsiTheme="minorHAnsi" w:cstheme="minorBidi"/>
          <w:b w:val="0"/>
          <w:color w:val="auto"/>
          <w:sz w:val="20"/>
          <w:szCs w:val="20"/>
        </w:rPr>
        <w:t xml:space="preserve"> efforts to reduce or remove vocational or non-vocational barriers. </w:t>
      </w:r>
    </w:p>
    <w:p w14:paraId="3CAC35B7" w14:textId="7BCB2382" w:rsidR="00CD38C9" w:rsidRDefault="00F14BDE" w:rsidP="00F14BDE">
      <w:pPr>
        <w:pStyle w:val="Heading2"/>
      </w:pPr>
      <w:r w:rsidRPr="00F14BDE">
        <w:t>Upfront Payments and Progress Payments</w:t>
      </w:r>
    </w:p>
    <w:tbl>
      <w:tblPr>
        <w:tblStyle w:val="TableGrid"/>
        <w:tblW w:w="9634" w:type="dxa"/>
        <w:tblLook w:val="04A0" w:firstRow="1" w:lastRow="0" w:firstColumn="1" w:lastColumn="0" w:noHBand="0" w:noVBand="1"/>
      </w:tblPr>
      <w:tblGrid>
        <w:gridCol w:w="3211"/>
        <w:gridCol w:w="3211"/>
        <w:gridCol w:w="3212"/>
      </w:tblGrid>
      <w:tr w:rsidR="00F14BDE" w14:paraId="0B223FB9" w14:textId="77777777" w:rsidTr="2AFB33E6">
        <w:trPr>
          <w:cnfStyle w:val="100000000000" w:firstRow="1" w:lastRow="0" w:firstColumn="0" w:lastColumn="0" w:oddVBand="0" w:evenVBand="0" w:oddHBand="0" w:evenHBand="0" w:firstRowFirstColumn="0" w:firstRowLastColumn="0" w:lastRowFirstColumn="0" w:lastRowLastColumn="0"/>
        </w:trPr>
        <w:tc>
          <w:tcPr>
            <w:tcW w:w="3211" w:type="dxa"/>
            <w:vAlign w:val="top"/>
          </w:tcPr>
          <w:p w14:paraId="43C2EE7B" w14:textId="6E19FB42" w:rsidR="00F14BDE" w:rsidRDefault="00F14BDE" w:rsidP="00F14BDE">
            <w:r w:rsidRPr="00944ED3">
              <w:t>Engagement Payment</w:t>
            </w:r>
          </w:p>
        </w:tc>
        <w:tc>
          <w:tcPr>
            <w:tcW w:w="3211" w:type="dxa"/>
            <w:vAlign w:val="top"/>
          </w:tcPr>
          <w:p w14:paraId="2843B10A" w14:textId="3C0EB32F" w:rsidR="00F14BDE" w:rsidRDefault="00F14BDE" w:rsidP="00F14BDE">
            <w:r w:rsidRPr="00944ED3">
              <w:t>Transition/Transfer Payment</w:t>
            </w:r>
          </w:p>
        </w:tc>
        <w:tc>
          <w:tcPr>
            <w:tcW w:w="3212" w:type="dxa"/>
            <w:vAlign w:val="top"/>
          </w:tcPr>
          <w:p w14:paraId="47EB83A1" w14:textId="75353331" w:rsidR="00F14BDE" w:rsidRDefault="00F14BDE" w:rsidP="00F14BDE">
            <w:r w:rsidRPr="00944ED3">
              <w:t>Progress Payment</w:t>
            </w:r>
          </w:p>
        </w:tc>
      </w:tr>
      <w:tr w:rsidR="00F14BDE" w14:paraId="3EAB1E8E" w14:textId="77777777" w:rsidTr="2AFB33E6">
        <w:trPr>
          <w:trHeight w:val="20"/>
        </w:trPr>
        <w:tc>
          <w:tcPr>
            <w:tcW w:w="3211" w:type="dxa"/>
            <w:vAlign w:val="top"/>
          </w:tcPr>
          <w:p w14:paraId="3BF355AD" w14:textId="50ADBDF4" w:rsidR="00F14BDE" w:rsidRDefault="00F14BDE" w:rsidP="00F14BDE">
            <w:r w:rsidRPr="00944ED3">
              <w:t>$1,200</w:t>
            </w:r>
          </w:p>
        </w:tc>
        <w:tc>
          <w:tcPr>
            <w:tcW w:w="3211" w:type="dxa"/>
            <w:vAlign w:val="top"/>
          </w:tcPr>
          <w:p w14:paraId="012AB3E7" w14:textId="74D1E40C" w:rsidR="00F14BDE" w:rsidRDefault="00F14BDE" w:rsidP="00F14BDE">
            <w:r w:rsidRPr="00944ED3">
              <w:t>$600</w:t>
            </w:r>
          </w:p>
        </w:tc>
        <w:tc>
          <w:tcPr>
            <w:tcW w:w="3212" w:type="dxa"/>
            <w:vAlign w:val="top"/>
          </w:tcPr>
          <w:p w14:paraId="5E446787" w14:textId="69F93C81" w:rsidR="00F14BDE" w:rsidRDefault="00F14BDE" w:rsidP="00F14BDE">
            <w:r w:rsidRPr="00944ED3">
              <w:t>$750</w:t>
            </w:r>
          </w:p>
        </w:tc>
      </w:tr>
      <w:tr w:rsidR="00F14BDE" w14:paraId="0470B69D" w14:textId="77777777" w:rsidTr="2AFB33E6">
        <w:tc>
          <w:tcPr>
            <w:tcW w:w="3211" w:type="dxa"/>
            <w:vAlign w:val="top"/>
          </w:tcPr>
          <w:p w14:paraId="45BFF2BF" w14:textId="0F0F6D28" w:rsidR="00F14BDE" w:rsidRDefault="00F14BDE" w:rsidP="00F14BDE">
            <w:r>
              <w:t>Paid when a new participant</w:t>
            </w:r>
            <w:r w:rsidR="28D953E9">
              <w:t xml:space="preserve"> c</w:t>
            </w:r>
            <w:r>
              <w:t>ommences in Workforce Australia Services</w:t>
            </w:r>
            <w:r w:rsidR="00DA4A0F">
              <w:t xml:space="preserve">, </w:t>
            </w:r>
            <w:r w:rsidR="00782660">
              <w:t>including participants transitioning from online services</w:t>
            </w:r>
          </w:p>
        </w:tc>
        <w:tc>
          <w:tcPr>
            <w:tcW w:w="3211" w:type="dxa"/>
            <w:vAlign w:val="top"/>
          </w:tcPr>
          <w:p w14:paraId="6FD0616D" w14:textId="41075B54" w:rsidR="00F14BDE" w:rsidRDefault="75324601" w:rsidP="00F14BDE">
            <w:r>
              <w:t xml:space="preserve">Paid when an existing jobactive or New Employment Services Trial </w:t>
            </w:r>
            <w:r w:rsidR="427090E7">
              <w:t xml:space="preserve">provider serviced </w:t>
            </w:r>
            <w:r>
              <w:t xml:space="preserve">participant transitions to Workforce Australia Services </w:t>
            </w:r>
            <w:r w:rsidR="396B5E0F">
              <w:t xml:space="preserve">before 1 July 2023 </w:t>
            </w:r>
            <w:r>
              <w:t>or transfers to a different provider</w:t>
            </w:r>
          </w:p>
        </w:tc>
        <w:tc>
          <w:tcPr>
            <w:tcW w:w="3212" w:type="dxa"/>
            <w:vAlign w:val="top"/>
          </w:tcPr>
          <w:p w14:paraId="28367CD9" w14:textId="524789B2" w:rsidR="00F14BDE" w:rsidRDefault="00F14BDE" w:rsidP="00F14BDE">
            <w:r>
              <w:t>Claimable once within every 24-month period during the participant's Period of Service.</w:t>
            </w:r>
          </w:p>
        </w:tc>
      </w:tr>
    </w:tbl>
    <w:p w14:paraId="731A49F9" w14:textId="6CEE479A" w:rsidR="00CF6EBF" w:rsidRDefault="00CF6EBF" w:rsidP="00FD6726"/>
    <w:tbl>
      <w:tblPr>
        <w:tblStyle w:val="TableGrid"/>
        <w:tblW w:w="9634" w:type="dxa"/>
        <w:tblLook w:val="04A0" w:firstRow="1" w:lastRow="0" w:firstColumn="1" w:lastColumn="0" w:noHBand="0" w:noVBand="1"/>
      </w:tblPr>
      <w:tblGrid>
        <w:gridCol w:w="1980"/>
        <w:gridCol w:w="2551"/>
        <w:gridCol w:w="2268"/>
        <w:gridCol w:w="2835"/>
      </w:tblGrid>
      <w:tr w:rsidR="00F14BDE" w:rsidRPr="00732788" w14:paraId="4173B934" w14:textId="77777777" w:rsidTr="00F14BDE">
        <w:trPr>
          <w:cnfStyle w:val="100000000000" w:firstRow="1" w:lastRow="0" w:firstColumn="0" w:lastColumn="0" w:oddVBand="0" w:evenVBand="0" w:oddHBand="0" w:evenHBand="0" w:firstRowFirstColumn="0" w:firstRowLastColumn="0" w:lastRowFirstColumn="0" w:lastRowLastColumn="0"/>
        </w:trPr>
        <w:tc>
          <w:tcPr>
            <w:tcW w:w="1980" w:type="dxa"/>
            <w:hideMark/>
          </w:tcPr>
          <w:p w14:paraId="2010AF02" w14:textId="77777777" w:rsidR="00F14BDE" w:rsidRPr="00F14BDE" w:rsidRDefault="00F14BDE" w:rsidP="00F14BDE">
            <w:r w:rsidRPr="00F14BDE">
              <w:t>Employment Outcome Payment Type</w:t>
            </w:r>
          </w:p>
        </w:tc>
        <w:tc>
          <w:tcPr>
            <w:tcW w:w="2551" w:type="dxa"/>
            <w:hideMark/>
          </w:tcPr>
          <w:p w14:paraId="3B169839" w14:textId="77777777" w:rsidR="00F14BDE" w:rsidRPr="00F14BDE" w:rsidRDefault="00F14BDE" w:rsidP="00F14BDE">
            <w:r w:rsidRPr="00F14BDE">
              <w:t>Employment Outcome</w:t>
            </w:r>
          </w:p>
        </w:tc>
        <w:tc>
          <w:tcPr>
            <w:tcW w:w="2268" w:type="dxa"/>
            <w:hideMark/>
          </w:tcPr>
          <w:p w14:paraId="6CDA9AE5" w14:textId="77777777" w:rsidR="00F14BDE" w:rsidRPr="00F14BDE" w:rsidRDefault="00F14BDE" w:rsidP="00F14BDE">
            <w:r w:rsidRPr="00F14BDE">
              <w:t>JSCI (moderate)</w:t>
            </w:r>
          </w:p>
        </w:tc>
        <w:tc>
          <w:tcPr>
            <w:tcW w:w="2835" w:type="dxa"/>
            <w:hideMark/>
          </w:tcPr>
          <w:p w14:paraId="19753B61" w14:textId="77777777" w:rsidR="00F14BDE" w:rsidRPr="00F14BDE" w:rsidRDefault="00F14BDE" w:rsidP="00F14BDE">
            <w:r w:rsidRPr="00F14BDE">
              <w:t>JSCI (high)</w:t>
            </w:r>
          </w:p>
        </w:tc>
      </w:tr>
      <w:tr w:rsidR="00F14BDE" w:rsidRPr="007903BD" w14:paraId="7CD55C94" w14:textId="77777777" w:rsidTr="00840F07">
        <w:trPr>
          <w:trHeight w:val="259"/>
        </w:trPr>
        <w:tc>
          <w:tcPr>
            <w:tcW w:w="1980" w:type="dxa"/>
            <w:vMerge w:val="restart"/>
            <w:hideMark/>
          </w:tcPr>
          <w:p w14:paraId="0F94C5E0" w14:textId="77777777" w:rsidR="00F14BDE" w:rsidRPr="007903BD" w:rsidRDefault="00F14BDE" w:rsidP="00840F07">
            <w:pPr>
              <w:spacing w:after="0"/>
            </w:pPr>
            <w:r w:rsidRPr="007903BD">
              <w:t xml:space="preserve">Partial </w:t>
            </w:r>
          </w:p>
        </w:tc>
        <w:tc>
          <w:tcPr>
            <w:tcW w:w="2551" w:type="dxa"/>
            <w:hideMark/>
          </w:tcPr>
          <w:p w14:paraId="5977EEE0" w14:textId="77777777" w:rsidR="00F14BDE" w:rsidRPr="007903BD" w:rsidRDefault="00F14BDE" w:rsidP="00840F07">
            <w:pPr>
              <w:spacing w:after="0"/>
            </w:pPr>
            <w:r w:rsidRPr="007903BD">
              <w:t xml:space="preserve">4 Week </w:t>
            </w:r>
          </w:p>
        </w:tc>
        <w:tc>
          <w:tcPr>
            <w:tcW w:w="2268" w:type="dxa"/>
            <w:hideMark/>
          </w:tcPr>
          <w:p w14:paraId="6913F2AC" w14:textId="77777777" w:rsidR="00F14BDE" w:rsidRPr="007903BD" w:rsidRDefault="00F14BDE" w:rsidP="00840F07">
            <w:pPr>
              <w:spacing w:after="0"/>
            </w:pPr>
            <w:r w:rsidRPr="007903BD">
              <w:t xml:space="preserve">$240 </w:t>
            </w:r>
          </w:p>
        </w:tc>
        <w:tc>
          <w:tcPr>
            <w:tcW w:w="2835" w:type="dxa"/>
            <w:hideMark/>
          </w:tcPr>
          <w:p w14:paraId="3D518E85" w14:textId="77777777" w:rsidR="00F14BDE" w:rsidRPr="007903BD" w:rsidRDefault="00F14BDE" w:rsidP="00840F07">
            <w:pPr>
              <w:spacing w:after="0"/>
            </w:pPr>
            <w:r w:rsidRPr="007903BD">
              <w:t xml:space="preserve">$400 </w:t>
            </w:r>
          </w:p>
        </w:tc>
      </w:tr>
      <w:tr w:rsidR="00F14BDE" w:rsidRPr="007903BD" w14:paraId="5A225334" w14:textId="77777777" w:rsidTr="00840F07">
        <w:tc>
          <w:tcPr>
            <w:tcW w:w="1980" w:type="dxa"/>
            <w:vMerge/>
            <w:hideMark/>
          </w:tcPr>
          <w:p w14:paraId="204D98EC" w14:textId="77777777" w:rsidR="00F14BDE" w:rsidRPr="007903BD" w:rsidRDefault="00F14BDE" w:rsidP="00840F07">
            <w:pPr>
              <w:spacing w:after="0"/>
            </w:pPr>
          </w:p>
        </w:tc>
        <w:tc>
          <w:tcPr>
            <w:tcW w:w="2551" w:type="dxa"/>
            <w:hideMark/>
          </w:tcPr>
          <w:p w14:paraId="5BF052A6" w14:textId="77777777" w:rsidR="00F14BDE" w:rsidRPr="007903BD" w:rsidRDefault="00F14BDE" w:rsidP="00840F07">
            <w:pPr>
              <w:spacing w:after="0"/>
            </w:pPr>
            <w:r w:rsidRPr="007903BD">
              <w:t xml:space="preserve">12 Week </w:t>
            </w:r>
          </w:p>
        </w:tc>
        <w:tc>
          <w:tcPr>
            <w:tcW w:w="2268" w:type="dxa"/>
            <w:hideMark/>
          </w:tcPr>
          <w:p w14:paraId="2D9F9DFF" w14:textId="77777777" w:rsidR="00F14BDE" w:rsidRPr="007903BD" w:rsidRDefault="00F14BDE" w:rsidP="00840F07">
            <w:pPr>
              <w:spacing w:after="0"/>
            </w:pPr>
            <w:r w:rsidRPr="007903BD">
              <w:t xml:space="preserve">$400 </w:t>
            </w:r>
          </w:p>
        </w:tc>
        <w:tc>
          <w:tcPr>
            <w:tcW w:w="2835" w:type="dxa"/>
            <w:hideMark/>
          </w:tcPr>
          <w:p w14:paraId="5F7D047F" w14:textId="77777777" w:rsidR="00F14BDE" w:rsidRPr="007903BD" w:rsidRDefault="00F14BDE" w:rsidP="00840F07">
            <w:pPr>
              <w:spacing w:after="0"/>
            </w:pPr>
            <w:r w:rsidRPr="007903BD">
              <w:t xml:space="preserve">$1,000 </w:t>
            </w:r>
          </w:p>
        </w:tc>
      </w:tr>
      <w:tr w:rsidR="00F14BDE" w:rsidRPr="007903BD" w14:paraId="796D79E9" w14:textId="77777777" w:rsidTr="00840F07">
        <w:tc>
          <w:tcPr>
            <w:tcW w:w="1980" w:type="dxa"/>
            <w:vMerge/>
          </w:tcPr>
          <w:p w14:paraId="71DECE46" w14:textId="77777777" w:rsidR="00F14BDE" w:rsidRPr="007903BD" w:rsidRDefault="00F14BDE" w:rsidP="00840F07">
            <w:pPr>
              <w:spacing w:after="0"/>
            </w:pPr>
          </w:p>
        </w:tc>
        <w:tc>
          <w:tcPr>
            <w:tcW w:w="2551" w:type="dxa"/>
          </w:tcPr>
          <w:p w14:paraId="0B9C5236" w14:textId="77777777" w:rsidR="00F14BDE" w:rsidRPr="007903BD" w:rsidRDefault="00F14BDE" w:rsidP="00840F07">
            <w:pPr>
              <w:spacing w:after="0"/>
            </w:pPr>
            <w:r w:rsidRPr="007903BD">
              <w:t>26 Week</w:t>
            </w:r>
          </w:p>
        </w:tc>
        <w:tc>
          <w:tcPr>
            <w:tcW w:w="2268" w:type="dxa"/>
          </w:tcPr>
          <w:p w14:paraId="070AA1FC" w14:textId="77777777" w:rsidR="00F14BDE" w:rsidRPr="007903BD" w:rsidRDefault="00F14BDE" w:rsidP="00840F07">
            <w:pPr>
              <w:spacing w:after="0"/>
            </w:pPr>
            <w:r w:rsidRPr="007903BD">
              <w:t>$800</w:t>
            </w:r>
          </w:p>
        </w:tc>
        <w:tc>
          <w:tcPr>
            <w:tcW w:w="2835" w:type="dxa"/>
          </w:tcPr>
          <w:p w14:paraId="3DF4F526" w14:textId="77777777" w:rsidR="00F14BDE" w:rsidRPr="007903BD" w:rsidRDefault="00F14BDE" w:rsidP="00840F07">
            <w:pPr>
              <w:spacing w:after="0"/>
            </w:pPr>
            <w:r w:rsidRPr="007903BD">
              <w:t>$1,650</w:t>
            </w:r>
          </w:p>
        </w:tc>
      </w:tr>
      <w:tr w:rsidR="00F14BDE" w:rsidRPr="007903BD" w14:paraId="729F6909" w14:textId="77777777" w:rsidTr="00840F07">
        <w:tc>
          <w:tcPr>
            <w:tcW w:w="1980" w:type="dxa"/>
            <w:vMerge w:val="restart"/>
          </w:tcPr>
          <w:p w14:paraId="77EAC7F1" w14:textId="77777777" w:rsidR="00F14BDE" w:rsidRPr="007903BD" w:rsidRDefault="00F14BDE" w:rsidP="00840F07">
            <w:pPr>
              <w:spacing w:after="0"/>
            </w:pPr>
            <w:r w:rsidRPr="007903BD">
              <w:t xml:space="preserve">Full </w:t>
            </w:r>
          </w:p>
        </w:tc>
        <w:tc>
          <w:tcPr>
            <w:tcW w:w="2551" w:type="dxa"/>
          </w:tcPr>
          <w:p w14:paraId="050562C3" w14:textId="77777777" w:rsidR="00F14BDE" w:rsidRPr="007903BD" w:rsidRDefault="00F14BDE" w:rsidP="00840F07">
            <w:pPr>
              <w:spacing w:after="0"/>
            </w:pPr>
            <w:r w:rsidRPr="007903BD">
              <w:t xml:space="preserve">4 Week </w:t>
            </w:r>
          </w:p>
        </w:tc>
        <w:tc>
          <w:tcPr>
            <w:tcW w:w="2268" w:type="dxa"/>
          </w:tcPr>
          <w:p w14:paraId="3AAA9035" w14:textId="77777777" w:rsidR="00F14BDE" w:rsidRPr="007903BD" w:rsidRDefault="00F14BDE" w:rsidP="00840F07">
            <w:pPr>
              <w:spacing w:after="0"/>
            </w:pPr>
            <w:r w:rsidRPr="007903BD">
              <w:t xml:space="preserve">$500 </w:t>
            </w:r>
          </w:p>
        </w:tc>
        <w:tc>
          <w:tcPr>
            <w:tcW w:w="2835" w:type="dxa"/>
          </w:tcPr>
          <w:p w14:paraId="3C6B1207" w14:textId="77777777" w:rsidR="00F14BDE" w:rsidRPr="007903BD" w:rsidRDefault="00F14BDE" w:rsidP="00840F07">
            <w:pPr>
              <w:spacing w:after="0"/>
            </w:pPr>
            <w:r w:rsidRPr="007903BD">
              <w:t xml:space="preserve">$1,000 </w:t>
            </w:r>
          </w:p>
        </w:tc>
      </w:tr>
      <w:tr w:rsidR="00F14BDE" w:rsidRPr="007903BD" w14:paraId="1EF55AE7" w14:textId="77777777" w:rsidTr="00840F07">
        <w:tc>
          <w:tcPr>
            <w:tcW w:w="1980" w:type="dxa"/>
            <w:vMerge/>
            <w:hideMark/>
          </w:tcPr>
          <w:p w14:paraId="688D7DF2" w14:textId="77777777" w:rsidR="00F14BDE" w:rsidRPr="007903BD" w:rsidRDefault="00F14BDE" w:rsidP="00840F07">
            <w:pPr>
              <w:spacing w:after="0"/>
            </w:pPr>
          </w:p>
        </w:tc>
        <w:tc>
          <w:tcPr>
            <w:tcW w:w="2551" w:type="dxa"/>
            <w:hideMark/>
          </w:tcPr>
          <w:p w14:paraId="17259A89" w14:textId="77777777" w:rsidR="00F14BDE" w:rsidRPr="007903BD" w:rsidRDefault="00F14BDE" w:rsidP="00840F07">
            <w:pPr>
              <w:spacing w:after="0"/>
            </w:pPr>
            <w:r w:rsidRPr="007903BD">
              <w:t xml:space="preserve">12 Week </w:t>
            </w:r>
          </w:p>
        </w:tc>
        <w:tc>
          <w:tcPr>
            <w:tcW w:w="2268" w:type="dxa"/>
            <w:hideMark/>
          </w:tcPr>
          <w:p w14:paraId="18A649A5" w14:textId="77777777" w:rsidR="00F14BDE" w:rsidRPr="007903BD" w:rsidRDefault="00F14BDE" w:rsidP="00840F07">
            <w:pPr>
              <w:spacing w:after="0"/>
            </w:pPr>
            <w:r w:rsidRPr="007903BD">
              <w:t xml:space="preserve">$1,000 </w:t>
            </w:r>
          </w:p>
        </w:tc>
        <w:tc>
          <w:tcPr>
            <w:tcW w:w="2835" w:type="dxa"/>
            <w:hideMark/>
          </w:tcPr>
          <w:p w14:paraId="3E640A8B" w14:textId="77777777" w:rsidR="00F14BDE" w:rsidRPr="007903BD" w:rsidRDefault="00F14BDE" w:rsidP="00840F07">
            <w:pPr>
              <w:spacing w:after="0"/>
            </w:pPr>
            <w:r w:rsidRPr="007903BD">
              <w:t xml:space="preserve">$3,000 </w:t>
            </w:r>
          </w:p>
        </w:tc>
      </w:tr>
      <w:tr w:rsidR="00F14BDE" w:rsidRPr="007903BD" w14:paraId="7E3D566D" w14:textId="77777777" w:rsidTr="00840F07">
        <w:tc>
          <w:tcPr>
            <w:tcW w:w="1980" w:type="dxa"/>
            <w:vMerge/>
            <w:hideMark/>
          </w:tcPr>
          <w:p w14:paraId="45AD12AE" w14:textId="77777777" w:rsidR="00F14BDE" w:rsidRPr="007903BD" w:rsidRDefault="00F14BDE" w:rsidP="00840F07">
            <w:pPr>
              <w:spacing w:after="0"/>
            </w:pPr>
          </w:p>
        </w:tc>
        <w:tc>
          <w:tcPr>
            <w:tcW w:w="2551" w:type="dxa"/>
            <w:hideMark/>
          </w:tcPr>
          <w:p w14:paraId="1BB270FC" w14:textId="77777777" w:rsidR="00F14BDE" w:rsidRPr="007903BD" w:rsidRDefault="00F14BDE" w:rsidP="00840F07">
            <w:pPr>
              <w:spacing w:after="0"/>
            </w:pPr>
            <w:r w:rsidRPr="007903BD">
              <w:t xml:space="preserve">26 Week </w:t>
            </w:r>
          </w:p>
        </w:tc>
        <w:tc>
          <w:tcPr>
            <w:tcW w:w="2268" w:type="dxa"/>
            <w:hideMark/>
          </w:tcPr>
          <w:p w14:paraId="27A529DF" w14:textId="77777777" w:rsidR="00F14BDE" w:rsidRPr="007903BD" w:rsidRDefault="00F14BDE" w:rsidP="00840F07">
            <w:pPr>
              <w:spacing w:after="0"/>
            </w:pPr>
            <w:r w:rsidRPr="007903BD">
              <w:t xml:space="preserve">$2,000 </w:t>
            </w:r>
          </w:p>
        </w:tc>
        <w:tc>
          <w:tcPr>
            <w:tcW w:w="2835" w:type="dxa"/>
            <w:hideMark/>
          </w:tcPr>
          <w:p w14:paraId="06441DF1" w14:textId="77777777" w:rsidR="00F14BDE" w:rsidRPr="007903BD" w:rsidRDefault="00F14BDE" w:rsidP="00840F07">
            <w:pPr>
              <w:spacing w:after="0"/>
            </w:pPr>
            <w:r w:rsidRPr="007903BD">
              <w:t xml:space="preserve">$5,000 </w:t>
            </w:r>
          </w:p>
        </w:tc>
      </w:tr>
    </w:tbl>
    <w:p w14:paraId="232A6036" w14:textId="77777777" w:rsidR="00286F3C" w:rsidRPr="00654A65" w:rsidRDefault="00286F3C" w:rsidP="00B00423"/>
    <w:tbl>
      <w:tblPr>
        <w:tblStyle w:val="TableGrid"/>
        <w:tblpPr w:leftFromText="180" w:rightFromText="180" w:vertAnchor="text" w:horzAnchor="margin" w:tblpYSpec="bottom"/>
        <w:tblW w:w="9634" w:type="dxa"/>
        <w:tblLook w:val="04A0" w:firstRow="1" w:lastRow="0" w:firstColumn="1" w:lastColumn="0" w:noHBand="0" w:noVBand="1"/>
      </w:tblPr>
      <w:tblGrid>
        <w:gridCol w:w="3539"/>
        <w:gridCol w:w="4111"/>
        <w:gridCol w:w="1984"/>
      </w:tblGrid>
      <w:tr w:rsidR="00F14BDE" w:rsidRPr="00732788" w14:paraId="0C996795" w14:textId="77777777" w:rsidTr="4DAD232E">
        <w:trPr>
          <w:cnfStyle w:val="100000000000" w:firstRow="1" w:lastRow="0" w:firstColumn="0" w:lastColumn="0" w:oddVBand="0" w:evenVBand="0" w:oddHBand="0" w:evenHBand="0" w:firstRowFirstColumn="0" w:firstRowLastColumn="0" w:lastRowFirstColumn="0" w:lastRowLastColumn="0"/>
          <w:trHeight w:val="416"/>
        </w:trPr>
        <w:tc>
          <w:tcPr>
            <w:tcW w:w="3539" w:type="dxa"/>
          </w:tcPr>
          <w:p w14:paraId="73976C1B" w14:textId="77777777" w:rsidR="00F14BDE" w:rsidRPr="7E699EA6" w:rsidRDefault="00F14BDE" w:rsidP="00840F07">
            <w:pPr>
              <w:spacing w:after="0"/>
              <w:rPr>
                <w:b w:val="0"/>
                <w:bCs/>
              </w:rPr>
            </w:pPr>
            <w:r>
              <w:rPr>
                <w:bCs/>
              </w:rPr>
              <w:lastRenderedPageBreak/>
              <w:t xml:space="preserve">VTLU Bonus </w:t>
            </w:r>
          </w:p>
        </w:tc>
        <w:tc>
          <w:tcPr>
            <w:tcW w:w="4111" w:type="dxa"/>
            <w:hideMark/>
          </w:tcPr>
          <w:p w14:paraId="131B458B" w14:textId="77777777" w:rsidR="00F14BDE" w:rsidRPr="00732788" w:rsidRDefault="00F14BDE" w:rsidP="00840F07">
            <w:pPr>
              <w:spacing w:after="0"/>
              <w:rPr>
                <w:b w:val="0"/>
                <w:bCs/>
              </w:rPr>
            </w:pPr>
            <w:r>
              <w:rPr>
                <w:bCs/>
              </w:rPr>
              <w:t>Bonus Type</w:t>
            </w:r>
          </w:p>
        </w:tc>
        <w:tc>
          <w:tcPr>
            <w:tcW w:w="1984" w:type="dxa"/>
            <w:hideMark/>
          </w:tcPr>
          <w:p w14:paraId="1847912F" w14:textId="77777777" w:rsidR="00F14BDE" w:rsidRPr="00732788" w:rsidRDefault="00F14BDE" w:rsidP="00840F07">
            <w:pPr>
              <w:spacing w:after="0"/>
              <w:rPr>
                <w:b w:val="0"/>
                <w:bCs/>
              </w:rPr>
            </w:pPr>
            <w:r w:rsidRPr="7E699EA6">
              <w:rPr>
                <w:bCs/>
              </w:rPr>
              <w:t xml:space="preserve">Fee </w:t>
            </w:r>
          </w:p>
        </w:tc>
      </w:tr>
      <w:tr w:rsidR="00F14BDE" w:rsidRPr="007903BD" w14:paraId="34AE4141" w14:textId="77777777" w:rsidTr="4DAD232E">
        <w:trPr>
          <w:trHeight w:val="471"/>
        </w:trPr>
        <w:tc>
          <w:tcPr>
            <w:tcW w:w="3539" w:type="dxa"/>
            <w:vMerge w:val="restart"/>
          </w:tcPr>
          <w:p w14:paraId="742778BF" w14:textId="1D7A45E3" w:rsidR="00F14BDE" w:rsidRPr="00701D93" w:rsidRDefault="00F14BDE" w:rsidP="00840F07">
            <w:pPr>
              <w:rPr>
                <w:rFonts w:ascii="Calibri" w:hAnsi="Calibri" w:cs="Calibri"/>
                <w:color w:val="000000"/>
              </w:rPr>
            </w:pPr>
            <w:r w:rsidRPr="4DAD232E">
              <w:rPr>
                <w:rFonts w:ascii="Calibri" w:hAnsi="Calibri" w:cs="Calibri"/>
                <w:color w:val="000000" w:themeColor="text1"/>
              </w:rPr>
              <w:t>Payable when a p</w:t>
            </w:r>
            <w:r>
              <w:t xml:space="preserve">articipant </w:t>
            </w:r>
            <w:r w:rsidRPr="4DAD232E">
              <w:rPr>
                <w:rFonts w:ascii="Calibri" w:hAnsi="Calibri" w:cs="Calibri"/>
                <w:color w:val="000000" w:themeColor="text1"/>
              </w:rPr>
              <w:t>with more than 24 months Period of Unemployment at the time of Job Placement achieves an Employment Outcome.</w:t>
            </w:r>
          </w:p>
        </w:tc>
        <w:tc>
          <w:tcPr>
            <w:tcW w:w="4111" w:type="dxa"/>
            <w:hideMark/>
          </w:tcPr>
          <w:p w14:paraId="29502B61" w14:textId="77777777" w:rsidR="00F14BDE" w:rsidRPr="007903BD" w:rsidRDefault="00F14BDE" w:rsidP="00840F07">
            <w:pPr>
              <w:spacing w:after="0"/>
            </w:pPr>
            <w:r w:rsidRPr="007903BD">
              <w:t xml:space="preserve">12 week </w:t>
            </w:r>
            <w:r>
              <w:t>P</w:t>
            </w:r>
            <w:r w:rsidRPr="007903BD">
              <w:t>artial</w:t>
            </w:r>
            <w:r>
              <w:t xml:space="preserve"> Employment O</w:t>
            </w:r>
            <w:r w:rsidRPr="007903BD">
              <w:t xml:space="preserve">utcome </w:t>
            </w:r>
          </w:p>
        </w:tc>
        <w:tc>
          <w:tcPr>
            <w:tcW w:w="1984" w:type="dxa"/>
            <w:hideMark/>
          </w:tcPr>
          <w:p w14:paraId="039CE29D" w14:textId="77777777" w:rsidR="00F14BDE" w:rsidRPr="007903BD" w:rsidRDefault="00F14BDE" w:rsidP="00840F07">
            <w:pPr>
              <w:spacing w:after="0"/>
            </w:pPr>
            <w:r w:rsidRPr="007903BD">
              <w:t xml:space="preserve">$1,000 </w:t>
            </w:r>
          </w:p>
        </w:tc>
      </w:tr>
      <w:tr w:rsidR="00F14BDE" w:rsidRPr="007903BD" w14:paraId="390FCCD1" w14:textId="77777777" w:rsidTr="4DAD232E">
        <w:trPr>
          <w:trHeight w:val="471"/>
        </w:trPr>
        <w:tc>
          <w:tcPr>
            <w:tcW w:w="3539" w:type="dxa"/>
            <w:vMerge/>
          </w:tcPr>
          <w:p w14:paraId="1C0A3880" w14:textId="77777777" w:rsidR="00F14BDE" w:rsidRPr="007903BD" w:rsidRDefault="00F14BDE" w:rsidP="00840F07">
            <w:pPr>
              <w:spacing w:after="0"/>
            </w:pPr>
          </w:p>
        </w:tc>
        <w:tc>
          <w:tcPr>
            <w:tcW w:w="4111" w:type="dxa"/>
          </w:tcPr>
          <w:p w14:paraId="4F2650D4" w14:textId="77777777" w:rsidR="00F14BDE" w:rsidRPr="007903BD" w:rsidRDefault="00F14BDE" w:rsidP="00840F07">
            <w:pPr>
              <w:spacing w:after="0"/>
            </w:pPr>
            <w:r w:rsidRPr="007903BD">
              <w:t>26 week</w:t>
            </w:r>
            <w:r>
              <w:t xml:space="preserve"> P</w:t>
            </w:r>
            <w:r w:rsidRPr="007903BD">
              <w:t>artial</w:t>
            </w:r>
            <w:r>
              <w:t xml:space="preserve"> Employment O</w:t>
            </w:r>
            <w:r w:rsidRPr="007903BD">
              <w:t>utcome</w:t>
            </w:r>
          </w:p>
        </w:tc>
        <w:tc>
          <w:tcPr>
            <w:tcW w:w="1984" w:type="dxa"/>
          </w:tcPr>
          <w:p w14:paraId="0BF7B60D" w14:textId="77777777" w:rsidR="00F14BDE" w:rsidRPr="007903BD" w:rsidRDefault="00F14BDE" w:rsidP="00840F07">
            <w:pPr>
              <w:spacing w:after="0"/>
            </w:pPr>
            <w:r w:rsidRPr="007903BD">
              <w:t>$2,000</w:t>
            </w:r>
          </w:p>
        </w:tc>
      </w:tr>
      <w:tr w:rsidR="00F14BDE" w:rsidRPr="007903BD" w14:paraId="7044C0C4" w14:textId="77777777" w:rsidTr="4DAD232E">
        <w:trPr>
          <w:trHeight w:val="471"/>
        </w:trPr>
        <w:tc>
          <w:tcPr>
            <w:tcW w:w="3539" w:type="dxa"/>
            <w:vMerge/>
          </w:tcPr>
          <w:p w14:paraId="2E313B54" w14:textId="77777777" w:rsidR="00F14BDE" w:rsidRPr="007903BD" w:rsidRDefault="00F14BDE" w:rsidP="00840F07">
            <w:pPr>
              <w:spacing w:after="0"/>
            </w:pPr>
          </w:p>
        </w:tc>
        <w:tc>
          <w:tcPr>
            <w:tcW w:w="4111" w:type="dxa"/>
            <w:hideMark/>
          </w:tcPr>
          <w:p w14:paraId="31BDD158" w14:textId="77777777" w:rsidR="00F14BDE" w:rsidRPr="007903BD" w:rsidRDefault="00F14BDE" w:rsidP="00840F07">
            <w:pPr>
              <w:spacing w:after="0"/>
            </w:pPr>
            <w:r w:rsidRPr="007903BD">
              <w:t>12 week</w:t>
            </w:r>
            <w:r>
              <w:t xml:space="preserve"> Full Employment O</w:t>
            </w:r>
            <w:r w:rsidRPr="007903BD">
              <w:t xml:space="preserve">utcome </w:t>
            </w:r>
          </w:p>
        </w:tc>
        <w:tc>
          <w:tcPr>
            <w:tcW w:w="1984" w:type="dxa"/>
            <w:hideMark/>
          </w:tcPr>
          <w:p w14:paraId="5A14EFEA" w14:textId="77777777" w:rsidR="00F14BDE" w:rsidRPr="007903BD" w:rsidRDefault="00F14BDE" w:rsidP="00840F07">
            <w:pPr>
              <w:spacing w:after="0"/>
            </w:pPr>
            <w:r w:rsidRPr="007903BD">
              <w:t xml:space="preserve">$2,000 </w:t>
            </w:r>
          </w:p>
        </w:tc>
      </w:tr>
      <w:tr w:rsidR="00F14BDE" w:rsidRPr="007903BD" w14:paraId="613CD523" w14:textId="77777777" w:rsidTr="4DAD232E">
        <w:trPr>
          <w:trHeight w:val="377"/>
        </w:trPr>
        <w:tc>
          <w:tcPr>
            <w:tcW w:w="3539" w:type="dxa"/>
            <w:vMerge/>
          </w:tcPr>
          <w:p w14:paraId="18A41A77" w14:textId="77777777" w:rsidR="00F14BDE" w:rsidRPr="007903BD" w:rsidRDefault="00F14BDE" w:rsidP="00840F07">
            <w:pPr>
              <w:spacing w:after="0"/>
            </w:pPr>
          </w:p>
        </w:tc>
        <w:tc>
          <w:tcPr>
            <w:tcW w:w="4111" w:type="dxa"/>
            <w:hideMark/>
          </w:tcPr>
          <w:p w14:paraId="6A97F310" w14:textId="77777777" w:rsidR="00F14BDE" w:rsidRPr="007903BD" w:rsidRDefault="00F14BDE" w:rsidP="00840F07">
            <w:pPr>
              <w:spacing w:after="0"/>
            </w:pPr>
            <w:r w:rsidRPr="007903BD">
              <w:t xml:space="preserve">26 week </w:t>
            </w:r>
            <w:r>
              <w:t>Full Employment O</w:t>
            </w:r>
            <w:r w:rsidRPr="007903BD">
              <w:t>utcome</w:t>
            </w:r>
          </w:p>
        </w:tc>
        <w:tc>
          <w:tcPr>
            <w:tcW w:w="1984" w:type="dxa"/>
            <w:hideMark/>
          </w:tcPr>
          <w:p w14:paraId="6254909D" w14:textId="77777777" w:rsidR="00F14BDE" w:rsidRPr="007903BD" w:rsidRDefault="00F14BDE" w:rsidP="00840F07">
            <w:pPr>
              <w:spacing w:after="0"/>
            </w:pPr>
            <w:r w:rsidRPr="007903BD">
              <w:t xml:space="preserve">$4,000 </w:t>
            </w:r>
          </w:p>
        </w:tc>
      </w:tr>
    </w:tbl>
    <w:p w14:paraId="4A804E5E" w14:textId="131E491D" w:rsidR="00B00423" w:rsidRDefault="00B00423" w:rsidP="00FD6726"/>
    <w:p w14:paraId="65C2C6D6" w14:textId="06E29C74" w:rsidR="68C96068" w:rsidRPr="00DF3F1D" w:rsidRDefault="0E9C5EA3" w:rsidP="68C96068">
      <w:r>
        <w:t>Employment Fund and Wage subsidies</w:t>
      </w:r>
      <w:r w:rsidR="68C96068" w:rsidRPr="00DF3F1D">
        <w:t>Workforce Australia Services participants attract a $1,600 Employment Fund credit on commencement which is pooled so providers can use the credits in a tailored and flexible way to provide support to eligible participants on their caseload. Providers are also able to offer wage subsidies of up to a maximum of $10,000 through the Employment Fund to employers who recruit participants.</w:t>
      </w:r>
    </w:p>
    <w:p w14:paraId="30F8A857" w14:textId="076B66A5" w:rsidR="00F14BDE" w:rsidRDefault="53C31331" w:rsidP="00F14BDE">
      <w:r>
        <w:t>The demand driven Youth Bonus wage subsidy of $10,000 is available to support disadvantaged participants aged 15-24 who are serviced by a provider in Workforce Australia Services, ParentsNext and Participants aged 15-26 with mutual obligation requirements in Transition to Work. This is through a separate funding pool.</w:t>
      </w:r>
    </w:p>
    <w:p w14:paraId="5E8BA399" w14:textId="7890C28E" w:rsidR="68C96068" w:rsidRDefault="68C96068"/>
    <w:p w14:paraId="7E2AB7AA" w14:textId="5039EA16" w:rsidR="68C96068" w:rsidRDefault="68C96068"/>
    <w:p w14:paraId="39EA5DF3" w14:textId="6F3DB74B" w:rsidR="00F14BDE" w:rsidRPr="00F14BDE" w:rsidRDefault="00F14BDE" w:rsidP="68C96068">
      <w:pPr>
        <w:rPr>
          <w:i/>
          <w:iCs/>
        </w:rPr>
      </w:pPr>
    </w:p>
    <w:sectPr w:rsidR="00F14BDE" w:rsidRPr="00F14BDE" w:rsidSect="00AB49D3">
      <w:type w:val="continuous"/>
      <w:pgSz w:w="11906" w:h="16838"/>
      <w:pgMar w:top="1134" w:right="1021" w:bottom="1134" w:left="1021"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EA9A2" w14:textId="77777777" w:rsidR="00A654D7" w:rsidRDefault="00A654D7" w:rsidP="00EE7FDA">
      <w:pPr>
        <w:spacing w:after="0"/>
      </w:pPr>
      <w:r>
        <w:separator/>
      </w:r>
    </w:p>
  </w:endnote>
  <w:endnote w:type="continuationSeparator" w:id="0">
    <w:p w14:paraId="08D37531" w14:textId="77777777" w:rsidR="00A654D7" w:rsidRDefault="00A654D7"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1B130" w14:textId="77777777" w:rsidR="00534DC7" w:rsidRDefault="00534D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5758C913" w:rsidR="00105919" w:rsidRDefault="00A1654A">
    <w:pPr>
      <w:pStyle w:val="Footer"/>
    </w:pPr>
    <w:r>
      <w:rPr>
        <w:noProof/>
        <w:color w:val="2B579A"/>
        <w:shd w:val="clear" w:color="auto" w:fill="E6E6E6"/>
      </w:rPr>
      <w:drawing>
        <wp:anchor distT="0" distB="0" distL="114300" distR="114300" simplePos="0" relativeHeight="251660288" behindDoc="1" locked="0" layoutInCell="1" allowOverlap="1" wp14:anchorId="0426B92B" wp14:editId="6D148A8D">
          <wp:simplePos x="0" y="0"/>
          <wp:positionH relativeFrom="page">
            <wp:posOffset>0</wp:posOffset>
          </wp:positionH>
          <wp:positionV relativeFrom="page">
            <wp:posOffset>10253980</wp:posOffset>
          </wp:positionV>
          <wp:extent cx="7560000" cy="428400"/>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4284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4D44" w14:textId="44FEC9CA" w:rsidR="00105919" w:rsidRDefault="00105919">
    <w:pPr>
      <w:pStyle w:val="Footer"/>
    </w:pPr>
    <w:r>
      <w:rPr>
        <w:noProof/>
        <w:color w:val="2B579A"/>
        <w:shd w:val="clear" w:color="auto" w:fill="E6E6E6"/>
      </w:rPr>
      <w:drawing>
        <wp:anchor distT="0" distB="0" distL="114300" distR="114300" simplePos="0" relativeHeight="251658240" behindDoc="1" locked="0" layoutInCell="1" allowOverlap="1" wp14:anchorId="7D90293D" wp14:editId="5762A949">
          <wp:simplePos x="0" y="0"/>
          <wp:positionH relativeFrom="page">
            <wp:posOffset>0</wp:posOffset>
          </wp:positionH>
          <wp:positionV relativeFrom="page">
            <wp:posOffset>9337371</wp:posOffset>
          </wp:positionV>
          <wp:extent cx="7560000" cy="1353483"/>
          <wp:effectExtent l="0" t="0" r="3175"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60000" cy="1353483"/>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93759" w14:textId="77777777" w:rsidR="00A654D7" w:rsidRDefault="00A654D7" w:rsidP="00D105E6">
      <w:pPr>
        <w:spacing w:after="60"/>
      </w:pPr>
      <w:r>
        <w:separator/>
      </w:r>
    </w:p>
  </w:footnote>
  <w:footnote w:type="continuationSeparator" w:id="0">
    <w:p w14:paraId="05E4A1F4" w14:textId="77777777" w:rsidR="00A654D7" w:rsidRDefault="00A654D7"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0ED0" w14:textId="77777777" w:rsidR="00534DC7" w:rsidRDefault="00534D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C032" w14:textId="77777777" w:rsidR="00534DC7" w:rsidRDefault="00534D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0BE2A" w14:textId="77777777" w:rsidR="00534DC7" w:rsidRDefault="00534D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8224E2"/>
    <w:multiLevelType w:val="multilevel"/>
    <w:tmpl w:val="B10A65AC"/>
    <w:numStyleLink w:val="Style1"/>
  </w:abstractNum>
  <w:abstractNum w:abstractNumId="3"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2EE53EF4"/>
    <w:multiLevelType w:val="multilevel"/>
    <w:tmpl w:val="4C06E666"/>
    <w:numStyleLink w:val="RSCBNumberList1"/>
  </w:abstractNum>
  <w:abstractNum w:abstractNumId="6"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7" w15:restartNumberingAfterBreak="0">
    <w:nsid w:val="57DD04F5"/>
    <w:multiLevelType w:val="multilevel"/>
    <w:tmpl w:val="4C06E666"/>
    <w:numStyleLink w:val="RSCBNumberList1"/>
  </w:abstractNum>
  <w:abstractNum w:abstractNumId="8"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8"/>
  </w:num>
  <w:num w:numId="4">
    <w:abstractNumId w:val="2"/>
  </w:num>
  <w:num w:numId="5">
    <w:abstractNumId w:val="0"/>
  </w:num>
  <w:num w:numId="6">
    <w:abstractNumId w:val="3"/>
  </w:num>
  <w:num w:numId="7">
    <w:abstractNumId w:val="1"/>
  </w:num>
  <w:num w:numId="8">
    <w:abstractNumId w:val="4"/>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BC"/>
    <w:rsid w:val="00011BA5"/>
    <w:rsid w:val="00037765"/>
    <w:rsid w:val="00040F83"/>
    <w:rsid w:val="00052659"/>
    <w:rsid w:val="00052B07"/>
    <w:rsid w:val="0009541A"/>
    <w:rsid w:val="000E406E"/>
    <w:rsid w:val="00105919"/>
    <w:rsid w:val="0013557F"/>
    <w:rsid w:val="00145A12"/>
    <w:rsid w:val="00155F8B"/>
    <w:rsid w:val="0016510A"/>
    <w:rsid w:val="00165A2C"/>
    <w:rsid w:val="00195EF0"/>
    <w:rsid w:val="001B6D04"/>
    <w:rsid w:val="001C6347"/>
    <w:rsid w:val="001C65BE"/>
    <w:rsid w:val="001F444A"/>
    <w:rsid w:val="001F7332"/>
    <w:rsid w:val="00244DD6"/>
    <w:rsid w:val="002462D7"/>
    <w:rsid w:val="00253AD5"/>
    <w:rsid w:val="00257065"/>
    <w:rsid w:val="002678F4"/>
    <w:rsid w:val="0026B490"/>
    <w:rsid w:val="00275860"/>
    <w:rsid w:val="00275D69"/>
    <w:rsid w:val="00286F3C"/>
    <w:rsid w:val="002E766F"/>
    <w:rsid w:val="002F685D"/>
    <w:rsid w:val="00312F55"/>
    <w:rsid w:val="0031425C"/>
    <w:rsid w:val="00316088"/>
    <w:rsid w:val="003267A5"/>
    <w:rsid w:val="003B13B2"/>
    <w:rsid w:val="003E21F8"/>
    <w:rsid w:val="003E44F1"/>
    <w:rsid w:val="003F0880"/>
    <w:rsid w:val="003F61BE"/>
    <w:rsid w:val="00426E46"/>
    <w:rsid w:val="00440F0C"/>
    <w:rsid w:val="0046637C"/>
    <w:rsid w:val="0047432C"/>
    <w:rsid w:val="004B48A5"/>
    <w:rsid w:val="004D00B2"/>
    <w:rsid w:val="004F3CE3"/>
    <w:rsid w:val="004F5993"/>
    <w:rsid w:val="00517064"/>
    <w:rsid w:val="00520CA0"/>
    <w:rsid w:val="00522E88"/>
    <w:rsid w:val="00534DC7"/>
    <w:rsid w:val="00537C6D"/>
    <w:rsid w:val="005565B8"/>
    <w:rsid w:val="00566A2E"/>
    <w:rsid w:val="005725B2"/>
    <w:rsid w:val="00575DFC"/>
    <w:rsid w:val="00577A33"/>
    <w:rsid w:val="00582D06"/>
    <w:rsid w:val="00586EA4"/>
    <w:rsid w:val="005D150B"/>
    <w:rsid w:val="005D2489"/>
    <w:rsid w:val="005E1F12"/>
    <w:rsid w:val="005F08A3"/>
    <w:rsid w:val="00613446"/>
    <w:rsid w:val="0063350D"/>
    <w:rsid w:val="00654A65"/>
    <w:rsid w:val="00657B92"/>
    <w:rsid w:val="00691F21"/>
    <w:rsid w:val="006C2995"/>
    <w:rsid w:val="006D1E27"/>
    <w:rsid w:val="006D7710"/>
    <w:rsid w:val="006F2229"/>
    <w:rsid w:val="006F458A"/>
    <w:rsid w:val="00706143"/>
    <w:rsid w:val="00730B97"/>
    <w:rsid w:val="00737C1D"/>
    <w:rsid w:val="00774BA7"/>
    <w:rsid w:val="00782660"/>
    <w:rsid w:val="0078584C"/>
    <w:rsid w:val="007A3566"/>
    <w:rsid w:val="007C3D4E"/>
    <w:rsid w:val="007D29EC"/>
    <w:rsid w:val="007D4962"/>
    <w:rsid w:val="007F63CC"/>
    <w:rsid w:val="0080594C"/>
    <w:rsid w:val="00813629"/>
    <w:rsid w:val="00817BD6"/>
    <w:rsid w:val="00832F2D"/>
    <w:rsid w:val="00840F07"/>
    <w:rsid w:val="008447BA"/>
    <w:rsid w:val="00876539"/>
    <w:rsid w:val="008A28DA"/>
    <w:rsid w:val="008F24CE"/>
    <w:rsid w:val="00931FEE"/>
    <w:rsid w:val="00961F5C"/>
    <w:rsid w:val="00973379"/>
    <w:rsid w:val="00981D03"/>
    <w:rsid w:val="00997BE6"/>
    <w:rsid w:val="009D079F"/>
    <w:rsid w:val="009F652B"/>
    <w:rsid w:val="00A112E2"/>
    <w:rsid w:val="00A1654A"/>
    <w:rsid w:val="00A23D73"/>
    <w:rsid w:val="00A34D39"/>
    <w:rsid w:val="00A513A6"/>
    <w:rsid w:val="00A654D7"/>
    <w:rsid w:val="00A70EEB"/>
    <w:rsid w:val="00A713BC"/>
    <w:rsid w:val="00A74FD2"/>
    <w:rsid w:val="00A81FB9"/>
    <w:rsid w:val="00A82BDB"/>
    <w:rsid w:val="00AA03F6"/>
    <w:rsid w:val="00AA2FD8"/>
    <w:rsid w:val="00AB49D3"/>
    <w:rsid w:val="00B00423"/>
    <w:rsid w:val="00B23A39"/>
    <w:rsid w:val="00B81A68"/>
    <w:rsid w:val="00BA48C8"/>
    <w:rsid w:val="00BB57FE"/>
    <w:rsid w:val="00BD6E26"/>
    <w:rsid w:val="00BE133B"/>
    <w:rsid w:val="00BE54EE"/>
    <w:rsid w:val="00BE6D94"/>
    <w:rsid w:val="00BF2EE7"/>
    <w:rsid w:val="00BF7BDF"/>
    <w:rsid w:val="00C04E0C"/>
    <w:rsid w:val="00C230BC"/>
    <w:rsid w:val="00C30A1E"/>
    <w:rsid w:val="00C43574"/>
    <w:rsid w:val="00C50AA1"/>
    <w:rsid w:val="00C55508"/>
    <w:rsid w:val="00C55A70"/>
    <w:rsid w:val="00C66B71"/>
    <w:rsid w:val="00C75621"/>
    <w:rsid w:val="00CD38C9"/>
    <w:rsid w:val="00CD5F0D"/>
    <w:rsid w:val="00CF6EBF"/>
    <w:rsid w:val="00D0332A"/>
    <w:rsid w:val="00D105E6"/>
    <w:rsid w:val="00D84DC0"/>
    <w:rsid w:val="00D910F9"/>
    <w:rsid w:val="00D97626"/>
    <w:rsid w:val="00DA46BB"/>
    <w:rsid w:val="00DA4A0F"/>
    <w:rsid w:val="00DB5252"/>
    <w:rsid w:val="00DD4EBE"/>
    <w:rsid w:val="00DE1663"/>
    <w:rsid w:val="00DF0B8A"/>
    <w:rsid w:val="00DF3F1D"/>
    <w:rsid w:val="00DF60E1"/>
    <w:rsid w:val="00E42351"/>
    <w:rsid w:val="00E55470"/>
    <w:rsid w:val="00E814A0"/>
    <w:rsid w:val="00EA40E5"/>
    <w:rsid w:val="00EC4486"/>
    <w:rsid w:val="00EC63BF"/>
    <w:rsid w:val="00ED3F85"/>
    <w:rsid w:val="00EE511B"/>
    <w:rsid w:val="00EE59F7"/>
    <w:rsid w:val="00EE68B6"/>
    <w:rsid w:val="00EE7FDA"/>
    <w:rsid w:val="00EF27F0"/>
    <w:rsid w:val="00F121AC"/>
    <w:rsid w:val="00F14BDE"/>
    <w:rsid w:val="00F23048"/>
    <w:rsid w:val="00F23C4B"/>
    <w:rsid w:val="00F25A17"/>
    <w:rsid w:val="00F36B35"/>
    <w:rsid w:val="00F54B75"/>
    <w:rsid w:val="00F55BB9"/>
    <w:rsid w:val="00FA1736"/>
    <w:rsid w:val="00FD6726"/>
    <w:rsid w:val="00FE0BBC"/>
    <w:rsid w:val="00FF5068"/>
    <w:rsid w:val="00FF73BA"/>
    <w:rsid w:val="03F76C1B"/>
    <w:rsid w:val="075404B1"/>
    <w:rsid w:val="0C19622B"/>
    <w:rsid w:val="0CB51735"/>
    <w:rsid w:val="0E87DF9C"/>
    <w:rsid w:val="0E9C5EA3"/>
    <w:rsid w:val="0F7CA847"/>
    <w:rsid w:val="12F75638"/>
    <w:rsid w:val="14932699"/>
    <w:rsid w:val="15E75D14"/>
    <w:rsid w:val="171899BD"/>
    <w:rsid w:val="173C4A18"/>
    <w:rsid w:val="17CAC75B"/>
    <w:rsid w:val="1C66151E"/>
    <w:rsid w:val="1EE7968B"/>
    <w:rsid w:val="1F99FEC7"/>
    <w:rsid w:val="2446E51B"/>
    <w:rsid w:val="28D953E9"/>
    <w:rsid w:val="2A02AE34"/>
    <w:rsid w:val="2AFB33E6"/>
    <w:rsid w:val="2E581A2F"/>
    <w:rsid w:val="2E6197B0"/>
    <w:rsid w:val="396B5E0F"/>
    <w:rsid w:val="39A9ADBD"/>
    <w:rsid w:val="39FCE05F"/>
    <w:rsid w:val="3B0102A0"/>
    <w:rsid w:val="3CB1130A"/>
    <w:rsid w:val="3F259002"/>
    <w:rsid w:val="3F804C76"/>
    <w:rsid w:val="3FD55058"/>
    <w:rsid w:val="4025D604"/>
    <w:rsid w:val="427090E7"/>
    <w:rsid w:val="42F2EC28"/>
    <w:rsid w:val="4DAD232E"/>
    <w:rsid w:val="4EEFC137"/>
    <w:rsid w:val="4F4366B4"/>
    <w:rsid w:val="5245515E"/>
    <w:rsid w:val="53C31331"/>
    <w:rsid w:val="56489E3A"/>
    <w:rsid w:val="572A8A3A"/>
    <w:rsid w:val="58C5D133"/>
    <w:rsid w:val="59803EFC"/>
    <w:rsid w:val="59DC8371"/>
    <w:rsid w:val="5C2C448A"/>
    <w:rsid w:val="5D1819F7"/>
    <w:rsid w:val="5E9DD40F"/>
    <w:rsid w:val="61B367BA"/>
    <w:rsid w:val="68C96068"/>
    <w:rsid w:val="6D3FB43B"/>
    <w:rsid w:val="6FDE8E06"/>
    <w:rsid w:val="73F03EF5"/>
    <w:rsid w:val="75324601"/>
    <w:rsid w:val="7561BC9E"/>
    <w:rsid w:val="76FDF5EF"/>
    <w:rsid w:val="7882645B"/>
    <w:rsid w:val="7C1F127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4060C"/>
  <w15:chartTrackingRefBased/>
  <w15:docId w15:val="{B1166246-D08D-41A1-B778-EDC1F5B3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4A"/>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EC4486"/>
    <w:pPr>
      <w:tabs>
        <w:tab w:val="center" w:pos="4513"/>
        <w:tab w:val="right" w:pos="9026"/>
      </w:tabs>
      <w:spacing w:after="0"/>
    </w:pPr>
  </w:style>
  <w:style w:type="character" w:customStyle="1" w:styleId="FooterChar">
    <w:name w:val="Footer Char"/>
    <w:basedOn w:val="DefaultParagraphFont"/>
    <w:link w:val="Footer"/>
    <w:uiPriority w:val="99"/>
    <w:rsid w:val="00EC4486"/>
    <w:rPr>
      <w:sz w:val="20"/>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uiPriority w:val="99"/>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286F3C"/>
    <w:pPr>
      <w:spacing w:after="80" w:line="240" w:lineRule="auto"/>
    </w:pPr>
    <w:rPr>
      <w:sz w:val="20"/>
    </w:rPr>
    <w:tblPr/>
    <w:tcPr>
      <w:shd w:val="clear" w:color="auto" w:fill="F4F4F4"/>
      <w:tcMar>
        <w:top w:w="45" w:type="dxa"/>
        <w:left w:w="108" w:type="dxa"/>
        <w:bottom w:w="0" w:type="dxa"/>
        <w:right w:w="108"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rsid w:val="003F61BE"/>
    <w:rPr>
      <w:sz w:val="16"/>
      <w:szCs w:val="16"/>
    </w:rPr>
  </w:style>
  <w:style w:type="paragraph" w:styleId="CommentText">
    <w:name w:val="annotation text"/>
    <w:basedOn w:val="Normal"/>
    <w:link w:val="CommentTextChar"/>
    <w:uiPriority w:val="99"/>
    <w:semiHidden/>
    <w:rsid w:val="003F61BE"/>
    <w:rPr>
      <w:szCs w:val="20"/>
    </w:rPr>
  </w:style>
  <w:style w:type="character" w:customStyle="1" w:styleId="CommentTextChar">
    <w:name w:val="Comment Text Char"/>
    <w:basedOn w:val="DefaultParagraphFont"/>
    <w:link w:val="CommentText"/>
    <w:uiPriority w:val="99"/>
    <w:semiHidden/>
    <w:rsid w:val="003F61BE"/>
    <w:rPr>
      <w:sz w:val="20"/>
      <w:szCs w:val="20"/>
    </w:rPr>
  </w:style>
  <w:style w:type="paragraph" w:styleId="CommentSubject">
    <w:name w:val="annotation subject"/>
    <w:basedOn w:val="CommentText"/>
    <w:next w:val="CommentText"/>
    <w:link w:val="CommentSubjectChar"/>
    <w:uiPriority w:val="99"/>
    <w:semiHidden/>
    <w:unhideWhenUsed/>
    <w:rsid w:val="003F61BE"/>
    <w:rPr>
      <w:b/>
      <w:bCs/>
    </w:rPr>
  </w:style>
  <w:style w:type="character" w:customStyle="1" w:styleId="CommentSubjectChar">
    <w:name w:val="Comment Subject Char"/>
    <w:basedOn w:val="CommentTextChar"/>
    <w:link w:val="CommentSubject"/>
    <w:uiPriority w:val="99"/>
    <w:semiHidden/>
    <w:rsid w:val="003F61BE"/>
    <w:rPr>
      <w:b/>
      <w:bCs/>
      <w:sz w:val="20"/>
      <w:szCs w:val="20"/>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bedeleted_x003f_ xmlns="1f4336c8-cde0-40ab-bbd2-80a399a6ba64">false</Tobedeleted_x003f_>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510D486C612E5418C975EEA3053FB3F" ma:contentTypeVersion="7" ma:contentTypeDescription="Create a new document." ma:contentTypeScope="" ma:versionID="1144e4339b01ae6026510fd122875b6f">
  <xsd:schema xmlns:xsd="http://www.w3.org/2001/XMLSchema" xmlns:xs="http://www.w3.org/2001/XMLSchema" xmlns:p="http://schemas.microsoft.com/office/2006/metadata/properties" xmlns:ns2="1f4336c8-cde0-40ab-bbd2-80a399a6ba64" xmlns:ns3="1ecce8f5-3856-4ffb-b642-2c653228d680" targetNamespace="http://schemas.microsoft.com/office/2006/metadata/properties" ma:root="true" ma:fieldsID="3147b5a8563c9588fb7d1735136ca0e4" ns2:_="" ns3:_="">
    <xsd:import namespace="1f4336c8-cde0-40ab-bbd2-80a399a6ba64"/>
    <xsd:import namespace="1ecce8f5-3856-4ffb-b642-2c653228d68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Tobedeleted_x003f_"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336c8-cde0-40ab-bbd2-80a399a6b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Tobedeleted_x003f_" ma:index="12" nillable="true" ma:displayName="To be deleted?" ma:default="0" ma:format="Dropdown" ma:internalName="Tobedeleted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ecce8f5-3856-4ffb-b642-2c653228d68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DB2D86-CC91-49C1-88E9-E8F8CA6D187A}">
  <ds:schemaRefs>
    <ds:schemaRef ds:uri="http://schemas.microsoft.com/office/2006/metadata/properties"/>
    <ds:schemaRef ds:uri="http://schemas.microsoft.com/office/infopath/2007/PartnerControls"/>
    <ds:schemaRef ds:uri="1f4336c8-cde0-40ab-bbd2-80a399a6ba64"/>
  </ds:schemaRefs>
</ds:datastoreItem>
</file>

<file path=customXml/itemProps2.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3.xml><?xml version="1.0" encoding="utf-8"?>
<ds:datastoreItem xmlns:ds="http://schemas.openxmlformats.org/officeDocument/2006/customXml" ds:itemID="{A8599AE2-9ABA-41AD-9FBD-A20308E5DF63}">
  <ds:schemaRefs>
    <ds:schemaRef ds:uri="http://schemas.microsoft.com/sharepoint/v3/contenttype/forms"/>
  </ds:schemaRefs>
</ds:datastoreItem>
</file>

<file path=customXml/itemProps4.xml><?xml version="1.0" encoding="utf-8"?>
<ds:datastoreItem xmlns:ds="http://schemas.openxmlformats.org/officeDocument/2006/customXml" ds:itemID="{01CF2E9E-EC81-4814-A86F-9E51249E9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336c8-cde0-40ab-bbd2-80a399a6ba64"/>
    <ds:schemaRef ds:uri="1ecce8f5-3856-4ffb-b642-2c653228d6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372</Words>
  <Characters>2122</Characters>
  <Application>Microsoft Office Word</Application>
  <DocSecurity>0</DocSecurity>
  <Lines>17</Lines>
  <Paragraphs>4</Paragraphs>
  <ScaleCrop>false</ScaleCrop>
  <Company>Australian Government</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SMYTH,Kylie</cp:lastModifiedBy>
  <cp:revision>5</cp:revision>
  <cp:lastPrinted>2022-07-01T06:07:00Z</cp:lastPrinted>
  <dcterms:created xsi:type="dcterms:W3CDTF">2022-07-01T06:02:00Z</dcterms:created>
  <dcterms:modified xsi:type="dcterms:W3CDTF">2022-07-01T06:08:00Z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2022-04-13T04:43:49Z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1380ef66-15aa-4b34-b76f-351f33ceef07</vt:lpwstr>
  </property>
  <property fmtid="{D5CDD505-2E9C-101B-9397-08002B2CF9AE}" pid="8" name="MSIP_Label_5f877481-9e35-4b68-b667-876a73c6db41_ContentBits">
    <vt:lpwstr>0</vt:lpwstr>
  </property>
  <property fmtid="{D5CDD505-2E9C-101B-9397-08002B2CF9AE}" pid="9" name="ContentTypeId">
    <vt:lpwstr>0x0101007510D486C612E5418C975EEA3053FB3F</vt:lpwstr>
  </property>
  <property fmtid="{D5CDD505-2E9C-101B-9397-08002B2CF9AE}" pid="10" name="MSIP_Label_79d889eb-932f-4752-8739-64d25806ef64_SetDate">
    <vt:lpwstr>2022-05-10T03:39:42Z</vt:lpwstr>
  </property>
  <property fmtid="{D5CDD505-2E9C-101B-9397-08002B2CF9AE}" pid="11" name="ItemFunction">
    <vt:lpwstr>1976;#communication|9d5354d3-d1c2-4163-a4db-c06e4aa61e3a</vt:lpwstr>
  </property>
  <property fmtid="{D5CDD505-2E9C-101B-9397-08002B2CF9AE}" pid="12" name="MSIP_Label_79d889eb-932f-4752-8739-64d25806ef64_SiteId">
    <vt:lpwstr>dd0cfd15-4558-4b12-8bad-ea26984fc417</vt:lpwstr>
  </property>
  <property fmtid="{D5CDD505-2E9C-101B-9397-08002B2CF9AE}" pid="13" name="MSIP_Label_79d889eb-932f-4752-8739-64d25806ef64_Method">
    <vt:lpwstr>Privileged</vt:lpwstr>
  </property>
  <property fmtid="{D5CDD505-2E9C-101B-9397-08002B2CF9AE}" pid="14" name="ItemType">
    <vt:lpwstr>1999;#template|60f4875c-5740-43a9-8840-cfcba2da81bd</vt:lpwstr>
  </property>
  <property fmtid="{D5CDD505-2E9C-101B-9397-08002B2CF9AE}" pid="15" name="MSIP_Label_79d889eb-932f-4752-8739-64d25806ef64_ActionId">
    <vt:lpwstr>e0a79ea9-32e9-4f57-80d5-38b4aff4ce35</vt:lpwstr>
  </property>
  <property fmtid="{D5CDD505-2E9C-101B-9397-08002B2CF9AE}" pid="16" name="TaxCatchAll">
    <vt:lpwstr>1976;#;#1999;#</vt:lpwstr>
  </property>
  <property fmtid="{D5CDD505-2E9C-101B-9397-08002B2CF9AE}" pid="17" name="MSIP_Label_79d889eb-932f-4752-8739-64d25806ef64_ContentBits">
    <vt:lpwstr>0</vt:lpwstr>
  </property>
  <property fmtid="{D5CDD505-2E9C-101B-9397-08002B2CF9AE}" pid="18" name="la020d86e283469abb02d1589f8af8a1">
    <vt:lpwstr>communication|9d5354d3-d1c2-4163-a4db-c06e4aa61e3a</vt:lpwstr>
  </property>
  <property fmtid="{D5CDD505-2E9C-101B-9397-08002B2CF9AE}" pid="19" name="ItemSubFunction">
    <vt:lpwstr>Resources</vt:lpwstr>
  </property>
  <property fmtid="{D5CDD505-2E9C-101B-9397-08002B2CF9AE}" pid="20" name="MSIP_Label_79d889eb-932f-4752-8739-64d25806ef64_Name">
    <vt:lpwstr>79d889eb-932f-4752-8739-64d25806ef64</vt:lpwstr>
  </property>
  <property fmtid="{D5CDD505-2E9C-101B-9397-08002B2CF9AE}" pid="21" name="ItemPublishedDate">
    <vt:filetime>2020-02-03T13:00:00Z</vt:filetime>
  </property>
  <property fmtid="{D5CDD505-2E9C-101B-9397-08002B2CF9AE}" pid="22" name="idf49b01858c4ab7b49fec8a6554c79a">
    <vt:lpwstr>template|60f4875c-5740-43a9-8840-cfcba2da81bd</vt:lpwstr>
  </property>
  <property fmtid="{D5CDD505-2E9C-101B-9397-08002B2CF9AE}" pid="23" name="MSIP_Label_79d889eb-932f-4752-8739-64d25806ef64_Enabled">
    <vt:lpwstr>true</vt:lpwstr>
  </property>
  <property fmtid="{D5CDD505-2E9C-101B-9397-08002B2CF9AE}" pid="24" name="ItemKeywords">
    <vt:lpwstr/>
  </property>
</Properties>
</file>