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F15C" w14:textId="17F208DD" w:rsidR="00067075" w:rsidRDefault="003A2EFF" w:rsidP="00DE0402">
      <w:pPr>
        <w:pStyle w:val="Title"/>
        <w:spacing w:before="120"/>
      </w:pPr>
      <w:r>
        <w:rPr>
          <w:noProof/>
        </w:rPr>
        <w:drawing>
          <wp:inline distT="0" distB="0" distL="0" distR="0" wp14:anchorId="0368C25A" wp14:editId="1EC0F928">
            <wp:extent cx="2383155" cy="727075"/>
            <wp:effectExtent l="0" t="0" r="0" b="0"/>
            <wp:docPr id="1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B30EC" wp14:editId="2172C375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AD5D21">
          <w:footerReference w:type="default" r:id="rId14"/>
          <w:footerReference w:type="first" r:id="rId15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30FC1237" w14:textId="05062941" w:rsidR="006D154E" w:rsidRDefault="00672290" w:rsidP="004E4405">
      <w:pPr>
        <w:pStyle w:val="Title"/>
        <w:spacing w:before="840"/>
      </w:pPr>
      <w:r>
        <w:t>The Skills Guarantee</w:t>
      </w:r>
      <w:r w:rsidR="005D2459">
        <w:t xml:space="preserve"> – Fact sheet</w:t>
      </w:r>
    </w:p>
    <w:p w14:paraId="308D2733" w14:textId="63D971F8" w:rsidR="00BC0051" w:rsidRDefault="00866DE7" w:rsidP="00102D4B">
      <w:pPr>
        <w:pStyle w:val="Heading2"/>
      </w:pPr>
      <w:r>
        <w:t>Overview</w:t>
      </w:r>
    </w:p>
    <w:p w14:paraId="317630B5" w14:textId="502AF507" w:rsidR="0038367F" w:rsidRDefault="00BC0051" w:rsidP="008729FE">
      <w:r>
        <w:t>The Australian Skills Guarantee (Skills Guarantee) introduce</w:t>
      </w:r>
      <w:r w:rsidR="00901501">
        <w:t>d</w:t>
      </w:r>
      <w:r>
        <w:t xml:space="preserve"> national targets for apprentices, trainees, paid cadets, and women on eligible Commonwealth-funded major projects. </w:t>
      </w:r>
      <w:r w:rsidR="00204FD3">
        <w:t>T</w:t>
      </w:r>
      <w:r>
        <w:t xml:space="preserve">argets apply to Commonwealth </w:t>
      </w:r>
      <w:r w:rsidR="00984C8A">
        <w:t>procurement</w:t>
      </w:r>
      <w:r>
        <w:t xml:space="preserve"> for </w:t>
      </w:r>
      <w:r w:rsidR="00B87BFB">
        <w:t>b</w:t>
      </w:r>
      <w:r w:rsidR="00B87BFB" w:rsidRPr="00B87BFB">
        <w:t xml:space="preserve">uilding and </w:t>
      </w:r>
      <w:r w:rsidR="00B87BFB">
        <w:t>c</w:t>
      </w:r>
      <w:r w:rsidR="00B87BFB" w:rsidRPr="00B87BFB">
        <w:t xml:space="preserve">onstruction and </w:t>
      </w:r>
      <w:r w:rsidR="00B87BFB">
        <w:t>m</w:t>
      </w:r>
      <w:r w:rsidR="00B87BFB" w:rsidRPr="00B87BFB">
        <w:t xml:space="preserve">aintenance </w:t>
      </w:r>
      <w:r w:rsidR="00B87BFB">
        <w:t>s</w:t>
      </w:r>
      <w:r w:rsidR="00B87BFB" w:rsidRPr="00B87BFB">
        <w:t xml:space="preserve">ervices </w:t>
      </w:r>
      <w:r>
        <w:t xml:space="preserve">(construction) and information and communications technology (ICT) </w:t>
      </w:r>
      <w:r w:rsidRPr="004E4405">
        <w:t>with a total contract value of $10 million or more.</w:t>
      </w:r>
    </w:p>
    <w:p w14:paraId="0BFEE5DE" w14:textId="26DE45A4" w:rsidR="008966DC" w:rsidRPr="004E4405" w:rsidRDefault="008966DC" w:rsidP="008966DC">
      <w:r w:rsidRPr="004E4405">
        <w:t>This factsheet provide</w:t>
      </w:r>
      <w:r>
        <w:t>s</w:t>
      </w:r>
      <w:r w:rsidRPr="004E4405">
        <w:t xml:space="preserve"> an overview of the </w:t>
      </w:r>
      <w:r>
        <w:t xml:space="preserve">Australian </w:t>
      </w:r>
      <w:r w:rsidRPr="004E4405">
        <w:t xml:space="preserve">Skills Guarantee </w:t>
      </w:r>
      <w:r>
        <w:t xml:space="preserve">(Skills Guarantee) </w:t>
      </w:r>
      <w:r w:rsidRPr="004E4405">
        <w:t>Procurement Connected Policy (PCP) and should be read with the Skills Guarantee PCP.</w:t>
      </w:r>
    </w:p>
    <w:p w14:paraId="6F960BBA" w14:textId="06974B7C" w:rsidR="00A94D9F" w:rsidRDefault="0074026D" w:rsidP="00102D4B">
      <w:pPr>
        <w:pStyle w:val="Heading2"/>
      </w:pPr>
      <w:r>
        <w:t xml:space="preserve">Skills Guarantee </w:t>
      </w:r>
      <w:r w:rsidR="009C3537">
        <w:t>Procurement Connected Policy</w:t>
      </w:r>
      <w:r>
        <w:t xml:space="preserve"> </w:t>
      </w:r>
    </w:p>
    <w:p w14:paraId="6A4CDE2C" w14:textId="11BC10CF" w:rsidR="00A94D9F" w:rsidRDefault="00A94D9F" w:rsidP="00A94D9F">
      <w:r>
        <w:t xml:space="preserve">The </w:t>
      </w:r>
      <w:r w:rsidR="00D54BAE">
        <w:t xml:space="preserve">Skills Guarantee </w:t>
      </w:r>
      <w:r w:rsidR="008966DC">
        <w:t>PCP</w:t>
      </w:r>
      <w:r>
        <w:t xml:space="preserve"> </w:t>
      </w:r>
      <w:r w:rsidR="00996BFC">
        <w:t xml:space="preserve">is </w:t>
      </w:r>
      <w:r>
        <w:t xml:space="preserve">the key mechanism </w:t>
      </w:r>
      <w:r w:rsidR="00A3468F">
        <w:t xml:space="preserve">to </w:t>
      </w:r>
      <w:r w:rsidR="008966DC">
        <w:t>implemen</w:t>
      </w:r>
      <w:r w:rsidR="00A3468F">
        <w:t>t</w:t>
      </w:r>
      <w:r>
        <w:t xml:space="preserve"> the Skills Guarantee. The </w:t>
      </w:r>
      <w:r w:rsidR="5FF49862">
        <w:t>Skills Guarantee</w:t>
      </w:r>
      <w:r>
        <w:t xml:space="preserve"> </w:t>
      </w:r>
      <w:r w:rsidR="00162AD5">
        <w:t>PCP</w:t>
      </w:r>
      <w:r>
        <w:t xml:space="preserve"> provide</w:t>
      </w:r>
      <w:r w:rsidR="00162AD5">
        <w:t>s</w:t>
      </w:r>
      <w:r>
        <w:t xml:space="preserve"> high-level instructions for parties engaging in relevant Australian Government-funded projects. </w:t>
      </w:r>
    </w:p>
    <w:p w14:paraId="62EC6207" w14:textId="161A25BB" w:rsidR="00E965D4" w:rsidRDefault="00073308" w:rsidP="00102D4B">
      <w:pPr>
        <w:pStyle w:val="Heading2"/>
      </w:pPr>
      <w:r>
        <w:t xml:space="preserve">Procurements </w:t>
      </w:r>
      <w:proofErr w:type="gramStart"/>
      <w:r>
        <w:t>captured</w:t>
      </w:r>
      <w:proofErr w:type="gramEnd"/>
    </w:p>
    <w:p w14:paraId="520D0D1D" w14:textId="0F802C64" w:rsidR="00986448" w:rsidRDefault="00312F25" w:rsidP="00BD6ECE">
      <w:r>
        <w:t>R</w:t>
      </w:r>
      <w:r w:rsidR="00DD4B37">
        <w:t>elevant entities</w:t>
      </w:r>
      <w:r w:rsidR="00643C9A">
        <w:t xml:space="preserve"> </w:t>
      </w:r>
      <w:r w:rsidR="009B6286">
        <w:t xml:space="preserve">(contracting Government </w:t>
      </w:r>
      <w:proofErr w:type="gramStart"/>
      <w:r w:rsidR="009B6286">
        <w:t>agencies)</w:t>
      </w:r>
      <w:r w:rsidR="00643C9A">
        <w:t>need</w:t>
      </w:r>
      <w:proofErr w:type="gramEnd"/>
      <w:r w:rsidR="00643C9A">
        <w:t xml:space="preserve"> to include Skills Guarantee requirements </w:t>
      </w:r>
      <w:r w:rsidR="00ED3A70">
        <w:t>for p</w:t>
      </w:r>
      <w:r w:rsidR="004F387F">
        <w:t>rocurements</w:t>
      </w:r>
      <w:r w:rsidR="00ED3A70">
        <w:t xml:space="preserve"> which</w:t>
      </w:r>
      <w:r w:rsidR="004F387F">
        <w:t xml:space="preserve"> </w:t>
      </w:r>
      <w:r w:rsidR="00ED3A70">
        <w:t>constitute</w:t>
      </w:r>
      <w:r w:rsidR="004F387F">
        <w:t xml:space="preserve"> major construction or major ICT projects</w:t>
      </w:r>
      <w:r w:rsidR="00260FF4">
        <w:t>:</w:t>
      </w:r>
      <w:r w:rsidR="00643C9A">
        <w:t xml:space="preserve"> </w:t>
      </w:r>
    </w:p>
    <w:p w14:paraId="387B9E6A" w14:textId="78616AF1" w:rsidR="00BA6291" w:rsidRPr="001E0880" w:rsidRDefault="001E0880" w:rsidP="006974B4">
      <w:pPr>
        <w:pStyle w:val="ListBullet"/>
        <w:numPr>
          <w:ilvl w:val="0"/>
          <w:numId w:val="15"/>
        </w:numPr>
        <w:ind w:left="357" w:hanging="357"/>
      </w:pPr>
      <w:r w:rsidRPr="004F387F">
        <w:rPr>
          <w:b/>
          <w:bCs/>
        </w:rPr>
        <w:t>Major construction projects</w:t>
      </w:r>
      <w:r w:rsidRPr="001E0880">
        <w:t xml:space="preserve"> </w:t>
      </w:r>
      <w:r w:rsidR="00BA6291" w:rsidRPr="00D436BA">
        <w:t xml:space="preserve">are those </w:t>
      </w:r>
      <w:r w:rsidR="00BA6291">
        <w:t xml:space="preserve">procurements </w:t>
      </w:r>
      <w:r w:rsidR="00BA6291" w:rsidRPr="00D436BA">
        <w:t>with an estimated</w:t>
      </w:r>
      <w:r w:rsidR="00BA6291">
        <w:t xml:space="preserve"> individual</w:t>
      </w:r>
      <w:r w:rsidR="00BA6291" w:rsidRPr="00D436BA">
        <w:t xml:space="preserve"> value of $10</w:t>
      </w:r>
      <w:r w:rsidR="00DB5BBC">
        <w:t> </w:t>
      </w:r>
      <w:r w:rsidR="00BA6291" w:rsidRPr="00D436BA">
        <w:t>million and above (GST inclusive)</w:t>
      </w:r>
      <w:r w:rsidR="00BA6291">
        <w:t xml:space="preserve">. </w:t>
      </w:r>
      <w:r w:rsidR="00431FAD" w:rsidRPr="00431FAD">
        <w:t>United Nations Standard Products and Services Codes (UNSPSCs)</w:t>
      </w:r>
      <w:r w:rsidR="00431FAD" w:rsidRPr="006F3863">
        <w:t xml:space="preserve"> </w:t>
      </w:r>
      <w:r w:rsidR="00BA6291">
        <w:t>that fall within the scope of construction services for the Skills Guarantee are</w:t>
      </w:r>
      <w:r w:rsidR="00BA6291" w:rsidRPr="00D436BA">
        <w:t xml:space="preserve"> specified in </w:t>
      </w:r>
      <w:r w:rsidR="00BA6291" w:rsidRPr="00D436BA">
        <w:rPr>
          <w:b/>
          <w:bCs/>
        </w:rPr>
        <w:t xml:space="preserve">Appendix </w:t>
      </w:r>
      <w:r w:rsidR="00BA6291" w:rsidRPr="001E0880">
        <w:rPr>
          <w:b/>
          <w:bCs/>
        </w:rPr>
        <w:t>C</w:t>
      </w:r>
      <w:r w:rsidRPr="001E0880">
        <w:t xml:space="preserve"> of the Skills Guarantee PCP</w:t>
      </w:r>
      <w:r w:rsidR="00BA6291" w:rsidRPr="001E0880">
        <w:t>.</w:t>
      </w:r>
    </w:p>
    <w:p w14:paraId="0DE61D05" w14:textId="38A89418" w:rsidR="001E0880" w:rsidRDefault="001E0880" w:rsidP="006974B4">
      <w:pPr>
        <w:pStyle w:val="ListBullet"/>
        <w:numPr>
          <w:ilvl w:val="0"/>
          <w:numId w:val="15"/>
        </w:numPr>
        <w:ind w:left="357" w:hanging="357"/>
      </w:pPr>
      <w:r w:rsidRPr="001E0880">
        <w:rPr>
          <w:b/>
          <w:bCs/>
        </w:rPr>
        <w:t>Major ICT projects</w:t>
      </w:r>
      <w:r w:rsidRPr="00D436BA">
        <w:t xml:space="preserve"> are those </w:t>
      </w:r>
      <w:r>
        <w:t xml:space="preserve">procurements </w:t>
      </w:r>
      <w:r w:rsidRPr="00D436BA">
        <w:t xml:space="preserve">with an estimated </w:t>
      </w:r>
      <w:r>
        <w:t>individual value</w:t>
      </w:r>
      <w:r w:rsidRPr="00D436BA">
        <w:t xml:space="preserve"> of $10 million and above (GST inclusive) in the </w:t>
      </w:r>
      <w:r w:rsidRPr="008A11E2">
        <w:rPr>
          <w:iCs/>
        </w:rPr>
        <w:t>UNSPSC</w:t>
      </w:r>
      <w:r w:rsidR="008A11E2">
        <w:rPr>
          <w:i/>
        </w:rPr>
        <w:t>s</w:t>
      </w:r>
      <w:r w:rsidRPr="00D436BA">
        <w:t xml:space="preserve"> </w:t>
      </w:r>
      <w:r>
        <w:t>specified</w:t>
      </w:r>
      <w:r w:rsidRPr="00D436BA">
        <w:t xml:space="preserve"> in </w:t>
      </w:r>
      <w:r w:rsidRPr="00D436BA">
        <w:rPr>
          <w:b/>
          <w:bCs/>
        </w:rPr>
        <w:t>Appendix D</w:t>
      </w:r>
      <w:r w:rsidRPr="001E0880">
        <w:t xml:space="preserve"> of the Skills Guarantee PCP</w:t>
      </w:r>
      <w:r w:rsidRPr="00D436BA">
        <w:t>.</w:t>
      </w:r>
    </w:p>
    <w:p w14:paraId="392630CA" w14:textId="30419049" w:rsidR="00260FF4" w:rsidRDefault="00643C9A" w:rsidP="00BD6ECE">
      <w:r>
        <w:t xml:space="preserve">There </w:t>
      </w:r>
      <w:r w:rsidR="00F661C8">
        <w:t>are</w:t>
      </w:r>
      <w:r>
        <w:t xml:space="preserve"> </w:t>
      </w:r>
      <w:r w:rsidR="00BD6ECE">
        <w:t xml:space="preserve">additional </w:t>
      </w:r>
      <w:r>
        <w:t xml:space="preserve">requirements </w:t>
      </w:r>
      <w:r w:rsidR="00BD6ECE">
        <w:t xml:space="preserve">for </w:t>
      </w:r>
      <w:r w:rsidR="00DA40D6">
        <w:t>flagship construction projects</w:t>
      </w:r>
      <w:r w:rsidR="00260FF4">
        <w:t>:</w:t>
      </w:r>
    </w:p>
    <w:p w14:paraId="2642B598" w14:textId="40FCB12F" w:rsidR="00153538" w:rsidRDefault="00153538" w:rsidP="00260FF4">
      <w:pPr>
        <w:pStyle w:val="ListParagraph"/>
        <w:numPr>
          <w:ilvl w:val="0"/>
          <w:numId w:val="18"/>
        </w:numPr>
        <w:spacing w:line="276" w:lineRule="auto"/>
        <w:ind w:left="357" w:hanging="357"/>
      </w:pPr>
      <w:r w:rsidRPr="00260FF4">
        <w:rPr>
          <w:b/>
          <w:bCs/>
        </w:rPr>
        <w:t>Flagship construction projects</w:t>
      </w:r>
      <w:r w:rsidRPr="00153538">
        <w:t xml:space="preserve"> are those procurements with an estimated individual value of $100 million and above (GST inclusive). UNSPSC</w:t>
      </w:r>
      <w:r w:rsidR="008653C2">
        <w:t>s</w:t>
      </w:r>
      <w:r w:rsidRPr="00153538">
        <w:t xml:space="preserve"> that fall within the scope of construction services for the Skills Guarantee are specified in </w:t>
      </w:r>
      <w:r w:rsidRPr="00260FF4">
        <w:rPr>
          <w:b/>
          <w:bCs/>
        </w:rPr>
        <w:t>Appendix C</w:t>
      </w:r>
      <w:r w:rsidRPr="00153538">
        <w:t>.</w:t>
      </w:r>
    </w:p>
    <w:p w14:paraId="0AB2EEA4" w14:textId="3368A568" w:rsidR="00C362BA" w:rsidRDefault="00260FF4" w:rsidP="00BD6ECE">
      <w:r w:rsidRPr="0094033C">
        <w:t xml:space="preserve">Relevant </w:t>
      </w:r>
      <w:proofErr w:type="gramStart"/>
      <w:r w:rsidRPr="0094033C">
        <w:t xml:space="preserve">entities </w:t>
      </w:r>
      <w:r>
        <w:t xml:space="preserve"> </w:t>
      </w:r>
      <w:r w:rsidRPr="0094033C">
        <w:t>are</w:t>
      </w:r>
      <w:proofErr w:type="gramEnd"/>
      <w:r w:rsidRPr="0094033C">
        <w:t xml:space="preserve"> required to select a UNSPSC for planned procurements, approaches to market, and contract</w:t>
      </w:r>
      <w:r w:rsidR="00197579">
        <w:t>s</w:t>
      </w:r>
      <w:r w:rsidRPr="0094033C">
        <w:t>.</w:t>
      </w:r>
      <w:r>
        <w:t xml:space="preserve"> </w:t>
      </w:r>
      <w:r w:rsidR="008653C2">
        <w:t xml:space="preserve">The UNSPSC chosen by an entity </w:t>
      </w:r>
      <w:r w:rsidR="009C3854">
        <w:t>(which is</w:t>
      </w:r>
      <w:r w:rsidR="00D51A9C" w:rsidRPr="0094033C">
        <w:t xml:space="preserve"> posted on AusTender</w:t>
      </w:r>
      <w:r w:rsidR="009C3854">
        <w:t>)</w:t>
      </w:r>
      <w:r w:rsidR="00D51A9C" w:rsidRPr="0094033C">
        <w:t xml:space="preserve"> determine</w:t>
      </w:r>
      <w:r w:rsidR="00FF59AD">
        <w:t>s</w:t>
      </w:r>
      <w:r>
        <w:t xml:space="preserve"> </w:t>
      </w:r>
      <w:r w:rsidR="00D51A9C" w:rsidRPr="0094033C">
        <w:t xml:space="preserve">if the </w:t>
      </w:r>
      <w:r w:rsidR="00D51A9C" w:rsidRPr="0094033C">
        <w:lastRenderedPageBreak/>
        <w:t>procurement is in scope of the Skills Guarantee, provided</w:t>
      </w:r>
      <w:r w:rsidR="00CA26D7">
        <w:t xml:space="preserve"> </w:t>
      </w:r>
      <w:r w:rsidR="00D51A9C" w:rsidRPr="0094033C">
        <w:t xml:space="preserve">the procurement also meets the eligibility requirements detailed in </w:t>
      </w:r>
      <w:r w:rsidR="00D51A9C" w:rsidRPr="0094033C">
        <w:rPr>
          <w:b/>
          <w:bCs/>
        </w:rPr>
        <w:t>Section 3</w:t>
      </w:r>
      <w:r w:rsidR="00D51A9C">
        <w:t xml:space="preserve"> of the Skills</w:t>
      </w:r>
      <w:r w:rsidR="00CC58DF">
        <w:t> </w:t>
      </w:r>
      <w:r w:rsidR="00D51A9C">
        <w:t>Guarantee</w:t>
      </w:r>
      <w:r w:rsidR="00CC58DF">
        <w:t> </w:t>
      </w:r>
      <w:r w:rsidR="00D51A9C">
        <w:t>PCP</w:t>
      </w:r>
      <w:r w:rsidR="009C3854">
        <w:t xml:space="preserve">. </w:t>
      </w:r>
    </w:p>
    <w:p w14:paraId="527B3D59" w14:textId="0679C42E" w:rsidR="00B100CC" w:rsidRPr="00520A33" w:rsidRDefault="009006FA" w:rsidP="00102D4B">
      <w:pPr>
        <w:pStyle w:val="Heading2"/>
      </w:pPr>
      <w:r>
        <w:t>Targets</w:t>
      </w:r>
    </w:p>
    <w:tbl>
      <w:tblPr>
        <w:tblStyle w:val="DESE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B100CC" w:rsidRPr="00067075" w14:paraId="24D3909D" w14:textId="77777777" w:rsidTr="0070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CED6D8D" w14:textId="760855AA" w:rsidR="00B100CC" w:rsidRPr="00FA083F" w:rsidRDefault="00B100CC" w:rsidP="00FA083F">
            <w:pPr>
              <w:spacing w:after="100"/>
            </w:pPr>
          </w:p>
        </w:tc>
        <w:tc>
          <w:tcPr>
            <w:tcW w:w="2410" w:type="dxa"/>
          </w:tcPr>
          <w:p w14:paraId="1B909B7B" w14:textId="034E6A2F" w:rsidR="00B100CC" w:rsidRPr="00FA083F" w:rsidRDefault="003869DB" w:rsidP="00FA083F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083F">
              <w:t>Overarching apprentice/ trainee target</w:t>
            </w:r>
          </w:p>
        </w:tc>
        <w:tc>
          <w:tcPr>
            <w:tcW w:w="4343" w:type="dxa"/>
          </w:tcPr>
          <w:p w14:paraId="15A98EAF" w14:textId="68754EF4" w:rsidR="00B100CC" w:rsidRPr="00FA083F" w:rsidRDefault="00CD22D3" w:rsidP="00FA083F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083F">
              <w:t>Targets for women</w:t>
            </w:r>
          </w:p>
        </w:tc>
      </w:tr>
      <w:tr w:rsidR="00B100CC" w14:paraId="1A94CD1A" w14:textId="77777777" w:rsidTr="0070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73FE5" w14:textId="162EC939" w:rsidR="000C2E90" w:rsidRPr="000C2E90" w:rsidRDefault="000C2E90" w:rsidP="00FA083F">
            <w:pPr>
              <w:spacing w:before="60" w:after="60"/>
              <w:rPr>
                <w:b/>
                <w:bCs/>
              </w:rPr>
            </w:pPr>
            <w:r w:rsidRPr="000C2E90">
              <w:rPr>
                <w:b/>
                <w:bCs/>
              </w:rPr>
              <w:t>Major construction projects</w:t>
            </w:r>
          </w:p>
          <w:p w14:paraId="635FA3FC" w14:textId="68110A06" w:rsidR="00B100CC" w:rsidRPr="000C2E90" w:rsidRDefault="000C2E90" w:rsidP="00FA083F">
            <w:pPr>
              <w:spacing w:before="60" w:beforeAutospacing="0" w:after="60" w:afterAutospacing="0"/>
            </w:pPr>
            <w:r w:rsidRPr="000C2E90">
              <w:t>Total contract value</w:t>
            </w:r>
            <w:r w:rsidRPr="000C2E90">
              <w:br/>
              <w:t>$10 million or more</w:t>
            </w:r>
          </w:p>
        </w:tc>
        <w:tc>
          <w:tcPr>
            <w:tcW w:w="2410" w:type="dxa"/>
          </w:tcPr>
          <w:p w14:paraId="6722E94A" w14:textId="2B08A300" w:rsidR="00B100CC" w:rsidRDefault="00A31BEC" w:rsidP="00FA083F">
            <w:pPr>
              <w:spacing w:before="6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BEC">
              <w:t>Requires a minimum of 10% of all labour hours spent on the project be undertaken by apprentices/trainees.</w:t>
            </w:r>
          </w:p>
        </w:tc>
        <w:tc>
          <w:tcPr>
            <w:tcW w:w="4343" w:type="dxa"/>
          </w:tcPr>
          <w:p w14:paraId="6A45061C" w14:textId="752963B3" w:rsidR="00705AA6" w:rsidRDefault="00705AA6" w:rsidP="006974B4">
            <w:pPr>
              <w:pStyle w:val="ListBullet"/>
              <w:numPr>
                <w:ilvl w:val="0"/>
                <w:numId w:val="16"/>
              </w:numPr>
              <w:spacing w:before="60" w:after="60"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Overarching apprentice/trainee target for women initially requires a minimum of 6%* of all apprentice/trainee labour hours to be undertaken by women. </w:t>
            </w:r>
          </w:p>
          <w:p w14:paraId="415CA78E" w14:textId="0C87CCDD" w:rsidR="00B100CC" w:rsidRDefault="00705AA6" w:rsidP="006974B4">
            <w:pPr>
              <w:pStyle w:val="ListBullet"/>
              <w:numPr>
                <w:ilvl w:val="0"/>
                <w:numId w:val="16"/>
              </w:numPr>
              <w:spacing w:before="60" w:beforeAutospacing="0" w:after="60" w:afterAutospacing="0"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Trade-specific apprentice/trainee target for women initially requires a minimum of 4%* of trade apprentice/trainee labour hours to be undertaken by women.</w:t>
            </w:r>
          </w:p>
        </w:tc>
      </w:tr>
      <w:tr w:rsidR="00B100CC" w14:paraId="69D6A101" w14:textId="77777777" w:rsidTr="0070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E3FFCD" w14:textId="37F2F277" w:rsidR="004E4D33" w:rsidRPr="004E4D33" w:rsidRDefault="004E4D33" w:rsidP="00FA083F">
            <w:pPr>
              <w:spacing w:before="60" w:after="60"/>
              <w:rPr>
                <w:b/>
                <w:bCs/>
              </w:rPr>
            </w:pPr>
            <w:r w:rsidRPr="004E4D33">
              <w:rPr>
                <w:b/>
                <w:bCs/>
              </w:rPr>
              <w:t>Flagship construction projects</w:t>
            </w:r>
          </w:p>
          <w:p w14:paraId="598D221B" w14:textId="2525C80C" w:rsidR="00B100CC" w:rsidRPr="004E4D33" w:rsidRDefault="004E4D33" w:rsidP="00FA083F">
            <w:pPr>
              <w:spacing w:before="60" w:beforeAutospacing="0" w:after="60" w:afterAutospacing="0"/>
            </w:pPr>
            <w:r w:rsidRPr="004E4D33">
              <w:t>Total contract value</w:t>
            </w:r>
            <w:r w:rsidRPr="004E4D33">
              <w:br/>
              <w:t>$100 million or more</w:t>
            </w:r>
          </w:p>
        </w:tc>
        <w:tc>
          <w:tcPr>
            <w:tcW w:w="2410" w:type="dxa"/>
          </w:tcPr>
          <w:p w14:paraId="1662407A" w14:textId="2341797F" w:rsidR="00B100CC" w:rsidRDefault="003C70C2" w:rsidP="00FA083F">
            <w:pPr>
              <w:spacing w:before="6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0C2">
              <w:t>Requires a minimum of 10% of all labour hours spent on the project be undertaken by apprentices/trainees.</w:t>
            </w:r>
          </w:p>
        </w:tc>
        <w:tc>
          <w:tcPr>
            <w:tcW w:w="4343" w:type="dxa"/>
          </w:tcPr>
          <w:p w14:paraId="4649051D" w14:textId="509E67AA" w:rsidR="008D289B" w:rsidRDefault="008D289B" w:rsidP="006974B4">
            <w:pPr>
              <w:pStyle w:val="ListBullet"/>
              <w:numPr>
                <w:ilvl w:val="0"/>
                <w:numId w:val="16"/>
              </w:numPr>
              <w:spacing w:before="60" w:after="60"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Flagship construction projects </w:t>
            </w:r>
            <w:r w:rsidR="00074D42">
              <w:t>are</w:t>
            </w:r>
            <w:r>
              <w:t xml:space="preserve"> required to set more ambitious targets for women.</w:t>
            </w:r>
          </w:p>
          <w:p w14:paraId="5250338E" w14:textId="3EFFAE70" w:rsidR="00B100CC" w:rsidRDefault="008D289B" w:rsidP="006974B4">
            <w:pPr>
              <w:pStyle w:val="ListBullet"/>
              <w:numPr>
                <w:ilvl w:val="0"/>
                <w:numId w:val="16"/>
              </w:numPr>
              <w:spacing w:before="60" w:beforeAutospacing="0" w:after="60" w:afterAutospacing="0"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They </w:t>
            </w:r>
            <w:r w:rsidR="005F1C35">
              <w:t xml:space="preserve">are </w:t>
            </w:r>
            <w:r>
              <w:t>also required to prepare Gender Equality Action Plans outlining how targets will be achieved.</w:t>
            </w:r>
          </w:p>
        </w:tc>
      </w:tr>
      <w:tr w:rsidR="008F1E84" w14:paraId="52446128" w14:textId="77777777" w:rsidTr="00C4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AFB0FE" w14:textId="77777777" w:rsidR="008F1E84" w:rsidRPr="00C17927" w:rsidRDefault="008F1E84" w:rsidP="00FA083F">
            <w:pPr>
              <w:spacing w:before="60" w:after="60"/>
              <w:rPr>
                <w:b/>
                <w:bCs/>
              </w:rPr>
            </w:pPr>
            <w:r w:rsidRPr="00C17927">
              <w:rPr>
                <w:b/>
                <w:bCs/>
              </w:rPr>
              <w:t>Major ICT projects</w:t>
            </w:r>
          </w:p>
          <w:p w14:paraId="69EB9C12" w14:textId="5481FB04" w:rsidR="008F1E84" w:rsidRPr="00C17927" w:rsidRDefault="008F1E84" w:rsidP="00FA083F">
            <w:pPr>
              <w:spacing w:before="60" w:beforeAutospacing="0" w:after="60" w:afterAutospacing="0"/>
            </w:pPr>
            <w:r w:rsidRPr="00C17927">
              <w:t xml:space="preserve">Total contract value </w:t>
            </w:r>
            <w:r w:rsidRPr="00C17927">
              <w:br/>
              <w:t>$10 million or more</w:t>
            </w:r>
          </w:p>
        </w:tc>
        <w:tc>
          <w:tcPr>
            <w:tcW w:w="6753" w:type="dxa"/>
            <w:gridSpan w:val="2"/>
          </w:tcPr>
          <w:p w14:paraId="6C0FEFDA" w14:textId="71D3C9C3" w:rsidR="00FA083F" w:rsidRDefault="005E7BA4" w:rsidP="00FA083F">
            <w:pPr>
              <w:spacing w:before="6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A083F">
              <w:t xml:space="preserve">argets </w:t>
            </w:r>
            <w:r w:rsidR="002B7A9E">
              <w:t>are</w:t>
            </w:r>
            <w:r w:rsidR="00FA083F">
              <w:t xml:space="preserve"> negotiated with suppliers on a project-by-project basis. </w:t>
            </w:r>
          </w:p>
          <w:p w14:paraId="4247A9A8" w14:textId="10DB619F" w:rsidR="008F1E84" w:rsidRDefault="00FA083F" w:rsidP="00FA083F">
            <w:pPr>
              <w:spacing w:before="6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Targets </w:t>
            </w:r>
            <w:r w:rsidR="002B7A9E">
              <w:t>are</w:t>
            </w:r>
            <w:r>
              <w:t xml:space="preserve"> based on workforce information provided by suppliers </w:t>
            </w:r>
            <w:r w:rsidR="003854E1">
              <w:t xml:space="preserve">in </w:t>
            </w:r>
            <w:r>
              <w:t>the</w:t>
            </w:r>
            <w:r w:rsidR="003854E1">
              <w:t>ir</w:t>
            </w:r>
            <w:r>
              <w:t xml:space="preserve"> </w:t>
            </w:r>
            <w:proofErr w:type="gramStart"/>
            <w:r>
              <w:t>tender .</w:t>
            </w:r>
            <w:proofErr w:type="gramEnd"/>
            <w:r>
              <w:t xml:space="preserve"> </w:t>
            </w:r>
            <w:r w:rsidR="00820579" w:rsidRPr="00820579">
              <w:t>The agreed targets will achieve a genuine and meaningful increase in the proportion of apprentices</w:t>
            </w:r>
            <w:r w:rsidR="00C10CF7">
              <w:t>, trainees</w:t>
            </w:r>
            <w:r w:rsidR="00820579" w:rsidRPr="00820579">
              <w:t xml:space="preserve"> and </w:t>
            </w:r>
            <w:r w:rsidR="00D4651E">
              <w:t xml:space="preserve">ICT </w:t>
            </w:r>
            <w:r w:rsidR="00820579" w:rsidRPr="00820579">
              <w:t>cadets engaged in the workforce.</w:t>
            </w:r>
          </w:p>
        </w:tc>
      </w:tr>
    </w:tbl>
    <w:p w14:paraId="50B4C6FB" w14:textId="4B3CD65F" w:rsidR="006974B4" w:rsidRDefault="00795608" w:rsidP="00EB58CD">
      <w:pPr>
        <w:pStyle w:val="Source"/>
      </w:pPr>
      <w:r>
        <w:t>*Targets</w:t>
      </w:r>
      <w:r w:rsidR="00ED6E16">
        <w:t xml:space="preserve"> listed for </w:t>
      </w:r>
      <w:r w:rsidR="00ED6E16" w:rsidRPr="00ED6E16">
        <w:t>1 July 2024 to 30 June 2025</w:t>
      </w:r>
      <w:r w:rsidR="00ED6E16">
        <w:t>. Targets</w:t>
      </w:r>
      <w:r>
        <w:t xml:space="preserve"> for women increase each year</w:t>
      </w:r>
      <w:r w:rsidR="00ED6E16">
        <w:t>.</w:t>
      </w:r>
    </w:p>
    <w:p w14:paraId="06C5F8E4" w14:textId="7716B97B" w:rsidR="006974B4" w:rsidRDefault="00795608" w:rsidP="00795608">
      <w:pPr>
        <w:pStyle w:val="Heading3"/>
      </w:pPr>
      <w:r>
        <w:t>Targets for women</w:t>
      </w:r>
      <w:r w:rsidR="00844F31">
        <w:t xml:space="preserve"> increase each </w:t>
      </w:r>
      <w:proofErr w:type="gramStart"/>
      <w:r w:rsidR="00844F31">
        <w:t>year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9103FB" w:rsidRPr="00D436BA" w14:paraId="0A288019" w14:textId="77777777" w:rsidTr="009103FB">
        <w:trPr>
          <w:tblHeader/>
        </w:trPr>
        <w:tc>
          <w:tcPr>
            <w:tcW w:w="3256" w:type="dxa"/>
            <w:shd w:val="clear" w:color="auto" w:fill="404246"/>
            <w:vAlign w:val="center"/>
          </w:tcPr>
          <w:p w14:paraId="27548367" w14:textId="77777777" w:rsidR="009103FB" w:rsidRPr="009103FB" w:rsidRDefault="009103FB" w:rsidP="009103FB">
            <w:pPr>
              <w:spacing w:before="100" w:beforeAutospacing="1" w:after="100" w:afterAutospacing="1"/>
              <w:rPr>
                <w:rFonts w:ascii="Calibri" w:hAnsi="Calibri"/>
                <w:color w:val="FFFFFF" w:themeColor="background1"/>
              </w:rPr>
            </w:pPr>
            <w:r w:rsidRPr="009103FB">
              <w:rPr>
                <w:rFonts w:ascii="Calibri" w:hAnsi="Calibri"/>
                <w:color w:val="FFFFFF" w:themeColor="background1"/>
              </w:rPr>
              <w:t xml:space="preserve">Targets apply </w:t>
            </w:r>
          </w:p>
        </w:tc>
        <w:tc>
          <w:tcPr>
            <w:tcW w:w="2784" w:type="dxa"/>
            <w:shd w:val="clear" w:color="auto" w:fill="404246"/>
            <w:vAlign w:val="center"/>
          </w:tcPr>
          <w:p w14:paraId="7041DCA8" w14:textId="65DF4AED" w:rsidR="009103FB" w:rsidRPr="009103FB" w:rsidRDefault="009103FB" w:rsidP="009103FB">
            <w:pPr>
              <w:spacing w:before="100" w:beforeAutospacing="1" w:after="100" w:afterAutospacing="1"/>
              <w:rPr>
                <w:rFonts w:ascii="Calibri" w:hAnsi="Calibri"/>
                <w:color w:val="FFFFFF" w:themeColor="background1"/>
              </w:rPr>
            </w:pPr>
            <w:r w:rsidRPr="009103FB">
              <w:rPr>
                <w:rFonts w:ascii="Calibri" w:hAnsi="Calibri"/>
                <w:color w:val="FFFFFF" w:themeColor="background1"/>
              </w:rPr>
              <w:t>Overarching apprentice</w:t>
            </w:r>
            <w:r w:rsidR="00E7319E">
              <w:rPr>
                <w:rFonts w:ascii="Calibri" w:hAnsi="Calibri"/>
                <w:color w:val="FFFFFF" w:themeColor="background1"/>
              </w:rPr>
              <w:t>/trainee</w:t>
            </w:r>
            <w:r w:rsidRPr="009103FB">
              <w:rPr>
                <w:rFonts w:ascii="Calibri" w:hAnsi="Calibri"/>
                <w:color w:val="FFFFFF" w:themeColor="background1"/>
              </w:rPr>
              <w:t xml:space="preserve"> target for women</w:t>
            </w:r>
          </w:p>
        </w:tc>
        <w:tc>
          <w:tcPr>
            <w:tcW w:w="3020" w:type="dxa"/>
            <w:shd w:val="clear" w:color="auto" w:fill="404246"/>
            <w:vAlign w:val="center"/>
          </w:tcPr>
          <w:p w14:paraId="29BB1BDC" w14:textId="7693A7C9" w:rsidR="009103FB" w:rsidRPr="009103FB" w:rsidRDefault="009103FB" w:rsidP="009103FB">
            <w:pPr>
              <w:spacing w:before="100" w:beforeAutospacing="1" w:after="100" w:afterAutospacing="1"/>
              <w:rPr>
                <w:rFonts w:ascii="Calibri" w:hAnsi="Calibri"/>
                <w:color w:val="FFFFFF" w:themeColor="background1"/>
              </w:rPr>
            </w:pPr>
            <w:r w:rsidRPr="009103FB">
              <w:rPr>
                <w:rFonts w:ascii="Calibri" w:hAnsi="Calibri"/>
                <w:color w:val="FFFFFF" w:themeColor="background1"/>
              </w:rPr>
              <w:t>Trade-specific apprentice</w:t>
            </w:r>
            <w:r w:rsidR="00E7319E">
              <w:rPr>
                <w:rFonts w:ascii="Calibri" w:hAnsi="Calibri"/>
                <w:color w:val="FFFFFF" w:themeColor="background1"/>
              </w:rPr>
              <w:t>/trainee</w:t>
            </w:r>
            <w:r w:rsidRPr="009103FB">
              <w:rPr>
                <w:rFonts w:ascii="Calibri" w:hAnsi="Calibri"/>
                <w:color w:val="FFFFFF" w:themeColor="background1"/>
              </w:rPr>
              <w:t xml:space="preserve"> target for women</w:t>
            </w:r>
          </w:p>
        </w:tc>
      </w:tr>
      <w:tr w:rsidR="009103FB" w:rsidRPr="00D436BA" w14:paraId="3C1F3604" w14:textId="77777777" w:rsidTr="00C46C4D">
        <w:tc>
          <w:tcPr>
            <w:tcW w:w="3256" w:type="dxa"/>
          </w:tcPr>
          <w:p w14:paraId="4EC6E2E6" w14:textId="77777777" w:rsidR="009103FB" w:rsidRPr="00D436BA" w:rsidRDefault="009103FB" w:rsidP="009103FB">
            <w:pPr>
              <w:spacing w:before="60" w:after="60"/>
            </w:pPr>
            <w:r w:rsidRPr="00D436BA">
              <w:t>1 July 2024 to 30 June 2025</w:t>
            </w:r>
          </w:p>
        </w:tc>
        <w:tc>
          <w:tcPr>
            <w:tcW w:w="2784" w:type="dxa"/>
          </w:tcPr>
          <w:p w14:paraId="3EFB64A7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6.0%</w:t>
            </w:r>
          </w:p>
        </w:tc>
        <w:tc>
          <w:tcPr>
            <w:tcW w:w="3020" w:type="dxa"/>
          </w:tcPr>
          <w:p w14:paraId="4D511F01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4.0%</w:t>
            </w:r>
          </w:p>
        </w:tc>
      </w:tr>
      <w:tr w:rsidR="009103FB" w:rsidRPr="00D436BA" w14:paraId="1BD00736" w14:textId="77777777" w:rsidTr="00C46C4D">
        <w:tc>
          <w:tcPr>
            <w:tcW w:w="3256" w:type="dxa"/>
          </w:tcPr>
          <w:p w14:paraId="14680A54" w14:textId="77777777" w:rsidR="009103FB" w:rsidRPr="00D436BA" w:rsidRDefault="009103FB" w:rsidP="009103FB">
            <w:pPr>
              <w:spacing w:before="60" w:after="60"/>
            </w:pPr>
            <w:r w:rsidRPr="00D436BA">
              <w:t>1 July 2025 to 30 June 2026</w:t>
            </w:r>
          </w:p>
        </w:tc>
        <w:tc>
          <w:tcPr>
            <w:tcW w:w="2784" w:type="dxa"/>
          </w:tcPr>
          <w:p w14:paraId="7660E7F1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7.0%</w:t>
            </w:r>
          </w:p>
        </w:tc>
        <w:tc>
          <w:tcPr>
            <w:tcW w:w="3020" w:type="dxa"/>
          </w:tcPr>
          <w:p w14:paraId="7EAF07ED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5.0%</w:t>
            </w:r>
          </w:p>
        </w:tc>
      </w:tr>
      <w:tr w:rsidR="009103FB" w:rsidRPr="00D436BA" w14:paraId="0AEA3BEA" w14:textId="77777777" w:rsidTr="00C46C4D">
        <w:tc>
          <w:tcPr>
            <w:tcW w:w="3256" w:type="dxa"/>
          </w:tcPr>
          <w:p w14:paraId="16B15CB1" w14:textId="77777777" w:rsidR="009103FB" w:rsidRPr="00D436BA" w:rsidRDefault="009103FB" w:rsidP="009103FB">
            <w:pPr>
              <w:spacing w:before="60" w:after="60"/>
            </w:pPr>
            <w:r w:rsidRPr="00D436BA">
              <w:t>1 July 2026 to 30 June 2027</w:t>
            </w:r>
          </w:p>
        </w:tc>
        <w:tc>
          <w:tcPr>
            <w:tcW w:w="2784" w:type="dxa"/>
          </w:tcPr>
          <w:p w14:paraId="2D3D9D03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8.0%</w:t>
            </w:r>
          </w:p>
        </w:tc>
        <w:tc>
          <w:tcPr>
            <w:tcW w:w="3020" w:type="dxa"/>
          </w:tcPr>
          <w:p w14:paraId="2FBD4419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6.0%</w:t>
            </w:r>
          </w:p>
        </w:tc>
      </w:tr>
      <w:tr w:rsidR="009103FB" w:rsidRPr="00D436BA" w14:paraId="2171169C" w14:textId="77777777" w:rsidTr="00C46C4D">
        <w:tc>
          <w:tcPr>
            <w:tcW w:w="3256" w:type="dxa"/>
          </w:tcPr>
          <w:p w14:paraId="570948C3" w14:textId="77777777" w:rsidR="009103FB" w:rsidRPr="00D436BA" w:rsidRDefault="009103FB" w:rsidP="009103FB">
            <w:pPr>
              <w:spacing w:before="60" w:after="60"/>
            </w:pPr>
            <w:r w:rsidRPr="00D436BA">
              <w:t>1 July 2027 to 30 June 2028</w:t>
            </w:r>
          </w:p>
        </w:tc>
        <w:tc>
          <w:tcPr>
            <w:tcW w:w="2784" w:type="dxa"/>
          </w:tcPr>
          <w:p w14:paraId="1A3948FE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9.0%</w:t>
            </w:r>
          </w:p>
        </w:tc>
        <w:tc>
          <w:tcPr>
            <w:tcW w:w="3020" w:type="dxa"/>
          </w:tcPr>
          <w:p w14:paraId="22B1FE2F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7.0%</w:t>
            </w:r>
          </w:p>
        </w:tc>
      </w:tr>
      <w:tr w:rsidR="009103FB" w:rsidRPr="00D436BA" w14:paraId="33F880D1" w14:textId="77777777" w:rsidTr="00C46C4D">
        <w:tc>
          <w:tcPr>
            <w:tcW w:w="3256" w:type="dxa"/>
          </w:tcPr>
          <w:p w14:paraId="0A7D27BB" w14:textId="77777777" w:rsidR="009103FB" w:rsidRPr="00D436BA" w:rsidRDefault="009103FB" w:rsidP="009103FB">
            <w:pPr>
              <w:spacing w:before="60" w:after="60"/>
            </w:pPr>
            <w:r w:rsidRPr="00D436BA">
              <w:t>1 July 2028 to 30 June 2029</w:t>
            </w:r>
          </w:p>
        </w:tc>
        <w:tc>
          <w:tcPr>
            <w:tcW w:w="2784" w:type="dxa"/>
          </w:tcPr>
          <w:p w14:paraId="7E69E83A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10.0%</w:t>
            </w:r>
          </w:p>
        </w:tc>
        <w:tc>
          <w:tcPr>
            <w:tcW w:w="3020" w:type="dxa"/>
          </w:tcPr>
          <w:p w14:paraId="3FFEFB39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8.0%</w:t>
            </w:r>
          </w:p>
        </w:tc>
      </w:tr>
      <w:tr w:rsidR="009103FB" w:rsidRPr="00D436BA" w14:paraId="700FC5BE" w14:textId="77777777" w:rsidTr="00C46C4D">
        <w:tc>
          <w:tcPr>
            <w:tcW w:w="3256" w:type="dxa"/>
          </w:tcPr>
          <w:p w14:paraId="5F7293DC" w14:textId="77777777" w:rsidR="009103FB" w:rsidRPr="00D436BA" w:rsidRDefault="009103FB" w:rsidP="009103FB">
            <w:pPr>
              <w:spacing w:before="60" w:after="60"/>
            </w:pPr>
            <w:r w:rsidRPr="00D436BA">
              <w:t>1 July 2029 to 30 June 2030</w:t>
            </w:r>
          </w:p>
        </w:tc>
        <w:tc>
          <w:tcPr>
            <w:tcW w:w="2784" w:type="dxa"/>
          </w:tcPr>
          <w:p w14:paraId="499F5921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11.0%</w:t>
            </w:r>
          </w:p>
        </w:tc>
        <w:tc>
          <w:tcPr>
            <w:tcW w:w="3020" w:type="dxa"/>
          </w:tcPr>
          <w:p w14:paraId="012B2AA6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9.0%</w:t>
            </w:r>
          </w:p>
        </w:tc>
      </w:tr>
      <w:tr w:rsidR="009103FB" w:rsidRPr="00D436BA" w14:paraId="252CF92E" w14:textId="77777777" w:rsidTr="00C46C4D">
        <w:tc>
          <w:tcPr>
            <w:tcW w:w="3256" w:type="dxa"/>
          </w:tcPr>
          <w:p w14:paraId="28220702" w14:textId="77777777" w:rsidR="009103FB" w:rsidRPr="00D436BA" w:rsidRDefault="009103FB" w:rsidP="009103FB">
            <w:pPr>
              <w:spacing w:before="60" w:after="60"/>
            </w:pPr>
            <w:r w:rsidRPr="00D436BA">
              <w:t>1 July 2030 onwards</w:t>
            </w:r>
          </w:p>
        </w:tc>
        <w:tc>
          <w:tcPr>
            <w:tcW w:w="2784" w:type="dxa"/>
          </w:tcPr>
          <w:p w14:paraId="3C7395D8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12.0%</w:t>
            </w:r>
          </w:p>
        </w:tc>
        <w:tc>
          <w:tcPr>
            <w:tcW w:w="3020" w:type="dxa"/>
          </w:tcPr>
          <w:p w14:paraId="39484933" w14:textId="77777777" w:rsidR="009103FB" w:rsidRPr="00D436BA" w:rsidRDefault="009103FB" w:rsidP="009103FB">
            <w:pPr>
              <w:spacing w:before="60" w:after="60"/>
              <w:jc w:val="center"/>
            </w:pPr>
            <w:r w:rsidRPr="00D436BA">
              <w:t>10.0%</w:t>
            </w:r>
          </w:p>
        </w:tc>
      </w:tr>
    </w:tbl>
    <w:p w14:paraId="4BBCE7A1" w14:textId="4F16627F" w:rsidR="005D706C" w:rsidRDefault="005D706C" w:rsidP="00102D4B">
      <w:pPr>
        <w:pStyle w:val="Heading2"/>
      </w:pPr>
      <w:r>
        <w:lastRenderedPageBreak/>
        <w:t>Reporting</w:t>
      </w:r>
    </w:p>
    <w:p w14:paraId="0D316BBE" w14:textId="04516543" w:rsidR="005D706C" w:rsidRPr="001B1326" w:rsidRDefault="00937A8B" w:rsidP="005D706C">
      <w:r w:rsidRPr="001B1326">
        <w:t>S</w:t>
      </w:r>
      <w:r w:rsidR="005D706C" w:rsidRPr="001B1326">
        <w:t xml:space="preserve">uppliers must at minimum report </w:t>
      </w:r>
      <w:r w:rsidR="005D706C" w:rsidRPr="00174192">
        <w:rPr>
          <w:i/>
          <w:iCs/>
        </w:rPr>
        <w:t>quarterly</w:t>
      </w:r>
      <w:r w:rsidR="005D706C" w:rsidRPr="001B1326">
        <w:t xml:space="preserve"> </w:t>
      </w:r>
      <w:r w:rsidR="006A0A62" w:rsidRPr="001B1326">
        <w:t xml:space="preserve">to the relevant entity </w:t>
      </w:r>
      <w:r w:rsidR="00174192">
        <w:t xml:space="preserve">(contracting agency) </w:t>
      </w:r>
      <w:r w:rsidR="005D706C" w:rsidRPr="001B1326">
        <w:t>on their progress</w:t>
      </w:r>
      <w:r w:rsidR="00027250" w:rsidRPr="00027250">
        <w:t xml:space="preserve"> against targets</w:t>
      </w:r>
      <w:r w:rsidR="005D706C" w:rsidRPr="001B1326">
        <w:t xml:space="preserve">. </w:t>
      </w:r>
    </w:p>
    <w:p w14:paraId="1443FA12" w14:textId="1E7EC350" w:rsidR="00937A8B" w:rsidRDefault="00937A8B" w:rsidP="005D706C">
      <w:r>
        <w:t xml:space="preserve">Relevant entities </w:t>
      </w:r>
      <w:r w:rsidR="00B619EF">
        <w:t>are</w:t>
      </w:r>
      <w:r>
        <w:t xml:space="preserve"> required to report </w:t>
      </w:r>
      <w:r w:rsidR="00174192">
        <w:t xml:space="preserve">to </w:t>
      </w:r>
      <w:r w:rsidR="6A29F8E6">
        <w:t xml:space="preserve">the </w:t>
      </w:r>
      <w:r w:rsidR="00AA1C8E">
        <w:t xml:space="preserve">Department of Employment and Workplace Relations (DEWR) </w:t>
      </w:r>
      <w:r w:rsidR="00174192">
        <w:t xml:space="preserve">every </w:t>
      </w:r>
      <w:r w:rsidR="00174192" w:rsidRPr="00174192">
        <w:rPr>
          <w:i/>
          <w:iCs/>
        </w:rPr>
        <w:t>6 months</w:t>
      </w:r>
      <w:r w:rsidR="00174192">
        <w:t xml:space="preserve"> </w:t>
      </w:r>
      <w:r>
        <w:t xml:space="preserve">on the progress of all contracts with Skills Guarantee targets. </w:t>
      </w:r>
    </w:p>
    <w:p w14:paraId="0E68F3E0" w14:textId="384D14D4" w:rsidR="00865206" w:rsidRPr="001B1326" w:rsidRDefault="00865206" w:rsidP="00865206">
      <w:r>
        <w:t xml:space="preserve">The reporting provisions of the PCP have been designed to support annual reviews of the </w:t>
      </w:r>
      <w:r w:rsidRPr="001B1326">
        <w:t xml:space="preserve">Skills Guarantee targets and financial thresholds. </w:t>
      </w:r>
      <w:r w:rsidRPr="00865206">
        <w:t>Reporting data will also be used in annual reviews to assess the overall success of eligible projects in meeting Skills Guarantee targets and assess the appropriateness of targets and thresholds.</w:t>
      </w:r>
    </w:p>
    <w:p w14:paraId="319C62A8" w14:textId="001789F1" w:rsidR="00582693" w:rsidRDefault="00582693" w:rsidP="00102D4B">
      <w:pPr>
        <w:pStyle w:val="Heading2"/>
      </w:pPr>
      <w:r>
        <w:t xml:space="preserve">Consultation informed the policy’s </w:t>
      </w:r>
      <w:proofErr w:type="gramStart"/>
      <w:r>
        <w:t>design</w:t>
      </w:r>
      <w:proofErr w:type="gramEnd"/>
    </w:p>
    <w:p w14:paraId="2D8FEC17" w14:textId="221386AB" w:rsidR="00566C85" w:rsidRDefault="00F22827" w:rsidP="00566C85">
      <w:r>
        <w:t xml:space="preserve">To inform the policy’s design, </w:t>
      </w:r>
      <w:r w:rsidR="00566C85">
        <w:t xml:space="preserve">DEWR engaged with Commonwealth agencies </w:t>
      </w:r>
      <w:r w:rsidR="00EF76AA">
        <w:t>a</w:t>
      </w:r>
      <w:r>
        <w:t xml:space="preserve">s well as </w:t>
      </w:r>
      <w:r w:rsidR="00566C85">
        <w:t xml:space="preserve">representatives from industry, unions, employers, peak bodies, state and territory governments, women’s </w:t>
      </w:r>
      <w:proofErr w:type="gramStart"/>
      <w:r w:rsidR="00566C85">
        <w:t>organisations</w:t>
      </w:r>
      <w:proofErr w:type="gramEnd"/>
      <w:r w:rsidR="00566C85">
        <w:t xml:space="preserve"> and academics. </w:t>
      </w:r>
    </w:p>
    <w:p w14:paraId="5781A477" w14:textId="388D08F4" w:rsidR="00582693" w:rsidRDefault="00582693" w:rsidP="00582693">
      <w:r>
        <w:t xml:space="preserve">In late 2022, </w:t>
      </w:r>
      <w:r w:rsidR="00AA1C8E">
        <w:t xml:space="preserve">DEWR </w:t>
      </w:r>
      <w:r>
        <w:t>engaged with over 100 organisations and professionals on the design and implementation of the Skills Guarantee. Consultation included a discussion paper on key policy elements and a series of targeted meetings. Understanding the perspectives of those engaged in government</w:t>
      </w:r>
      <w:r w:rsidR="00BE29BD">
        <w:t>-</w:t>
      </w:r>
      <w:r>
        <w:t>funded projects, from the organisations tendering for contracts through to those delivering works on the ground, was critical to the development of the key policy settings for the Skills Guarantee.</w:t>
      </w:r>
    </w:p>
    <w:p w14:paraId="0C720B3D" w14:textId="622216BA" w:rsidR="00566C85" w:rsidRDefault="00A81880" w:rsidP="00566C85">
      <w:r>
        <w:t xml:space="preserve">During </w:t>
      </w:r>
      <w:r w:rsidR="00582693">
        <w:t xml:space="preserve">2023, DEWR </w:t>
      </w:r>
      <w:r w:rsidR="000163C9">
        <w:t>consulted across Government</w:t>
      </w:r>
      <w:r w:rsidR="000E5A4C">
        <w:t xml:space="preserve"> and </w:t>
      </w:r>
      <w:r w:rsidR="00582693">
        <w:t xml:space="preserve">conducted 2 rounds of public consultation on the PCP. </w:t>
      </w:r>
      <w:r w:rsidR="00566C85">
        <w:t xml:space="preserve">DEWR revised the PCP in line with feedback from stakeholders following each round of public consultation to ensure </w:t>
      </w:r>
      <w:r w:rsidR="00E45CCC">
        <w:t>it is</w:t>
      </w:r>
      <w:r w:rsidR="00566C85">
        <w:t xml:space="preserve"> practical, user-friendly and support</w:t>
      </w:r>
      <w:r w:rsidR="00E45CCC">
        <w:t>s</w:t>
      </w:r>
      <w:r w:rsidR="00566C85">
        <w:t xml:space="preserve"> implementation.</w:t>
      </w:r>
    </w:p>
    <w:p w14:paraId="47CD1434" w14:textId="07660AD4" w:rsidR="00B432E4" w:rsidRDefault="00B432E4" w:rsidP="00102D4B">
      <w:pPr>
        <w:pStyle w:val="Heading2"/>
      </w:pPr>
      <w:r>
        <w:t>Other Skills Guarantee implementation approaches</w:t>
      </w:r>
    </w:p>
    <w:p w14:paraId="380805BE" w14:textId="16009C6D" w:rsidR="00B432E4" w:rsidRDefault="00B432E4" w:rsidP="00B432E4">
      <w:r>
        <w:t>While the Skills Guarantee PCP only appl</w:t>
      </w:r>
      <w:r w:rsidR="002D778B">
        <w:t>ies</w:t>
      </w:r>
      <w:r>
        <w:t xml:space="preserve"> to direct Commonwealth procurements in </w:t>
      </w:r>
      <w:r w:rsidR="009010CB">
        <w:t>c</w:t>
      </w:r>
      <w:r>
        <w:t xml:space="preserve">onstruction and ICT, </w:t>
      </w:r>
      <w:r w:rsidR="00964901">
        <w:t>DEWR</w:t>
      </w:r>
      <w:r w:rsidR="00660DEA" w:rsidRPr="00660DEA">
        <w:t xml:space="preserve"> are also working across the Government to apply the Skills Guarantee </w:t>
      </w:r>
      <w:proofErr w:type="gramStart"/>
      <w:r w:rsidR="00660DEA" w:rsidRPr="00660DEA">
        <w:t>to:</w:t>
      </w:r>
      <w:r>
        <w:t>:</w:t>
      </w:r>
      <w:proofErr w:type="gramEnd"/>
    </w:p>
    <w:p w14:paraId="26D110D5" w14:textId="5D713779" w:rsidR="00B432E4" w:rsidRDefault="00B432E4" w:rsidP="00A2797C">
      <w:pPr>
        <w:pStyle w:val="ListBullet"/>
        <w:numPr>
          <w:ilvl w:val="0"/>
          <w:numId w:val="20"/>
        </w:numPr>
        <w:ind w:left="357" w:hanging="357"/>
      </w:pPr>
      <w:r>
        <w:t>the National Housing Accord</w:t>
      </w:r>
      <w:r w:rsidR="00A12EA6">
        <w:t xml:space="preserve"> (managed by Treasury)</w:t>
      </w:r>
    </w:p>
    <w:p w14:paraId="3D7F87CE" w14:textId="06010656" w:rsidR="00B432E4" w:rsidRDefault="00B432E4" w:rsidP="00A2797C">
      <w:pPr>
        <w:pStyle w:val="ListBullet"/>
        <w:numPr>
          <w:ilvl w:val="0"/>
          <w:numId w:val="20"/>
        </w:numPr>
        <w:ind w:left="357" w:hanging="357"/>
      </w:pPr>
      <w:r>
        <w:t>the 2032 Olympic and Paralympic Games</w:t>
      </w:r>
      <w:r w:rsidR="00A12EA6">
        <w:t xml:space="preserve"> (</w:t>
      </w:r>
      <w:r w:rsidR="009D25B5">
        <w:t xml:space="preserve">managed by </w:t>
      </w:r>
      <w:r w:rsidR="006C6E69">
        <w:t xml:space="preserve">the </w:t>
      </w:r>
      <w:r w:rsidR="00797E9E">
        <w:t xml:space="preserve">Department of Infrastructure, Transport, Regional Development, </w:t>
      </w:r>
      <w:proofErr w:type="gramStart"/>
      <w:r w:rsidR="00797E9E">
        <w:t>Communications</w:t>
      </w:r>
      <w:proofErr w:type="gramEnd"/>
      <w:r w:rsidR="00797E9E">
        <w:t xml:space="preserve"> and the Arts</w:t>
      </w:r>
      <w:r w:rsidR="00A12EA6">
        <w:t>)</w:t>
      </w:r>
    </w:p>
    <w:p w14:paraId="103D8A8A" w14:textId="232F210A" w:rsidR="00897431" w:rsidRDefault="00B432E4" w:rsidP="00A2797C">
      <w:pPr>
        <w:pStyle w:val="ListBullet"/>
        <w:numPr>
          <w:ilvl w:val="0"/>
          <w:numId w:val="20"/>
        </w:numPr>
        <w:ind w:left="357" w:hanging="357"/>
      </w:pPr>
      <w:r>
        <w:t xml:space="preserve">the </w:t>
      </w:r>
      <w:r w:rsidR="00DC63EA" w:rsidRPr="00DC63EA">
        <w:t xml:space="preserve">Federation Funding Agreement Schedule on land transport infrastructure </w:t>
      </w:r>
      <w:r w:rsidR="00A12EA6">
        <w:t>(</w:t>
      </w:r>
      <w:r w:rsidR="00797E9E">
        <w:t xml:space="preserve">managed by </w:t>
      </w:r>
      <w:r w:rsidR="006C6E69">
        <w:t xml:space="preserve">the </w:t>
      </w:r>
      <w:r w:rsidR="00797E9E">
        <w:t xml:space="preserve">Department of Infrastructure, Transport, Regional Development, </w:t>
      </w:r>
      <w:proofErr w:type="gramStart"/>
      <w:r w:rsidR="00797E9E">
        <w:t>Communications</w:t>
      </w:r>
      <w:proofErr w:type="gramEnd"/>
      <w:r w:rsidR="00797E9E">
        <w:t xml:space="preserve"> and the Arts</w:t>
      </w:r>
      <w:r w:rsidR="00A12EA6">
        <w:t>)</w:t>
      </w:r>
      <w:r>
        <w:t>.</w:t>
      </w:r>
    </w:p>
    <w:p w14:paraId="4B8E60B1" w14:textId="77777777" w:rsidR="00F86884" w:rsidRDefault="00F86884" w:rsidP="00F86884">
      <w:pPr>
        <w:pStyle w:val="Heading2"/>
      </w:pPr>
      <w:r>
        <w:t xml:space="preserve">Need more information? </w:t>
      </w:r>
    </w:p>
    <w:p w14:paraId="302051D3" w14:textId="697AE0AD" w:rsidR="00F86884" w:rsidRDefault="00F86884" w:rsidP="00F23065">
      <w:pPr>
        <w:pStyle w:val="ListBullet"/>
        <w:numPr>
          <w:ilvl w:val="0"/>
          <w:numId w:val="20"/>
        </w:numPr>
        <w:ind w:left="357" w:hanging="357"/>
      </w:pPr>
      <w:r>
        <w:t>Visit t</w:t>
      </w:r>
      <w:r w:rsidRPr="00DB4D6C">
        <w:rPr>
          <w:color w:val="000000" w:themeColor="text1"/>
        </w:rPr>
        <w:t xml:space="preserve">he Skills Guarantee website: </w:t>
      </w:r>
      <w:hyperlink r:id="rId16">
        <w:r w:rsidRPr="10FAAEFA">
          <w:rPr>
            <w:rStyle w:val="Hyperlink"/>
          </w:rPr>
          <w:t>www.dewr.gov.au/australian-skills-guarantee</w:t>
        </w:r>
      </w:hyperlink>
      <w:r w:rsidRPr="00DB4D6C">
        <w:rPr>
          <w:color w:val="000000" w:themeColor="text1"/>
        </w:rPr>
        <w:t xml:space="preserve"> </w:t>
      </w:r>
    </w:p>
    <w:p w14:paraId="62EFD83A" w14:textId="3E46EA15" w:rsidR="00F86884" w:rsidRDefault="00F86884" w:rsidP="00F23065">
      <w:pPr>
        <w:pStyle w:val="ListBullet"/>
        <w:numPr>
          <w:ilvl w:val="0"/>
          <w:numId w:val="20"/>
        </w:numPr>
        <w:ind w:left="357" w:hanging="357"/>
      </w:pPr>
      <w:r>
        <w:t>Read the Australian Skills Guarantee Procurement Connected Policy</w:t>
      </w:r>
      <w:r w:rsidR="00F23065">
        <w:t xml:space="preserve"> </w:t>
      </w:r>
    </w:p>
    <w:p w14:paraId="3720598C" w14:textId="40E7FCB4" w:rsidR="00EC78A6" w:rsidRDefault="00F86884" w:rsidP="00EC78A6">
      <w:pPr>
        <w:pStyle w:val="ListBullet"/>
        <w:numPr>
          <w:ilvl w:val="0"/>
          <w:numId w:val="20"/>
        </w:numPr>
        <w:ind w:left="357" w:hanging="357"/>
      </w:pPr>
      <w:r>
        <w:t>Email</w:t>
      </w:r>
      <w:r w:rsidR="00F23065">
        <w:t>:</w:t>
      </w:r>
      <w:r>
        <w:t xml:space="preserve"> </w:t>
      </w:r>
      <w:hyperlink r:id="rId17" w:history="1">
        <w:r w:rsidRPr="00B306CC">
          <w:rPr>
            <w:rStyle w:val="Hyperlink"/>
          </w:rPr>
          <w:t>ASG@dewr.gov.au</w:t>
        </w:r>
      </w:hyperlink>
    </w:p>
    <w:sectPr w:rsidR="00EC78A6" w:rsidSect="00AD5D21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2144F" w14:textId="77777777" w:rsidR="006D1A4F" w:rsidRDefault="006D1A4F" w:rsidP="0051352E">
      <w:pPr>
        <w:spacing w:after="0" w:line="240" w:lineRule="auto"/>
      </w:pPr>
      <w:r>
        <w:separator/>
      </w:r>
    </w:p>
  </w:endnote>
  <w:endnote w:type="continuationSeparator" w:id="0">
    <w:p w14:paraId="5CC3FA5A" w14:textId="77777777" w:rsidR="006D1A4F" w:rsidRDefault="006D1A4F" w:rsidP="0051352E">
      <w:pPr>
        <w:spacing w:after="0" w:line="240" w:lineRule="auto"/>
      </w:pPr>
      <w:r>
        <w:continuationSeparator/>
      </w:r>
    </w:p>
  </w:endnote>
  <w:endnote w:type="continuationNotice" w:id="1">
    <w:p w14:paraId="6C712D31" w14:textId="77777777" w:rsidR="006D1A4F" w:rsidRDefault="006D1A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C0874" w14:textId="7BE14C40" w:rsidR="00662A42" w:rsidRDefault="00D72D85" w:rsidP="004E5F12">
    <w:pPr>
      <w:pStyle w:val="Footer"/>
      <w:tabs>
        <w:tab w:val="clear" w:pos="4513"/>
        <w:tab w:val="clear" w:pos="9026"/>
        <w:tab w:val="right" w:pos="9070"/>
      </w:tabs>
    </w:pPr>
    <w:r>
      <w:fldChar w:fldCharType="begin"/>
    </w:r>
    <w:r>
      <w:instrText>FILENAME \* MERGEFORMAT</w:instrText>
    </w:r>
    <w:r>
      <w:fldChar w:fldCharType="separate"/>
    </w:r>
    <w:r>
      <w:rPr>
        <w:noProof/>
      </w:rPr>
      <w:t>Australian Skills Guarantee - Fact sheet.docx</w:t>
    </w:r>
    <w:r>
      <w:rPr>
        <w:noProof/>
      </w:rPr>
      <w:fldChar w:fldCharType="end"/>
    </w:r>
    <w:r w:rsidR="004E5F12">
      <w:t xml:space="preserve"> </w:t>
    </w:r>
    <w:r w:rsidR="004E5F12">
      <w:tab/>
    </w:r>
    <w:sdt>
      <w:sdtPr>
        <w:id w:val="-10631742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E5F12">
          <w:fldChar w:fldCharType="begin"/>
        </w:r>
        <w:r w:rsidR="004E5F12">
          <w:instrText xml:space="preserve"> PAGE   \* MERGEFORMAT </w:instrText>
        </w:r>
        <w:r w:rsidR="004E5F12">
          <w:fldChar w:fldCharType="separate"/>
        </w:r>
        <w:r w:rsidR="004E5F12">
          <w:t>1</w:t>
        </w:r>
        <w:r w:rsidR="004E5F12">
          <w:rPr>
            <w:noProof/>
          </w:rPr>
          <w:fldChar w:fldCharType="end"/>
        </w:r>
      </w:sdtContent>
    </w:sdt>
    <w:r w:rsidR="00662A42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CAE4294" wp14:editId="27059DC9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0A5BC50B" id="Rectangle 5" o:spid="_x0000_s1026" alt="&quot;&quot;" style="position:absolute;margin-left:0;margin-top:33.05pt;width:595.3pt;height:15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6251" w14:textId="1A9B10DB" w:rsidR="00662A42" w:rsidRDefault="00D72D85" w:rsidP="004E5F12">
    <w:pPr>
      <w:pStyle w:val="Footer"/>
      <w:tabs>
        <w:tab w:val="clear" w:pos="4513"/>
        <w:tab w:val="clear" w:pos="9026"/>
        <w:tab w:val="right" w:pos="9070"/>
      </w:tabs>
    </w:pPr>
    <w:r>
      <w:fldChar w:fldCharType="begin"/>
    </w:r>
    <w:r>
      <w:instrText>FILENAME \* MERGEFORMAT</w:instrText>
    </w:r>
    <w:r>
      <w:fldChar w:fldCharType="separate"/>
    </w:r>
    <w:r>
      <w:rPr>
        <w:noProof/>
      </w:rPr>
      <w:t>Australian Skills Guarantee - Fact sheet.docx</w:t>
    </w:r>
    <w:r>
      <w:rPr>
        <w:noProof/>
      </w:rPr>
      <w:fldChar w:fldCharType="end"/>
    </w:r>
    <w:r w:rsidR="001C69DB">
      <w:tab/>
    </w:r>
    <w:sdt>
      <w:sdtPr>
        <w:id w:val="-17503416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C69DB">
          <w:fldChar w:fldCharType="begin"/>
        </w:r>
        <w:r w:rsidR="001C69DB">
          <w:instrText xml:space="preserve"> PAGE   \* MERGEFORMAT </w:instrText>
        </w:r>
        <w:r w:rsidR="001C69DB">
          <w:fldChar w:fldCharType="separate"/>
        </w:r>
        <w:r w:rsidR="001C69DB">
          <w:t>1</w:t>
        </w:r>
        <w:r w:rsidR="001C69DB">
          <w:rPr>
            <w:noProof/>
          </w:rPr>
          <w:fldChar w:fldCharType="end"/>
        </w:r>
      </w:sdtContent>
    </w:sdt>
    <w:r w:rsidR="00662A4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54C256D1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609D6" w14:textId="77777777" w:rsidR="006D1A4F" w:rsidRDefault="006D1A4F" w:rsidP="0051352E">
      <w:pPr>
        <w:spacing w:after="0" w:line="240" w:lineRule="auto"/>
      </w:pPr>
      <w:r>
        <w:separator/>
      </w:r>
    </w:p>
  </w:footnote>
  <w:footnote w:type="continuationSeparator" w:id="0">
    <w:p w14:paraId="0445AFDC" w14:textId="77777777" w:rsidR="006D1A4F" w:rsidRDefault="006D1A4F" w:rsidP="0051352E">
      <w:pPr>
        <w:spacing w:after="0" w:line="240" w:lineRule="auto"/>
      </w:pPr>
      <w:r>
        <w:continuationSeparator/>
      </w:r>
    </w:p>
  </w:footnote>
  <w:footnote w:type="continuationNotice" w:id="1">
    <w:p w14:paraId="1DA01C04" w14:textId="77777777" w:rsidR="006D1A4F" w:rsidRDefault="006D1A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43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6E6BDA"/>
    <w:multiLevelType w:val="hybridMultilevel"/>
    <w:tmpl w:val="94B0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53E4C"/>
    <w:multiLevelType w:val="multilevel"/>
    <w:tmpl w:val="F1481754"/>
    <w:name w:val="List number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686117"/>
    <w:multiLevelType w:val="hybridMultilevel"/>
    <w:tmpl w:val="1666A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E1A80"/>
    <w:multiLevelType w:val="hybridMultilevel"/>
    <w:tmpl w:val="D374A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2E15"/>
    <w:multiLevelType w:val="hybridMultilevel"/>
    <w:tmpl w:val="283E5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15F7C"/>
    <w:multiLevelType w:val="hybridMultilevel"/>
    <w:tmpl w:val="C67C0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168A8"/>
    <w:multiLevelType w:val="hybridMultilevel"/>
    <w:tmpl w:val="A21EC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D2A62"/>
    <w:multiLevelType w:val="hybridMultilevel"/>
    <w:tmpl w:val="5A82B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60396">
    <w:abstractNumId w:val="9"/>
  </w:num>
  <w:num w:numId="2" w16cid:durableId="342510552">
    <w:abstractNumId w:val="7"/>
  </w:num>
  <w:num w:numId="3" w16cid:durableId="1594895232">
    <w:abstractNumId w:val="6"/>
  </w:num>
  <w:num w:numId="4" w16cid:durableId="1820461966">
    <w:abstractNumId w:val="5"/>
  </w:num>
  <w:num w:numId="5" w16cid:durableId="1501845443">
    <w:abstractNumId w:val="4"/>
  </w:num>
  <w:num w:numId="6" w16cid:durableId="729040880">
    <w:abstractNumId w:val="8"/>
  </w:num>
  <w:num w:numId="7" w16cid:durableId="278419321">
    <w:abstractNumId w:val="3"/>
  </w:num>
  <w:num w:numId="8" w16cid:durableId="574701396">
    <w:abstractNumId w:val="2"/>
  </w:num>
  <w:num w:numId="9" w16cid:durableId="2082634113">
    <w:abstractNumId w:val="1"/>
  </w:num>
  <w:num w:numId="10" w16cid:durableId="806321090">
    <w:abstractNumId w:val="0"/>
  </w:num>
  <w:num w:numId="11" w16cid:durableId="63377158">
    <w:abstractNumId w:val="10"/>
  </w:num>
  <w:num w:numId="12" w16cid:durableId="1523323380">
    <w:abstractNumId w:val="12"/>
  </w:num>
  <w:num w:numId="13" w16cid:durableId="933829800">
    <w:abstractNumId w:val="13"/>
  </w:num>
  <w:num w:numId="14" w16cid:durableId="632831506">
    <w:abstractNumId w:val="19"/>
  </w:num>
  <w:num w:numId="15" w16cid:durableId="115031856">
    <w:abstractNumId w:val="17"/>
  </w:num>
  <w:num w:numId="16" w16cid:durableId="1989940293">
    <w:abstractNumId w:val="15"/>
  </w:num>
  <w:num w:numId="17" w16cid:durableId="999650623">
    <w:abstractNumId w:val="16"/>
  </w:num>
  <w:num w:numId="18" w16cid:durableId="1846507105">
    <w:abstractNumId w:val="11"/>
  </w:num>
  <w:num w:numId="19" w16cid:durableId="1637880412">
    <w:abstractNumId w:val="18"/>
  </w:num>
  <w:num w:numId="20" w16cid:durableId="1863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0002B"/>
    <w:rsid w:val="000137B0"/>
    <w:rsid w:val="000163C9"/>
    <w:rsid w:val="00017137"/>
    <w:rsid w:val="0002625F"/>
    <w:rsid w:val="00027250"/>
    <w:rsid w:val="00052BBC"/>
    <w:rsid w:val="0005456F"/>
    <w:rsid w:val="00054923"/>
    <w:rsid w:val="00067075"/>
    <w:rsid w:val="00067D6F"/>
    <w:rsid w:val="00071169"/>
    <w:rsid w:val="00073308"/>
    <w:rsid w:val="00074D42"/>
    <w:rsid w:val="00075226"/>
    <w:rsid w:val="000928B8"/>
    <w:rsid w:val="000A453D"/>
    <w:rsid w:val="000C2E90"/>
    <w:rsid w:val="000C37BA"/>
    <w:rsid w:val="000D132D"/>
    <w:rsid w:val="000D3290"/>
    <w:rsid w:val="000D6954"/>
    <w:rsid w:val="000E5A4C"/>
    <w:rsid w:val="00102D4B"/>
    <w:rsid w:val="00104013"/>
    <w:rsid w:val="00106231"/>
    <w:rsid w:val="00111085"/>
    <w:rsid w:val="00115B94"/>
    <w:rsid w:val="001326CC"/>
    <w:rsid w:val="001332E6"/>
    <w:rsid w:val="00133CA7"/>
    <w:rsid w:val="00144DF2"/>
    <w:rsid w:val="00150929"/>
    <w:rsid w:val="001513BA"/>
    <w:rsid w:val="00153538"/>
    <w:rsid w:val="00157066"/>
    <w:rsid w:val="00157F35"/>
    <w:rsid w:val="00162466"/>
    <w:rsid w:val="00162AD5"/>
    <w:rsid w:val="001647C8"/>
    <w:rsid w:val="00164EDA"/>
    <w:rsid w:val="00173BA9"/>
    <w:rsid w:val="00174192"/>
    <w:rsid w:val="00182AB9"/>
    <w:rsid w:val="00190CC2"/>
    <w:rsid w:val="00197579"/>
    <w:rsid w:val="001A7EA8"/>
    <w:rsid w:val="001B1326"/>
    <w:rsid w:val="001C3C78"/>
    <w:rsid w:val="001C69DB"/>
    <w:rsid w:val="001D05B2"/>
    <w:rsid w:val="001D790F"/>
    <w:rsid w:val="001D7EDA"/>
    <w:rsid w:val="001E0880"/>
    <w:rsid w:val="001E2202"/>
    <w:rsid w:val="001E7CC0"/>
    <w:rsid w:val="00201E5F"/>
    <w:rsid w:val="00204FD3"/>
    <w:rsid w:val="00217DFB"/>
    <w:rsid w:val="00217EAB"/>
    <w:rsid w:val="0022498C"/>
    <w:rsid w:val="0022626C"/>
    <w:rsid w:val="00244E8A"/>
    <w:rsid w:val="00260FF4"/>
    <w:rsid w:val="002721ED"/>
    <w:rsid w:val="002724D0"/>
    <w:rsid w:val="00284983"/>
    <w:rsid w:val="00286B0B"/>
    <w:rsid w:val="00286F81"/>
    <w:rsid w:val="00287A6D"/>
    <w:rsid w:val="00291FE0"/>
    <w:rsid w:val="002A7840"/>
    <w:rsid w:val="002B1CE5"/>
    <w:rsid w:val="002B7A9E"/>
    <w:rsid w:val="002C2A43"/>
    <w:rsid w:val="002D0149"/>
    <w:rsid w:val="002D778B"/>
    <w:rsid w:val="002E2F5D"/>
    <w:rsid w:val="002E4CCB"/>
    <w:rsid w:val="002F0433"/>
    <w:rsid w:val="002F1800"/>
    <w:rsid w:val="002F4DB3"/>
    <w:rsid w:val="002F69CC"/>
    <w:rsid w:val="003032B0"/>
    <w:rsid w:val="00304228"/>
    <w:rsid w:val="00312F25"/>
    <w:rsid w:val="003261C1"/>
    <w:rsid w:val="00333CE0"/>
    <w:rsid w:val="00350FFA"/>
    <w:rsid w:val="00353DD1"/>
    <w:rsid w:val="00354FBA"/>
    <w:rsid w:val="00365F07"/>
    <w:rsid w:val="00371DEE"/>
    <w:rsid w:val="00380906"/>
    <w:rsid w:val="0038106C"/>
    <w:rsid w:val="00382F07"/>
    <w:rsid w:val="00382F37"/>
    <w:rsid w:val="0038367F"/>
    <w:rsid w:val="003854E1"/>
    <w:rsid w:val="003869DB"/>
    <w:rsid w:val="003924D6"/>
    <w:rsid w:val="00395592"/>
    <w:rsid w:val="003A0690"/>
    <w:rsid w:val="003A15E2"/>
    <w:rsid w:val="003A2EFF"/>
    <w:rsid w:val="003A3E84"/>
    <w:rsid w:val="003A5D89"/>
    <w:rsid w:val="003C70C2"/>
    <w:rsid w:val="003D3B7A"/>
    <w:rsid w:val="003D7B9E"/>
    <w:rsid w:val="003E5F32"/>
    <w:rsid w:val="00403C35"/>
    <w:rsid w:val="004143ED"/>
    <w:rsid w:val="00414677"/>
    <w:rsid w:val="0041551B"/>
    <w:rsid w:val="00416CA7"/>
    <w:rsid w:val="00423721"/>
    <w:rsid w:val="00425730"/>
    <w:rsid w:val="00431FAD"/>
    <w:rsid w:val="0043759A"/>
    <w:rsid w:val="0044248F"/>
    <w:rsid w:val="00443FCE"/>
    <w:rsid w:val="0044779D"/>
    <w:rsid w:val="00452432"/>
    <w:rsid w:val="00453C04"/>
    <w:rsid w:val="00456BD4"/>
    <w:rsid w:val="00476B64"/>
    <w:rsid w:val="00482BD5"/>
    <w:rsid w:val="00487288"/>
    <w:rsid w:val="00497764"/>
    <w:rsid w:val="004A05C3"/>
    <w:rsid w:val="004A4CD4"/>
    <w:rsid w:val="004E4405"/>
    <w:rsid w:val="004E4D33"/>
    <w:rsid w:val="004E5F12"/>
    <w:rsid w:val="004F387F"/>
    <w:rsid w:val="00507189"/>
    <w:rsid w:val="0051352E"/>
    <w:rsid w:val="00517DA7"/>
    <w:rsid w:val="00520A33"/>
    <w:rsid w:val="005257C0"/>
    <w:rsid w:val="00526252"/>
    <w:rsid w:val="00527AE4"/>
    <w:rsid w:val="00534395"/>
    <w:rsid w:val="0055569D"/>
    <w:rsid w:val="005558DE"/>
    <w:rsid w:val="00566C85"/>
    <w:rsid w:val="00570AAC"/>
    <w:rsid w:val="00573298"/>
    <w:rsid w:val="0057500C"/>
    <w:rsid w:val="0058152B"/>
    <w:rsid w:val="00582693"/>
    <w:rsid w:val="005838FF"/>
    <w:rsid w:val="00592D7F"/>
    <w:rsid w:val="00593464"/>
    <w:rsid w:val="00596A88"/>
    <w:rsid w:val="005A2FB3"/>
    <w:rsid w:val="005A6E7E"/>
    <w:rsid w:val="005B1134"/>
    <w:rsid w:val="005B2C25"/>
    <w:rsid w:val="005D2459"/>
    <w:rsid w:val="005D6A62"/>
    <w:rsid w:val="005D706C"/>
    <w:rsid w:val="005D7CE7"/>
    <w:rsid w:val="005E6515"/>
    <w:rsid w:val="005E7BA4"/>
    <w:rsid w:val="005F1C35"/>
    <w:rsid w:val="0060590F"/>
    <w:rsid w:val="00610A38"/>
    <w:rsid w:val="00617313"/>
    <w:rsid w:val="00630DDF"/>
    <w:rsid w:val="00635FCE"/>
    <w:rsid w:val="0063632C"/>
    <w:rsid w:val="00643C9A"/>
    <w:rsid w:val="00652DF8"/>
    <w:rsid w:val="0065506B"/>
    <w:rsid w:val="00657720"/>
    <w:rsid w:val="00657DA7"/>
    <w:rsid w:val="00660DEA"/>
    <w:rsid w:val="00662A42"/>
    <w:rsid w:val="00665E80"/>
    <w:rsid w:val="00667F61"/>
    <w:rsid w:val="00672148"/>
    <w:rsid w:val="00672290"/>
    <w:rsid w:val="006775FC"/>
    <w:rsid w:val="0068132C"/>
    <w:rsid w:val="0068442E"/>
    <w:rsid w:val="00684A21"/>
    <w:rsid w:val="00686BA5"/>
    <w:rsid w:val="00687280"/>
    <w:rsid w:val="00695F29"/>
    <w:rsid w:val="006974B4"/>
    <w:rsid w:val="006A0A62"/>
    <w:rsid w:val="006A1120"/>
    <w:rsid w:val="006A11CF"/>
    <w:rsid w:val="006A287C"/>
    <w:rsid w:val="006A573A"/>
    <w:rsid w:val="006B0B39"/>
    <w:rsid w:val="006B5E33"/>
    <w:rsid w:val="006C6E69"/>
    <w:rsid w:val="006D0452"/>
    <w:rsid w:val="006D154E"/>
    <w:rsid w:val="006D1A4F"/>
    <w:rsid w:val="006E4E62"/>
    <w:rsid w:val="006E5D6E"/>
    <w:rsid w:val="006E63FB"/>
    <w:rsid w:val="006F5A06"/>
    <w:rsid w:val="006F7BE7"/>
    <w:rsid w:val="00705AA6"/>
    <w:rsid w:val="00721B03"/>
    <w:rsid w:val="0074026D"/>
    <w:rsid w:val="007570DC"/>
    <w:rsid w:val="007940B7"/>
    <w:rsid w:val="00795608"/>
    <w:rsid w:val="00797E9E"/>
    <w:rsid w:val="007B1ABA"/>
    <w:rsid w:val="007B3490"/>
    <w:rsid w:val="007B74C5"/>
    <w:rsid w:val="007C3566"/>
    <w:rsid w:val="007C358C"/>
    <w:rsid w:val="007C3727"/>
    <w:rsid w:val="007C7CCC"/>
    <w:rsid w:val="007D1EF5"/>
    <w:rsid w:val="00800A39"/>
    <w:rsid w:val="00814DD3"/>
    <w:rsid w:val="00817622"/>
    <w:rsid w:val="00820579"/>
    <w:rsid w:val="00824B3D"/>
    <w:rsid w:val="00825BA7"/>
    <w:rsid w:val="00827040"/>
    <w:rsid w:val="008275F0"/>
    <w:rsid w:val="00836E32"/>
    <w:rsid w:val="0083702C"/>
    <w:rsid w:val="00842B49"/>
    <w:rsid w:val="00842C50"/>
    <w:rsid w:val="0084452B"/>
    <w:rsid w:val="00844F31"/>
    <w:rsid w:val="00846E77"/>
    <w:rsid w:val="008507C1"/>
    <w:rsid w:val="00853F4F"/>
    <w:rsid w:val="00861934"/>
    <w:rsid w:val="00863E37"/>
    <w:rsid w:val="0086410A"/>
    <w:rsid w:val="00865206"/>
    <w:rsid w:val="008653C2"/>
    <w:rsid w:val="00866DE7"/>
    <w:rsid w:val="008729FE"/>
    <w:rsid w:val="0088078B"/>
    <w:rsid w:val="00886C1D"/>
    <w:rsid w:val="008961E5"/>
    <w:rsid w:val="008966DC"/>
    <w:rsid w:val="00897431"/>
    <w:rsid w:val="008A11E2"/>
    <w:rsid w:val="008B0E54"/>
    <w:rsid w:val="008B27CF"/>
    <w:rsid w:val="008C103F"/>
    <w:rsid w:val="008C349E"/>
    <w:rsid w:val="008D289B"/>
    <w:rsid w:val="008D787E"/>
    <w:rsid w:val="008E0426"/>
    <w:rsid w:val="008E22BA"/>
    <w:rsid w:val="008E3201"/>
    <w:rsid w:val="008E7C49"/>
    <w:rsid w:val="008F0AC9"/>
    <w:rsid w:val="008F1E84"/>
    <w:rsid w:val="008F3128"/>
    <w:rsid w:val="008F3133"/>
    <w:rsid w:val="009006FA"/>
    <w:rsid w:val="00900F7F"/>
    <w:rsid w:val="009010CB"/>
    <w:rsid w:val="00901501"/>
    <w:rsid w:val="009103FB"/>
    <w:rsid w:val="009242E0"/>
    <w:rsid w:val="00926CCC"/>
    <w:rsid w:val="00927358"/>
    <w:rsid w:val="00927761"/>
    <w:rsid w:val="0093473D"/>
    <w:rsid w:val="00937A8B"/>
    <w:rsid w:val="0094033C"/>
    <w:rsid w:val="00944A7B"/>
    <w:rsid w:val="00944ECC"/>
    <w:rsid w:val="00952BDD"/>
    <w:rsid w:val="00952D34"/>
    <w:rsid w:val="00960379"/>
    <w:rsid w:val="00964901"/>
    <w:rsid w:val="00972F57"/>
    <w:rsid w:val="00973303"/>
    <w:rsid w:val="009737D6"/>
    <w:rsid w:val="0098100E"/>
    <w:rsid w:val="00984C8A"/>
    <w:rsid w:val="00986448"/>
    <w:rsid w:val="00995280"/>
    <w:rsid w:val="00996BFC"/>
    <w:rsid w:val="009A110C"/>
    <w:rsid w:val="009B6286"/>
    <w:rsid w:val="009C3537"/>
    <w:rsid w:val="009C3558"/>
    <w:rsid w:val="009C3854"/>
    <w:rsid w:val="009D25B5"/>
    <w:rsid w:val="009D782C"/>
    <w:rsid w:val="009F60CE"/>
    <w:rsid w:val="00A101D3"/>
    <w:rsid w:val="00A12EA6"/>
    <w:rsid w:val="00A143AD"/>
    <w:rsid w:val="00A150DD"/>
    <w:rsid w:val="00A21933"/>
    <w:rsid w:val="00A24E6E"/>
    <w:rsid w:val="00A2797C"/>
    <w:rsid w:val="00A3024E"/>
    <w:rsid w:val="00A3028D"/>
    <w:rsid w:val="00A31BEC"/>
    <w:rsid w:val="00A325E3"/>
    <w:rsid w:val="00A332FE"/>
    <w:rsid w:val="00A33EEB"/>
    <w:rsid w:val="00A3468F"/>
    <w:rsid w:val="00A34A3F"/>
    <w:rsid w:val="00A4205C"/>
    <w:rsid w:val="00A43694"/>
    <w:rsid w:val="00A52EB6"/>
    <w:rsid w:val="00A56FC7"/>
    <w:rsid w:val="00A61E29"/>
    <w:rsid w:val="00A64821"/>
    <w:rsid w:val="00A668BF"/>
    <w:rsid w:val="00A72575"/>
    <w:rsid w:val="00A74071"/>
    <w:rsid w:val="00A754E4"/>
    <w:rsid w:val="00A81880"/>
    <w:rsid w:val="00A94D9F"/>
    <w:rsid w:val="00AA124A"/>
    <w:rsid w:val="00AA1C8E"/>
    <w:rsid w:val="00AA29CA"/>
    <w:rsid w:val="00AA2A96"/>
    <w:rsid w:val="00AA5325"/>
    <w:rsid w:val="00AA57C3"/>
    <w:rsid w:val="00AA6600"/>
    <w:rsid w:val="00AB0979"/>
    <w:rsid w:val="00AB4FEB"/>
    <w:rsid w:val="00AB7C08"/>
    <w:rsid w:val="00AC1EEE"/>
    <w:rsid w:val="00AD5D21"/>
    <w:rsid w:val="00AE0BA8"/>
    <w:rsid w:val="00AE0E82"/>
    <w:rsid w:val="00AF3102"/>
    <w:rsid w:val="00B077DC"/>
    <w:rsid w:val="00B100CC"/>
    <w:rsid w:val="00B10234"/>
    <w:rsid w:val="00B113BE"/>
    <w:rsid w:val="00B16036"/>
    <w:rsid w:val="00B23BD2"/>
    <w:rsid w:val="00B35015"/>
    <w:rsid w:val="00B366DB"/>
    <w:rsid w:val="00B42557"/>
    <w:rsid w:val="00B432E4"/>
    <w:rsid w:val="00B456C5"/>
    <w:rsid w:val="00B619EF"/>
    <w:rsid w:val="00B648D4"/>
    <w:rsid w:val="00B6689D"/>
    <w:rsid w:val="00B72368"/>
    <w:rsid w:val="00B87BFB"/>
    <w:rsid w:val="00BA6291"/>
    <w:rsid w:val="00BB2244"/>
    <w:rsid w:val="00BC0051"/>
    <w:rsid w:val="00BD6485"/>
    <w:rsid w:val="00BD6ECE"/>
    <w:rsid w:val="00BE29BD"/>
    <w:rsid w:val="00BE3B96"/>
    <w:rsid w:val="00BE6313"/>
    <w:rsid w:val="00BF7C34"/>
    <w:rsid w:val="00C02182"/>
    <w:rsid w:val="00C10CF7"/>
    <w:rsid w:val="00C17927"/>
    <w:rsid w:val="00C279E6"/>
    <w:rsid w:val="00C31F04"/>
    <w:rsid w:val="00C362BA"/>
    <w:rsid w:val="00C3716B"/>
    <w:rsid w:val="00C37BBA"/>
    <w:rsid w:val="00C46C4D"/>
    <w:rsid w:val="00C54D58"/>
    <w:rsid w:val="00C573E1"/>
    <w:rsid w:val="00C60222"/>
    <w:rsid w:val="00C620C4"/>
    <w:rsid w:val="00C64D66"/>
    <w:rsid w:val="00C736D3"/>
    <w:rsid w:val="00C73D86"/>
    <w:rsid w:val="00C77C1F"/>
    <w:rsid w:val="00C906CA"/>
    <w:rsid w:val="00C93CC8"/>
    <w:rsid w:val="00C95DF6"/>
    <w:rsid w:val="00C97490"/>
    <w:rsid w:val="00CA07FB"/>
    <w:rsid w:val="00CA26D7"/>
    <w:rsid w:val="00CA3602"/>
    <w:rsid w:val="00CA4E56"/>
    <w:rsid w:val="00CB074B"/>
    <w:rsid w:val="00CC3BA4"/>
    <w:rsid w:val="00CC58DF"/>
    <w:rsid w:val="00CD18C3"/>
    <w:rsid w:val="00CD22D3"/>
    <w:rsid w:val="00CD536A"/>
    <w:rsid w:val="00CD71E0"/>
    <w:rsid w:val="00CE6204"/>
    <w:rsid w:val="00CE669E"/>
    <w:rsid w:val="00CF0ED1"/>
    <w:rsid w:val="00CF3BF9"/>
    <w:rsid w:val="00CF4CD7"/>
    <w:rsid w:val="00CF6373"/>
    <w:rsid w:val="00D06F75"/>
    <w:rsid w:val="00D07838"/>
    <w:rsid w:val="00D07BAB"/>
    <w:rsid w:val="00D239C3"/>
    <w:rsid w:val="00D24A2B"/>
    <w:rsid w:val="00D27109"/>
    <w:rsid w:val="00D3272A"/>
    <w:rsid w:val="00D37763"/>
    <w:rsid w:val="00D4651E"/>
    <w:rsid w:val="00D510C9"/>
    <w:rsid w:val="00D51A9C"/>
    <w:rsid w:val="00D54BAE"/>
    <w:rsid w:val="00D57322"/>
    <w:rsid w:val="00D644D1"/>
    <w:rsid w:val="00D652A0"/>
    <w:rsid w:val="00D66785"/>
    <w:rsid w:val="00D70F8A"/>
    <w:rsid w:val="00D72D85"/>
    <w:rsid w:val="00D77F51"/>
    <w:rsid w:val="00DA1B7B"/>
    <w:rsid w:val="00DA40D6"/>
    <w:rsid w:val="00DA57F0"/>
    <w:rsid w:val="00DB1AA5"/>
    <w:rsid w:val="00DB4971"/>
    <w:rsid w:val="00DB5BBC"/>
    <w:rsid w:val="00DB79DF"/>
    <w:rsid w:val="00DC2431"/>
    <w:rsid w:val="00DC5E53"/>
    <w:rsid w:val="00DC63EA"/>
    <w:rsid w:val="00DD4B37"/>
    <w:rsid w:val="00DE0402"/>
    <w:rsid w:val="00DE1065"/>
    <w:rsid w:val="00DE1D12"/>
    <w:rsid w:val="00E00D7A"/>
    <w:rsid w:val="00E02099"/>
    <w:rsid w:val="00E217FB"/>
    <w:rsid w:val="00E2343C"/>
    <w:rsid w:val="00E3158A"/>
    <w:rsid w:val="00E31DF6"/>
    <w:rsid w:val="00E36EF8"/>
    <w:rsid w:val="00E44E80"/>
    <w:rsid w:val="00E45CCC"/>
    <w:rsid w:val="00E51824"/>
    <w:rsid w:val="00E67289"/>
    <w:rsid w:val="00E7319E"/>
    <w:rsid w:val="00E75C53"/>
    <w:rsid w:val="00E77032"/>
    <w:rsid w:val="00E806A4"/>
    <w:rsid w:val="00E965D4"/>
    <w:rsid w:val="00E967CA"/>
    <w:rsid w:val="00E96D95"/>
    <w:rsid w:val="00EA32F7"/>
    <w:rsid w:val="00EB1486"/>
    <w:rsid w:val="00EB2EBB"/>
    <w:rsid w:val="00EB58CD"/>
    <w:rsid w:val="00EC6A53"/>
    <w:rsid w:val="00EC78A6"/>
    <w:rsid w:val="00ED3A70"/>
    <w:rsid w:val="00ED428A"/>
    <w:rsid w:val="00ED6E16"/>
    <w:rsid w:val="00EE5EEB"/>
    <w:rsid w:val="00EF1080"/>
    <w:rsid w:val="00EF1B6F"/>
    <w:rsid w:val="00EF6396"/>
    <w:rsid w:val="00EF76AA"/>
    <w:rsid w:val="00F17D95"/>
    <w:rsid w:val="00F219E0"/>
    <w:rsid w:val="00F22827"/>
    <w:rsid w:val="00F23065"/>
    <w:rsid w:val="00F230CD"/>
    <w:rsid w:val="00F27061"/>
    <w:rsid w:val="00F27FD8"/>
    <w:rsid w:val="00F32876"/>
    <w:rsid w:val="00F45275"/>
    <w:rsid w:val="00F51C18"/>
    <w:rsid w:val="00F56126"/>
    <w:rsid w:val="00F64900"/>
    <w:rsid w:val="00F655DB"/>
    <w:rsid w:val="00F65DDB"/>
    <w:rsid w:val="00F661C8"/>
    <w:rsid w:val="00F810D2"/>
    <w:rsid w:val="00F843CA"/>
    <w:rsid w:val="00F84484"/>
    <w:rsid w:val="00F862BC"/>
    <w:rsid w:val="00F86884"/>
    <w:rsid w:val="00FA083F"/>
    <w:rsid w:val="00FA31E2"/>
    <w:rsid w:val="00FB38B9"/>
    <w:rsid w:val="00FB3FAA"/>
    <w:rsid w:val="00FB6477"/>
    <w:rsid w:val="00FD0FA8"/>
    <w:rsid w:val="00FE36A3"/>
    <w:rsid w:val="00FE454F"/>
    <w:rsid w:val="00FE4984"/>
    <w:rsid w:val="00FE5FAB"/>
    <w:rsid w:val="00FF59AD"/>
    <w:rsid w:val="00FF5B70"/>
    <w:rsid w:val="00FF5BB9"/>
    <w:rsid w:val="0AD3EB1D"/>
    <w:rsid w:val="258CA36A"/>
    <w:rsid w:val="27F24259"/>
    <w:rsid w:val="2C2D24F6"/>
    <w:rsid w:val="4A12167E"/>
    <w:rsid w:val="5FF49862"/>
    <w:rsid w:val="66EA05F7"/>
    <w:rsid w:val="6A29F8E6"/>
    <w:rsid w:val="7412E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  <w15:docId w15:val="{D8934AD4-3B53-4405-95DC-2FDFB033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tabs>
        <w:tab w:val="num" w:pos="360"/>
      </w:tabs>
      <w:ind w:left="360" w:hanging="360"/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6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6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BA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18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ASG@dewr.gov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wr.gov.au/australian-skills-guarante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9d646d-0fe8-4876-8896-a85182c8c4b5" xsi:nil="true"/>
    <lcf76f155ced4ddcb4097134ff3c332f xmlns="409f8594-b164-455e-aca0-53614ef5b7c1">
      <Terms xmlns="http://schemas.microsoft.com/office/infopath/2007/PartnerControls"/>
    </lcf76f155ced4ddcb4097134ff3c332f>
    <Location xmlns="409f8594-b164-455e-aca0-53614ef5b7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025033DE46047828D88018635091B" ma:contentTypeVersion="24" ma:contentTypeDescription="Create a new document." ma:contentTypeScope="" ma:versionID="ca13587fbb33158ca6bf5f3e1733e807">
  <xsd:schema xmlns:xsd="http://www.w3.org/2001/XMLSchema" xmlns:xs="http://www.w3.org/2001/XMLSchema" xmlns:p="http://schemas.microsoft.com/office/2006/metadata/properties" xmlns:ns2="409f8594-b164-455e-aca0-53614ef5b7c1" xmlns:ns3="469d646d-0fe8-4876-8896-a85182c8c4b5" targetNamespace="http://schemas.microsoft.com/office/2006/metadata/properties" ma:root="true" ma:fieldsID="af56b4865b0ec5bca56831293e3504c1" ns2:_="" ns3:_="">
    <xsd:import namespace="409f8594-b164-455e-aca0-53614ef5b7c1"/>
    <xsd:import namespace="469d646d-0fe8-4876-8896-a85182c8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ocation" minOccurs="0"/>
                <xsd:element ref="ns2:ac32b987-56ab-4177-9673-f26ed9159544CountryOrRegion" minOccurs="0"/>
                <xsd:element ref="ns2:ac32b987-56ab-4177-9673-f26ed9159544State" minOccurs="0"/>
                <xsd:element ref="ns2:ac32b987-56ab-4177-9673-f26ed9159544City" minOccurs="0"/>
                <xsd:element ref="ns2:ac32b987-56ab-4177-9673-f26ed9159544PostalCode" minOccurs="0"/>
                <xsd:element ref="ns2:ac32b987-56ab-4177-9673-f26ed9159544Street" minOccurs="0"/>
                <xsd:element ref="ns2:ac32b987-56ab-4177-9673-f26ed9159544GeoLoc" minOccurs="0"/>
                <xsd:element ref="ns2:ac32b987-56ab-4177-9673-f26ed9159544DispNam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f8594-b164-455e-aca0-53614ef5b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ocation" ma:index="23" nillable="true" ma:displayName="Location" ma:format="Dropdown" ma:internalName="Location">
      <xsd:simpleType>
        <xsd:restriction base="dms:Unknown"/>
      </xsd:simpleType>
    </xsd:element>
    <xsd:element name="ac32b987-56ab-4177-9673-f26ed9159544CountryOrRegion" ma:index="24" nillable="true" ma:displayName="Location: Country/Region" ma:internalName="CountryOrRegion" ma:readOnly="true">
      <xsd:simpleType>
        <xsd:restriction base="dms:Text"/>
      </xsd:simpleType>
    </xsd:element>
    <xsd:element name="ac32b987-56ab-4177-9673-f26ed9159544State" ma:index="25" nillable="true" ma:displayName="Location: State" ma:internalName="State" ma:readOnly="true">
      <xsd:simpleType>
        <xsd:restriction base="dms:Text"/>
      </xsd:simpleType>
    </xsd:element>
    <xsd:element name="ac32b987-56ab-4177-9673-f26ed9159544City" ma:index="26" nillable="true" ma:displayName="Location: City" ma:internalName="City" ma:readOnly="true">
      <xsd:simpleType>
        <xsd:restriction base="dms:Text"/>
      </xsd:simpleType>
    </xsd:element>
    <xsd:element name="ac32b987-56ab-4177-9673-f26ed9159544PostalCode" ma:index="27" nillable="true" ma:displayName="Location: Postal Code" ma:internalName="PostalCode" ma:readOnly="true">
      <xsd:simpleType>
        <xsd:restriction base="dms:Text"/>
      </xsd:simpleType>
    </xsd:element>
    <xsd:element name="ac32b987-56ab-4177-9673-f26ed9159544Street" ma:index="28" nillable="true" ma:displayName="Location: Street" ma:internalName="Street" ma:readOnly="true">
      <xsd:simpleType>
        <xsd:restriction base="dms:Text"/>
      </xsd:simpleType>
    </xsd:element>
    <xsd:element name="ac32b987-56ab-4177-9673-f26ed9159544GeoLoc" ma:index="29" nillable="true" ma:displayName="Location: Coordinates" ma:internalName="GeoLoc" ma:readOnly="true">
      <xsd:simpleType>
        <xsd:restriction base="dms:Unknown"/>
      </xsd:simpleType>
    </xsd:element>
    <xsd:element name="ac32b987-56ab-4177-9673-f26ed9159544DispName" ma:index="30" nillable="true" ma:displayName="Location: Name" ma:internalName="DispNam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d646d-0fe8-4876-8896-a85182c8c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04f870d-0731-45b1-afd8-7abc9af48d8f}" ma:internalName="TaxCatchAll" ma:showField="CatchAllData" ma:web="469d646d-0fe8-4876-8896-a85182c8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CD6226-3EAF-46C5-B0F2-A2410F074527}">
  <ds:schemaRefs>
    <ds:schemaRef ds:uri="http://schemas.microsoft.com/office/infopath/2007/PartnerControls"/>
    <ds:schemaRef ds:uri="http://purl.org/dc/elements/1.1/"/>
    <ds:schemaRef ds:uri="469d646d-0fe8-4876-8896-a85182c8c4b5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409f8594-b164-455e-aca0-53614ef5b7c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DBC370D-A151-46D8-A2BD-981D7FCAB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f8594-b164-455e-aca0-53614ef5b7c1"/>
    <ds:schemaRef ds:uri="469d646d-0fe8-4876-8896-a85182c8c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DEWR A4 Factsheet Template - Portrait</vt:lpstr>
    </vt:vector>
  </TitlesOfParts>
  <Company/>
  <LinksUpToDate>false</LinksUpToDate>
  <CharactersWithSpaces>6627</CharactersWithSpaces>
  <SharedDoc>false</SharedDoc>
  <HLinks>
    <vt:vector size="12" baseType="variant">
      <vt:variant>
        <vt:i4>7143454</vt:i4>
      </vt:variant>
      <vt:variant>
        <vt:i4>3</vt:i4>
      </vt:variant>
      <vt:variant>
        <vt:i4>0</vt:i4>
      </vt:variant>
      <vt:variant>
        <vt:i4>5</vt:i4>
      </vt:variant>
      <vt:variant>
        <vt:lpwstr>mailto:ASG@dewr.gov.au</vt:lpwstr>
      </vt:variant>
      <vt:variant>
        <vt:lpwstr/>
      </vt:variant>
      <vt:variant>
        <vt:i4>6291496</vt:i4>
      </vt:variant>
      <vt:variant>
        <vt:i4>0</vt:i4>
      </vt:variant>
      <vt:variant>
        <vt:i4>0</vt:i4>
      </vt:variant>
      <vt:variant>
        <vt:i4>5</vt:i4>
      </vt:variant>
      <vt:variant>
        <vt:lpwstr>http://www.dewr.gov.au/australian-skills-guarantee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DEWR A4 Factsheet Template - Portrait</dc:title>
  <dc:subject/>
  <dc:creator>Natalie Leschev</dc:creator>
  <cp:keywords>DEWR A4 Factsheet Template - Portrait</cp:keywords>
  <dc:description/>
  <cp:lastModifiedBy>LODWICK,Harrison</cp:lastModifiedBy>
  <cp:revision>30</cp:revision>
  <cp:lastPrinted>2024-07-04T00:40:00Z</cp:lastPrinted>
  <dcterms:created xsi:type="dcterms:W3CDTF">2024-07-03T21:18:00Z</dcterms:created>
  <dcterms:modified xsi:type="dcterms:W3CDTF">2024-07-04T00:40:00Z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0x010100066025033DE46047828D88018635091B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Order">
    <vt:r8>203500</vt:r8>
  </property>
  <property fmtid="{D5CDD505-2E9C-101B-9397-08002B2CF9AE}" pid="14" name="_ExtendedDescription">
    <vt:lpwstr>DEWR A4 Factsheet Template - Portrait</vt:lpwstr>
  </property>
  <property fmtid="{D5CDD505-2E9C-101B-9397-08002B2CF9AE}" pid="15" name="IntranetKeywords">
    <vt:lpwstr/>
  </property>
  <property fmtid="{D5CDD505-2E9C-101B-9397-08002B2CF9AE}" pid="16" name="DocumentType">
    <vt:lpwstr>40;#Template|53a221cc-9320-4def-8306-8b4e731f6e2e</vt:lpwstr>
  </property>
  <property fmtid="{D5CDD505-2E9C-101B-9397-08002B2CF9AE}" pid="17" name="Stream">
    <vt:lpwstr>41;#Corporate|7bb9040f-4cd9-44c7-bbc0-0be84bb7e1f8;#3;# Communication|e33a97c0-aa3b-4cc8-bf05-e9cabbeb225f</vt:lpwstr>
  </property>
  <property fmtid="{D5CDD505-2E9C-101B-9397-08002B2CF9AE}" pid="18" name="MediaServiceImageTags">
    <vt:lpwstr/>
  </property>
</Properties>
</file>