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F15C" w14:textId="5D5330B7" w:rsidR="00067075" w:rsidRDefault="00C67024" w:rsidP="00DE0402">
      <w:pPr>
        <w:pStyle w:val="Title"/>
        <w:spacing w:before="120"/>
      </w:pPr>
      <w:r>
        <w:rPr>
          <w:noProof/>
        </w:rPr>
        <w:drawing>
          <wp:anchor distT="0" distB="0" distL="114300" distR="114300" simplePos="0" relativeHeight="251656192" behindDoc="1" locked="0" layoutInCell="1" allowOverlap="1" wp14:anchorId="5B80CB99" wp14:editId="54E9D929">
            <wp:simplePos x="0" y="0"/>
            <wp:positionH relativeFrom="column">
              <wp:posOffset>-900430</wp:posOffset>
            </wp:positionH>
            <wp:positionV relativeFrom="page">
              <wp:posOffset>-109819</wp:posOffset>
            </wp:positionV>
            <wp:extent cx="10688400" cy="2039332"/>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1"/>
                    <a:stretch>
                      <a:fillRect/>
                    </a:stretch>
                  </pic:blipFill>
                  <pic:spPr>
                    <a:xfrm>
                      <a:off x="0" y="0"/>
                      <a:ext cx="10688400" cy="2039332"/>
                    </a:xfrm>
                    <a:prstGeom prst="rect">
                      <a:avLst/>
                    </a:prstGeom>
                  </pic:spPr>
                </pic:pic>
              </a:graphicData>
            </a:graphic>
            <wp14:sizeRelH relativeFrom="page">
              <wp14:pctWidth>0</wp14:pctWidth>
            </wp14:sizeRelH>
            <wp14:sizeRelV relativeFrom="page">
              <wp14:pctHeight>0</wp14:pctHeight>
            </wp14:sizeRelV>
          </wp:anchor>
        </w:drawing>
      </w:r>
      <w:r w:rsidR="003A2EFF">
        <w:rPr>
          <w:noProof/>
        </w:rPr>
        <w:drawing>
          <wp:inline distT="0" distB="0" distL="0" distR="0" wp14:anchorId="0368C25A" wp14:editId="2A3CCB6B">
            <wp:extent cx="2865600" cy="820885"/>
            <wp:effectExtent l="0" t="0" r="0" b="0"/>
            <wp:docPr id="1" name="Picture 3" descr="Australian Government Workforce Australia Local Jobs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ustralian Government Workforce Australia Local Jobs crest"/>
                    <pic:cNvPicPr/>
                  </pic:nvPicPr>
                  <pic:blipFill>
                    <a:blip r:embed="rId12"/>
                    <a:stretch>
                      <a:fillRect/>
                    </a:stretch>
                  </pic:blipFill>
                  <pic:spPr>
                    <a:xfrm>
                      <a:off x="0" y="0"/>
                      <a:ext cx="2865600" cy="820885"/>
                    </a:xfrm>
                    <a:prstGeom prst="rect">
                      <a:avLst/>
                    </a:prstGeom>
                  </pic:spPr>
                </pic:pic>
              </a:graphicData>
            </a:graphic>
          </wp:inline>
        </w:drawing>
      </w:r>
    </w:p>
    <w:p w14:paraId="29E1914A" w14:textId="4D8F9C99" w:rsidR="00EC6A53" w:rsidRDefault="00EC6A53" w:rsidP="00DD7333">
      <w:pPr>
        <w:spacing w:before="100" w:beforeAutospacing="1" w:after="0"/>
        <w:sectPr w:rsidR="00EC6A53" w:rsidSect="005F0144">
          <w:headerReference w:type="even" r:id="rId13"/>
          <w:headerReference w:type="default" r:id="rId14"/>
          <w:footerReference w:type="even" r:id="rId15"/>
          <w:footerReference w:type="default" r:id="rId16"/>
          <w:headerReference w:type="first" r:id="rId17"/>
          <w:footerReference w:type="first" r:id="rId18"/>
          <w:type w:val="continuous"/>
          <w:pgSz w:w="16840" w:h="23820"/>
          <w:pgMar w:top="851" w:right="1418" w:bottom="1418" w:left="1418" w:header="170" w:footer="709" w:gutter="0"/>
          <w:cols w:space="708"/>
          <w:titlePg/>
          <w:docGrid w:linePitch="360"/>
        </w:sectPr>
      </w:pPr>
    </w:p>
    <w:p w14:paraId="147F3BDD" w14:textId="6351F427" w:rsidR="000D06F7" w:rsidRDefault="005F2307" w:rsidP="00DD7333">
      <w:pPr>
        <w:pStyle w:val="Title"/>
      </w:pPr>
      <w:r>
        <w:rPr>
          <w:noProof/>
        </w:rPr>
        <w:drawing>
          <wp:anchor distT="0" distB="0" distL="114300" distR="114300" simplePos="0" relativeHeight="251661312" behindDoc="0" locked="0" layoutInCell="1" allowOverlap="1" wp14:anchorId="5A105B1A" wp14:editId="158FCB0B">
            <wp:simplePos x="0" y="0"/>
            <wp:positionH relativeFrom="column">
              <wp:posOffset>6019800</wp:posOffset>
            </wp:positionH>
            <wp:positionV relativeFrom="paragraph">
              <wp:posOffset>1308100</wp:posOffset>
            </wp:positionV>
            <wp:extent cx="3421380" cy="3614420"/>
            <wp:effectExtent l="0" t="0" r="0" b="0"/>
            <wp:wrapThrough wrapText="bothSides">
              <wp:wrapPolygon edited="0">
                <wp:start x="0" y="0"/>
                <wp:lineTo x="0" y="21517"/>
                <wp:lineTo x="21528" y="21517"/>
                <wp:lineTo x="21528" y="0"/>
                <wp:lineTo x="0" y="0"/>
              </wp:wrapPolygon>
            </wp:wrapThrough>
            <wp:docPr id="7" name="Picture 7" descr="Geographical map of the Townsville (includes Mt Isa) Employment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eographical map of the Townsville (includes Mt Isa) Employment Region."/>
                    <pic:cNvPicPr/>
                  </pic:nvPicPr>
                  <pic:blipFill>
                    <a:blip r:embed="rId19"/>
                    <a:stretch>
                      <a:fillRect/>
                    </a:stretch>
                  </pic:blipFill>
                  <pic:spPr>
                    <a:xfrm>
                      <a:off x="0" y="0"/>
                      <a:ext cx="3421380" cy="3614420"/>
                    </a:xfrm>
                    <a:prstGeom prst="rect">
                      <a:avLst/>
                    </a:prstGeom>
                  </pic:spPr>
                </pic:pic>
              </a:graphicData>
            </a:graphic>
            <wp14:sizeRelH relativeFrom="page">
              <wp14:pctWidth>0</wp14:pctWidth>
            </wp14:sizeRelH>
            <wp14:sizeRelV relativeFrom="page">
              <wp14:pctHeight>0</wp14:pctHeight>
            </wp14:sizeRelV>
          </wp:anchor>
        </w:drawing>
      </w:r>
      <w:r w:rsidR="000D06F7">
        <w:t>Local Jobs Plan</w:t>
      </w:r>
    </w:p>
    <w:p w14:paraId="374AEBD5" w14:textId="0E33AC99" w:rsidR="000D06F7" w:rsidRPr="000D06F7" w:rsidRDefault="001419D1" w:rsidP="00186F5B">
      <w:pPr>
        <w:pStyle w:val="Subtitle"/>
        <w:spacing w:after="0"/>
        <w:rPr>
          <w:rStyle w:val="Strong"/>
          <w:b/>
          <w:bCs w:val="0"/>
        </w:rPr>
      </w:pPr>
      <w:r>
        <w:t>Townsville</w:t>
      </w:r>
      <w:r w:rsidR="00E41CC6">
        <w:t xml:space="preserve"> </w:t>
      </w:r>
      <w:r>
        <w:t xml:space="preserve">(includes Mt Isa) </w:t>
      </w:r>
      <w:r w:rsidR="00E41CC6" w:rsidRPr="000D06F7">
        <w:rPr>
          <w:rStyle w:val="Strong"/>
          <w:b/>
          <w:bCs w:val="0"/>
        </w:rPr>
        <w:t>Employment Region</w:t>
      </w:r>
      <w:r w:rsidR="00E41CC6" w:rsidRPr="000D06F7">
        <w:rPr>
          <w:color w:val="0076BD" w:themeColor="text2"/>
        </w:rPr>
        <w:t xml:space="preserve"> |</w:t>
      </w:r>
      <w:r w:rsidR="00E41CC6" w:rsidRPr="00AB0F24">
        <w:rPr>
          <w:color w:val="0076BD" w:themeColor="text2"/>
        </w:rPr>
        <w:t xml:space="preserve"> </w:t>
      </w:r>
      <w:r>
        <w:rPr>
          <w:color w:val="auto"/>
        </w:rPr>
        <w:t>Qld</w:t>
      </w:r>
      <w:r w:rsidR="000D06F7" w:rsidRPr="000D06F7">
        <w:rPr>
          <w:color w:val="0076BD" w:themeColor="text2"/>
        </w:rPr>
        <w:t xml:space="preserve"> | </w:t>
      </w:r>
      <w:r w:rsidR="009A041C">
        <w:rPr>
          <w:rStyle w:val="Strong"/>
          <w:b/>
          <w:bCs w:val="0"/>
        </w:rPr>
        <w:t>J</w:t>
      </w:r>
      <w:r w:rsidR="00183F8F">
        <w:rPr>
          <w:rStyle w:val="Strong"/>
          <w:b/>
          <w:bCs w:val="0"/>
        </w:rPr>
        <w:t>une</w:t>
      </w:r>
      <w:r w:rsidR="009A041C">
        <w:rPr>
          <w:rStyle w:val="Strong"/>
          <w:b/>
          <w:bCs w:val="0"/>
        </w:rPr>
        <w:t xml:space="preserve"> </w:t>
      </w:r>
      <w:r>
        <w:rPr>
          <w:rStyle w:val="Strong"/>
          <w:b/>
          <w:bCs w:val="0"/>
        </w:rPr>
        <w:t>202</w:t>
      </w:r>
      <w:r w:rsidR="009A041C">
        <w:rPr>
          <w:rStyle w:val="Strong"/>
          <w:b/>
          <w:bCs w:val="0"/>
        </w:rPr>
        <w:t>3</w:t>
      </w:r>
      <w:r w:rsidR="00E41CC6">
        <w:rPr>
          <w:rStyle w:val="Strong"/>
          <w:b/>
          <w:bCs w:val="0"/>
        </w:rPr>
        <w:t xml:space="preserve"> </w:t>
      </w:r>
    </w:p>
    <w:p w14:paraId="728E0E94" w14:textId="1171B833" w:rsidR="002B1CE5" w:rsidRDefault="005F0144" w:rsidP="00406DE0">
      <w:pPr>
        <w:spacing w:before="120" w:after="120"/>
      </w:pPr>
      <w:bookmarkStart w:id="0" w:name="_Toc30065222"/>
      <w:r>
        <w:t>W</w:t>
      </w:r>
      <w:r w:rsidRPr="005F0144">
        <w:t xml:space="preserve">orkforce Australia Local Jobs (Local Jobs) </w:t>
      </w:r>
      <w:r w:rsidR="0095291A">
        <w:t xml:space="preserve">is a program that </w:t>
      </w:r>
      <w:r w:rsidRPr="005F0144">
        <w:t xml:space="preserve">supports tailored approaches to accelerate </w:t>
      </w:r>
      <w:r w:rsidR="0095291A">
        <w:br/>
      </w:r>
      <w:r w:rsidRPr="005F0144">
        <w:t>reskilling, upskilling and employment pathways in response to current and emerging local workforce needs</w:t>
      </w:r>
      <w:bookmarkEnd w:id="0"/>
      <w:r w:rsidR="00D97972">
        <w:t>.</w:t>
      </w:r>
    </w:p>
    <w:p w14:paraId="61B434ED" w14:textId="77777777" w:rsidR="000D06F7" w:rsidRDefault="000D06F7" w:rsidP="000D06F7">
      <w:pPr>
        <w:pStyle w:val="Heading2"/>
        <w:sectPr w:rsidR="000D06F7" w:rsidSect="005F0144">
          <w:type w:val="continuous"/>
          <w:pgSz w:w="16840" w:h="23820"/>
          <w:pgMar w:top="3969" w:right="1418" w:bottom="1418" w:left="1418" w:header="0" w:footer="709" w:gutter="0"/>
          <w:cols w:space="708"/>
          <w:titlePg/>
          <w:docGrid w:linePitch="360"/>
        </w:sectPr>
      </w:pPr>
    </w:p>
    <w:p w14:paraId="2546DA31" w14:textId="07FDE354" w:rsidR="000D06F7" w:rsidRDefault="00466AD4" w:rsidP="000D06F7">
      <w:pPr>
        <w:pStyle w:val="Heading2"/>
      </w:pPr>
      <w:r>
        <w:rPr>
          <w:noProof/>
        </w:rPr>
        <mc:AlternateContent>
          <mc:Choice Requires="wps">
            <w:drawing>
              <wp:anchor distT="0" distB="0" distL="114300" distR="114300" simplePos="0" relativeHeight="251655167" behindDoc="1" locked="0" layoutInCell="1" allowOverlap="1" wp14:anchorId="462CC671" wp14:editId="2C27A551">
                <wp:simplePos x="0" y="0"/>
                <wp:positionH relativeFrom="column">
                  <wp:posOffset>-98425</wp:posOffset>
                </wp:positionH>
                <wp:positionV relativeFrom="page">
                  <wp:posOffset>3838575</wp:posOffset>
                </wp:positionV>
                <wp:extent cx="6001385" cy="332105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1385" cy="3321050"/>
                        </a:xfrm>
                        <a:prstGeom prst="rect">
                          <a:avLst/>
                        </a:prstGeom>
                        <a:solidFill>
                          <a:srgbClr val="F4F4F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25EE2" id="Rectangle 4" o:spid="_x0000_s1026" style="position:absolute;margin-left:-7.75pt;margin-top:302.25pt;width:472.55pt;height:261.5pt;z-index:-25166131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" fillcolor="#f4f4f4" stroked="f" strokeweight="1pt">
                <w10:wrap anchory="page"/>
              </v:rect>
            </w:pict>
          </mc:Fallback>
        </mc:AlternateContent>
      </w:r>
      <w:r w:rsidR="000D06F7">
        <w:t xml:space="preserve">Local Jobs </w:t>
      </w:r>
      <w:r w:rsidR="00D17E31">
        <w:t>e</w:t>
      </w:r>
      <w:r w:rsidR="000D06F7">
        <w:t>lements</w:t>
      </w:r>
    </w:p>
    <w:p w14:paraId="2A2D61C5" w14:textId="77777777" w:rsidR="000D06F7" w:rsidRDefault="000D06F7" w:rsidP="000D06F7">
      <w:pPr>
        <w:pStyle w:val="Heading3"/>
      </w:pPr>
      <w:r>
        <w:t>Local Jobs Plan</w:t>
      </w:r>
    </w:p>
    <w:p w14:paraId="2A0C7F7C" w14:textId="3057AA99" w:rsidR="000D06F7" w:rsidRDefault="000D06F7" w:rsidP="000D06F7">
      <w:pPr>
        <w:spacing w:after="120"/>
      </w:pPr>
      <w:r>
        <w:t xml:space="preserve">The Local Jobs Plan sets out the </w:t>
      </w:r>
      <w:r w:rsidR="0095291A">
        <w:t>skills</w:t>
      </w:r>
      <w:r>
        <w:t xml:space="preserve"> and employment challenges and priorities of the region, and associated strategies that will drive the design and implementation of </w:t>
      </w:r>
      <w:r w:rsidR="0095291A">
        <w:t>activities</w:t>
      </w:r>
      <w:r>
        <w:t xml:space="preserve"> to be implemented to address these challenges.</w:t>
      </w:r>
    </w:p>
    <w:p w14:paraId="3C838560" w14:textId="77777777" w:rsidR="000D06F7" w:rsidRDefault="000D06F7" w:rsidP="000D06F7">
      <w:pPr>
        <w:pStyle w:val="Heading3"/>
      </w:pPr>
      <w:r>
        <w:t>Employment Facilitators</w:t>
      </w:r>
    </w:p>
    <w:p w14:paraId="53449B5D" w14:textId="633FD48E" w:rsidR="000D06F7" w:rsidRDefault="000D06F7" w:rsidP="000D06F7">
      <w:pPr>
        <w:spacing w:after="120"/>
      </w:pPr>
      <w:r>
        <w:t xml:space="preserve">Employment Facilitators </w:t>
      </w:r>
      <w:r w:rsidR="0095291A">
        <w:t xml:space="preserve">and Support Officers </w:t>
      </w:r>
      <w:r>
        <w:t xml:space="preserve">support the delivery of the </w:t>
      </w:r>
      <w:r w:rsidR="00584749">
        <w:t>program</w:t>
      </w:r>
      <w:r>
        <w:t xml:space="preserve"> by bringing together key stakeholders including </w:t>
      </w:r>
      <w:r w:rsidR="00BD48C7">
        <w:t>businesses</w:t>
      </w:r>
      <w:r>
        <w:t>, employment services providers,</w:t>
      </w:r>
      <w:r w:rsidR="00584749">
        <w:t xml:space="preserve"> </w:t>
      </w:r>
      <w:r>
        <w:t>higher education and training organisations.</w:t>
      </w:r>
      <w:r w:rsidR="00DD7333">
        <w:br w:type="column"/>
      </w:r>
    </w:p>
    <w:p w14:paraId="0A091B2D" w14:textId="1E35481F" w:rsidR="000D06F7" w:rsidRDefault="000D06F7" w:rsidP="000D06F7">
      <w:pPr>
        <w:pStyle w:val="Heading3"/>
      </w:pPr>
      <w:r>
        <w:t>Local Jobs and Skills Taskforce</w:t>
      </w:r>
    </w:p>
    <w:p w14:paraId="1A643F67" w14:textId="28CBD15B" w:rsidR="000D06F7" w:rsidRDefault="000D06F7" w:rsidP="000D06F7">
      <w:pPr>
        <w:spacing w:after="120"/>
      </w:pPr>
      <w:r>
        <w:t>Each Employment Region has its own Taskforce. Representatives include local stakeholder</w:t>
      </w:r>
      <w:r w:rsidR="00584749">
        <w:t>s</w:t>
      </w:r>
      <w:r>
        <w:t xml:space="preserve"> who have demonstrated experience in upskilling, reskilling, and an ability to represent, connect and collaborate with others in the region to meet labour market needs.</w:t>
      </w:r>
    </w:p>
    <w:p w14:paraId="12E112C9" w14:textId="68B29870" w:rsidR="000D06F7" w:rsidRDefault="000D06F7" w:rsidP="000D06F7">
      <w:pPr>
        <w:pStyle w:val="Heading3"/>
      </w:pPr>
      <w:r>
        <w:t xml:space="preserve">Local Recovery and National Priority Funds </w:t>
      </w:r>
    </w:p>
    <w:p w14:paraId="595F4A1A" w14:textId="4B4952ED" w:rsidR="000D06F7" w:rsidRDefault="00466AD4" w:rsidP="00DD7333">
      <w:pPr>
        <w:spacing w:after="120"/>
        <w:sectPr w:rsidR="000D06F7" w:rsidSect="000D06F7">
          <w:type w:val="continuous"/>
          <w:pgSz w:w="16840" w:h="23820"/>
          <w:pgMar w:top="3969" w:right="1418" w:bottom="1418" w:left="1418" w:header="0" w:footer="709" w:gutter="0"/>
          <w:cols w:num="3" w:space="708"/>
          <w:titlePg/>
          <w:docGrid w:linePitch="360"/>
        </w:sectPr>
      </w:pPr>
      <w:r>
        <w:rPr>
          <w:noProof/>
        </w:rPr>
        <mc:AlternateContent>
          <mc:Choice Requires="wps">
            <w:drawing>
              <wp:anchor distT="0" distB="0" distL="114300" distR="114300" simplePos="0" relativeHeight="251659264" behindDoc="0" locked="0" layoutInCell="1" allowOverlap="1" wp14:anchorId="2DFB5E07" wp14:editId="453CDF24">
                <wp:simplePos x="0" y="0"/>
                <wp:positionH relativeFrom="column">
                  <wp:posOffset>2932430</wp:posOffset>
                </wp:positionH>
                <wp:positionV relativeFrom="page">
                  <wp:posOffset>6491605</wp:posOffset>
                </wp:positionV>
                <wp:extent cx="3420110" cy="658495"/>
                <wp:effectExtent l="0" t="0" r="0" b="0"/>
                <wp:wrapNone/>
                <wp:docPr id="3"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0110" cy="658495"/>
                        </a:xfrm>
                        <a:prstGeom prst="roundRect">
                          <a:avLst>
                            <a:gd name="adj" fmla="val 0"/>
                          </a:avLst>
                        </a:prstGeom>
                        <a:solidFill>
                          <a:srgbClr val="F4F4F4"/>
                        </a:solidFill>
                        <a:ln w="158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57906" w14:textId="43E08E27" w:rsidR="00DD7333" w:rsidRPr="00E61F67" w:rsidRDefault="0095291A" w:rsidP="00ED5138">
                            <w:pPr>
                              <w:spacing w:after="0"/>
                              <w:jc w:val="center"/>
                              <w:rPr>
                                <w:color w:val="051532" w:themeColor="text1"/>
                              </w:rPr>
                            </w:pPr>
                            <w:r w:rsidRPr="00E61F67">
                              <w:rPr>
                                <w:color w:val="051532" w:themeColor="text1"/>
                              </w:rPr>
                              <w:t xml:space="preserve">Explore labour market insights for </w:t>
                            </w:r>
                            <w:r w:rsidR="00ED5138" w:rsidRPr="00E61F67">
                              <w:rPr>
                                <w:color w:val="051532" w:themeColor="text1"/>
                              </w:rPr>
                              <w:br/>
                            </w:r>
                            <w:hyperlink r:id="rId20" w:history="1">
                              <w:r w:rsidR="009A041C" w:rsidRPr="001D4756">
                                <w:rPr>
                                  <w:rStyle w:val="Hyperlink"/>
                                </w:rPr>
                                <w:t>Townsville (includes Mt Isa</w:t>
                              </w:r>
                            </w:hyperlink>
                            <w:r w:rsidR="009A041C">
                              <w:rPr>
                                <w:color w:val="051532" w:themeColor="text1"/>
                              </w:rPr>
                              <w:t>)</w:t>
                            </w:r>
                            <w:r w:rsidRPr="00E61F67">
                              <w:rPr>
                                <w:color w:val="051532" w:themeColor="text1"/>
                              </w:rPr>
                              <w:t xml:space="preserve"> Employment 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FB5E07" id="Rectangle: Rounded Corners 3" o:spid="_x0000_s1026" style="position:absolute;margin-left:230.9pt;margin-top:511.15pt;width:269.3pt;height:5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" fillcolor="#f4f4f4" stroked="f" strokeweight="1.25pt">
                <v:stroke joinstyle="miter"/>
                <v:textbox>
                  <w:txbxContent>
                    <w:p w14:paraId="03757906" w14:textId="43E08E27" w:rsidR="00DD7333" w:rsidRPr="00E61F67" w:rsidRDefault="0095291A" w:rsidP="00ED5138">
                      <w:pPr>
                        <w:spacing w:after="0"/>
                        <w:jc w:val="center"/>
                        <w:rPr>
                          <w:color w:val="051532" w:themeColor="text1"/>
                        </w:rPr>
                      </w:pPr>
                      <w:r w:rsidRPr="00E61F67">
                        <w:rPr>
                          <w:color w:val="051532" w:themeColor="text1"/>
                        </w:rPr>
                        <w:t xml:space="preserve">Explore labour market insights for </w:t>
                      </w:r>
                      <w:r w:rsidR="00ED5138" w:rsidRPr="00E61F67">
                        <w:rPr>
                          <w:color w:val="051532" w:themeColor="text1"/>
                        </w:rPr>
                        <w:br/>
                      </w:r>
                      <w:hyperlink r:id="rId21" w:history="1">
                        <w:r w:rsidR="009A041C" w:rsidRPr="001D4756">
                          <w:rPr>
                            <w:rStyle w:val="Hyperlink"/>
                          </w:rPr>
                          <w:t>Townsville (includes Mt Isa</w:t>
                        </w:r>
                      </w:hyperlink>
                      <w:r w:rsidR="009A041C">
                        <w:rPr>
                          <w:color w:val="051532" w:themeColor="text1"/>
                        </w:rPr>
                        <w:t>)</w:t>
                      </w:r>
                      <w:r w:rsidRPr="00E61F67">
                        <w:rPr>
                          <w:color w:val="051532" w:themeColor="text1"/>
                        </w:rPr>
                        <w:t xml:space="preserve"> Employment Region</w:t>
                      </w:r>
                    </w:p>
                  </w:txbxContent>
                </v:textbox>
                <w10:wrap anchory="page"/>
              </v:roundrect>
            </w:pict>
          </mc:Fallback>
        </mc:AlternateContent>
      </w:r>
      <w:r w:rsidR="000D06F7">
        <w:t xml:space="preserve">The Local Recovery Fund supports </w:t>
      </w:r>
      <w:r w:rsidR="0095291A">
        <w:t xml:space="preserve">projects </w:t>
      </w:r>
      <w:r w:rsidR="000D06F7">
        <w:t>that meet the priorities identified in the Local Jobs Plan. The National Priority Fund provides funding for innovative local solutions to address structural barriers to employment.</w:t>
      </w:r>
      <w:r w:rsidR="00DD7333">
        <w:br w:type="column"/>
      </w:r>
    </w:p>
    <w:p w14:paraId="4C34E113" w14:textId="714058FE" w:rsidR="00DD7333" w:rsidRPr="008C50DF" w:rsidRDefault="00D97972" w:rsidP="00FF212F">
      <w:pPr>
        <w:pStyle w:val="Heading2"/>
        <w:spacing w:before="480"/>
      </w:pPr>
      <w:r>
        <w:rPr>
          <w:rFonts w:eastAsia="Times New Roman"/>
        </w:rPr>
        <w:t xml:space="preserve">Local </w:t>
      </w:r>
      <w:r w:rsidR="00D17E31">
        <w:rPr>
          <w:rFonts w:eastAsia="Times New Roman"/>
        </w:rPr>
        <w:t>l</w:t>
      </w:r>
      <w:r w:rsidRPr="00250763">
        <w:rPr>
          <w:rFonts w:eastAsia="Times New Roman"/>
        </w:rPr>
        <w:t>abour</w:t>
      </w:r>
      <w:r>
        <w:rPr>
          <w:rFonts w:eastAsia="Times New Roman"/>
        </w:rPr>
        <w:t xml:space="preserve"> </w:t>
      </w:r>
      <w:r w:rsidR="00D17E31">
        <w:rPr>
          <w:rFonts w:eastAsia="Times New Roman"/>
        </w:rPr>
        <w:t>m</w:t>
      </w:r>
      <w:r>
        <w:rPr>
          <w:rFonts w:eastAsia="Times New Roman"/>
        </w:rPr>
        <w:t xml:space="preserve">arket </w:t>
      </w:r>
      <w:r w:rsidR="00D17E31">
        <w:rPr>
          <w:rFonts w:eastAsia="Times New Roman"/>
        </w:rPr>
        <w:t>c</w:t>
      </w:r>
      <w:r>
        <w:rPr>
          <w:rFonts w:eastAsia="Times New Roman"/>
        </w:rPr>
        <w:t>hallenges</w:t>
      </w:r>
      <w:r w:rsidR="0095291A">
        <w:rPr>
          <w:rFonts w:eastAsia="Times New Roman"/>
        </w:rPr>
        <w:t xml:space="preserve"> in the</w:t>
      </w:r>
      <w:r w:rsidR="00547102">
        <w:rPr>
          <w:rFonts w:eastAsia="Times New Roman"/>
        </w:rPr>
        <w:t xml:space="preserve"> region</w:t>
      </w:r>
      <w:r w:rsidR="0095291A">
        <w:rPr>
          <w:rFonts w:eastAsia="Times New Roman"/>
        </w:rPr>
        <w:t xml:space="preserve"> </w:t>
      </w:r>
    </w:p>
    <w:p w14:paraId="0C086AC9" w14:textId="77777777" w:rsidR="00DD7333" w:rsidRDefault="00DD7333" w:rsidP="00DD7333">
      <w:pPr>
        <w:numPr>
          <w:ilvl w:val="0"/>
          <w:numId w:val="14"/>
        </w:numPr>
        <w:spacing w:after="120"/>
        <w:sectPr w:rsidR="00DD7333" w:rsidSect="00DD7333">
          <w:headerReference w:type="default" r:id="rId22"/>
          <w:type w:val="continuous"/>
          <w:pgSz w:w="16840" w:h="23820"/>
          <w:pgMar w:top="1418" w:right="1418" w:bottom="1418" w:left="1418" w:header="0" w:footer="709" w:gutter="0"/>
          <w:cols w:space="708"/>
          <w:titlePg/>
          <w:docGrid w:linePitch="360"/>
        </w:sectPr>
      </w:pPr>
    </w:p>
    <w:p w14:paraId="0D801115" w14:textId="4B6E999C" w:rsidR="00250763" w:rsidRPr="0056416C" w:rsidRDefault="00516DA8" w:rsidP="00946437">
      <w:pPr>
        <w:pStyle w:val="ListParagraph"/>
        <w:numPr>
          <w:ilvl w:val="0"/>
          <w:numId w:val="14"/>
        </w:numPr>
        <w:spacing w:after="0" w:line="276" w:lineRule="auto"/>
        <w:ind w:left="284" w:hanging="284"/>
        <w:rPr>
          <w:rFonts w:cstheme="minorHAnsi"/>
          <w:szCs w:val="21"/>
        </w:rPr>
      </w:pPr>
      <w:r w:rsidRPr="00516DA8">
        <w:rPr>
          <w:rFonts w:cstheme="minorHAnsi"/>
          <w:szCs w:val="21"/>
        </w:rPr>
        <w:t xml:space="preserve">Access to appropriately skilled and experienced </w:t>
      </w:r>
      <w:r w:rsidR="00CF15DB">
        <w:rPr>
          <w:rFonts w:cstheme="minorHAnsi"/>
          <w:szCs w:val="21"/>
        </w:rPr>
        <w:t>individuals</w:t>
      </w:r>
      <w:r w:rsidRPr="00516DA8">
        <w:rPr>
          <w:rFonts w:cstheme="minorHAnsi"/>
          <w:szCs w:val="21"/>
        </w:rPr>
        <w:t xml:space="preserve"> continues to be the focus of conversation across many sectors, this could pose a future </w:t>
      </w:r>
      <w:r w:rsidRPr="0056416C">
        <w:rPr>
          <w:rFonts w:cstheme="minorHAnsi"/>
          <w:szCs w:val="21"/>
        </w:rPr>
        <w:t xml:space="preserve">threat to opportunities for youth and entry level </w:t>
      </w:r>
      <w:r w:rsidR="00946437">
        <w:rPr>
          <w:rFonts w:cstheme="minorHAnsi"/>
          <w:szCs w:val="21"/>
        </w:rPr>
        <w:t>i</w:t>
      </w:r>
      <w:r w:rsidR="0056416C">
        <w:rPr>
          <w:rFonts w:cstheme="minorHAnsi"/>
          <w:szCs w:val="21"/>
        </w:rPr>
        <w:t>ndividuals</w:t>
      </w:r>
      <w:r w:rsidRPr="0056416C">
        <w:rPr>
          <w:rFonts w:cstheme="minorHAnsi"/>
          <w:szCs w:val="21"/>
        </w:rPr>
        <w:t xml:space="preserve"> to access apprenticeship opportunities in cases where supervision requirements </w:t>
      </w:r>
      <w:r w:rsidR="0056416C">
        <w:rPr>
          <w:rFonts w:cstheme="minorHAnsi"/>
          <w:szCs w:val="21"/>
        </w:rPr>
        <w:t>are required</w:t>
      </w:r>
      <w:r w:rsidRPr="0056416C">
        <w:rPr>
          <w:rFonts w:cstheme="minorHAnsi"/>
          <w:szCs w:val="21"/>
        </w:rPr>
        <w:t>.</w:t>
      </w:r>
    </w:p>
    <w:p w14:paraId="49F28B22" w14:textId="760F9F56" w:rsidR="0056416C" w:rsidRPr="0081732E" w:rsidRDefault="00340371" w:rsidP="00946437">
      <w:pPr>
        <w:numPr>
          <w:ilvl w:val="0"/>
          <w:numId w:val="14"/>
        </w:numPr>
        <w:spacing w:after="0"/>
        <w:ind w:left="284" w:hanging="284"/>
        <w:rPr>
          <w:rFonts w:cstheme="minorHAnsi"/>
          <w:szCs w:val="21"/>
        </w:rPr>
      </w:pPr>
      <w:r w:rsidRPr="0081732E">
        <w:rPr>
          <w:rFonts w:cstheme="minorHAnsi"/>
          <w:szCs w:val="21"/>
        </w:rPr>
        <w:t>Aboriginal and Torres Strait Islander people represent</w:t>
      </w:r>
      <w:r w:rsidR="005F2307">
        <w:rPr>
          <w:rFonts w:cstheme="minorHAnsi"/>
          <w:szCs w:val="21"/>
        </w:rPr>
        <w:t>ed</w:t>
      </w:r>
      <w:r w:rsidR="0081732E" w:rsidRPr="0081732E">
        <w:rPr>
          <w:rFonts w:cstheme="minorHAnsi"/>
          <w:szCs w:val="21"/>
        </w:rPr>
        <w:t xml:space="preserve"> 9.28</w:t>
      </w:r>
      <w:r w:rsidR="006C7C2F">
        <w:rPr>
          <w:rFonts w:cstheme="minorHAnsi"/>
          <w:szCs w:val="21"/>
        </w:rPr>
        <w:t xml:space="preserve"> per cent</w:t>
      </w:r>
      <w:r w:rsidRPr="0081732E">
        <w:rPr>
          <w:rFonts w:cstheme="minorHAnsi"/>
          <w:szCs w:val="21"/>
        </w:rPr>
        <w:t xml:space="preserve"> of the population </w:t>
      </w:r>
      <w:r w:rsidR="0081732E" w:rsidRPr="0081732E">
        <w:rPr>
          <w:rFonts w:cstheme="minorHAnsi"/>
          <w:szCs w:val="21"/>
        </w:rPr>
        <w:t>in the Townsville Employment Region</w:t>
      </w:r>
      <w:r w:rsidR="005F2307">
        <w:rPr>
          <w:rFonts w:cstheme="minorHAnsi"/>
          <w:szCs w:val="21"/>
        </w:rPr>
        <w:t xml:space="preserve"> in 2021</w:t>
      </w:r>
      <w:r w:rsidR="00516DA8" w:rsidRPr="0081732E">
        <w:rPr>
          <w:rFonts w:cstheme="minorHAnsi"/>
          <w:szCs w:val="21"/>
        </w:rPr>
        <w:t xml:space="preserve">. </w:t>
      </w:r>
      <w:r w:rsidR="006C7C2F">
        <w:rPr>
          <w:rFonts w:cstheme="minorHAnsi"/>
          <w:szCs w:val="21"/>
        </w:rPr>
        <w:br/>
      </w:r>
      <w:r w:rsidR="00183F8F">
        <w:rPr>
          <w:rFonts w:cstheme="minorHAnsi"/>
          <w:szCs w:val="21"/>
        </w:rPr>
        <w:t>43</w:t>
      </w:r>
      <w:r w:rsidR="006C7C2F">
        <w:rPr>
          <w:rFonts w:cstheme="minorHAnsi"/>
          <w:szCs w:val="21"/>
        </w:rPr>
        <w:t xml:space="preserve"> per cent</w:t>
      </w:r>
      <w:r w:rsidR="00183F8F">
        <w:rPr>
          <w:rFonts w:cstheme="minorHAnsi"/>
          <w:szCs w:val="21"/>
        </w:rPr>
        <w:t xml:space="preserve"> of the total Workforces Australia </w:t>
      </w:r>
      <w:r w:rsidR="005F2307">
        <w:rPr>
          <w:rFonts w:cstheme="minorHAnsi"/>
          <w:szCs w:val="21"/>
        </w:rPr>
        <w:t xml:space="preserve">Employment Services </w:t>
      </w:r>
      <w:r w:rsidR="00183F8F">
        <w:rPr>
          <w:rFonts w:cstheme="minorHAnsi"/>
          <w:szCs w:val="21"/>
        </w:rPr>
        <w:t>caseloads are made up of Indigenous persons.</w:t>
      </w:r>
    </w:p>
    <w:p w14:paraId="65DFA567" w14:textId="4D23EB88" w:rsidR="0056416C" w:rsidRPr="005F2307" w:rsidRDefault="0056416C" w:rsidP="00946437">
      <w:pPr>
        <w:spacing w:after="0"/>
        <w:ind w:left="284"/>
        <w:rPr>
          <w:rFonts w:cstheme="minorHAnsi"/>
          <w:szCs w:val="21"/>
        </w:rPr>
      </w:pPr>
      <w:r w:rsidRPr="005F2307">
        <w:rPr>
          <w:rFonts w:cstheme="minorHAnsi"/>
          <w:szCs w:val="21"/>
        </w:rPr>
        <w:t xml:space="preserve">Educational attainment for the Indigenous population is </w:t>
      </w:r>
      <w:r w:rsidR="006C7C2F">
        <w:rPr>
          <w:rFonts w:cstheme="minorHAnsi"/>
          <w:szCs w:val="21"/>
        </w:rPr>
        <w:t xml:space="preserve">low, </w:t>
      </w:r>
      <w:r w:rsidRPr="005F2307">
        <w:rPr>
          <w:rFonts w:cstheme="minorHAnsi"/>
          <w:szCs w:val="21"/>
        </w:rPr>
        <w:t xml:space="preserve">with </w:t>
      </w:r>
      <w:r w:rsidR="006C7C2F">
        <w:rPr>
          <w:rFonts w:cstheme="minorHAnsi"/>
          <w:szCs w:val="21"/>
        </w:rPr>
        <w:br/>
      </w:r>
      <w:r w:rsidR="005F2307" w:rsidRPr="005F2307">
        <w:rPr>
          <w:rFonts w:cstheme="minorHAnsi"/>
          <w:szCs w:val="21"/>
        </w:rPr>
        <w:t>57</w:t>
      </w:r>
      <w:r w:rsidRPr="005F2307">
        <w:rPr>
          <w:rFonts w:cstheme="minorHAnsi"/>
          <w:szCs w:val="21"/>
        </w:rPr>
        <w:t xml:space="preserve"> per cent of the Indigenous population aged 25-</w:t>
      </w:r>
      <w:r w:rsidR="005F2307" w:rsidRPr="005F2307">
        <w:rPr>
          <w:rFonts w:cstheme="minorHAnsi"/>
          <w:szCs w:val="21"/>
        </w:rPr>
        <w:t>6</w:t>
      </w:r>
      <w:r w:rsidRPr="005F2307">
        <w:rPr>
          <w:rFonts w:cstheme="minorHAnsi"/>
          <w:szCs w:val="21"/>
        </w:rPr>
        <w:t xml:space="preserve">4 having attained a Certificate III level qualification or above, compared with </w:t>
      </w:r>
      <w:r w:rsidR="005F2307" w:rsidRPr="005F2307">
        <w:rPr>
          <w:rFonts w:cstheme="minorHAnsi"/>
          <w:szCs w:val="21"/>
        </w:rPr>
        <w:t xml:space="preserve">75 </w:t>
      </w:r>
      <w:r w:rsidRPr="005F2307">
        <w:rPr>
          <w:rFonts w:cstheme="minorHAnsi"/>
          <w:szCs w:val="21"/>
        </w:rPr>
        <w:t xml:space="preserve">per cent of non-Indigenous adults. Financial reasons </w:t>
      </w:r>
      <w:r w:rsidR="004A2B6A" w:rsidRPr="005F2307">
        <w:rPr>
          <w:rFonts w:cstheme="minorHAnsi"/>
          <w:szCs w:val="21"/>
        </w:rPr>
        <w:t>were</w:t>
      </w:r>
      <w:r w:rsidRPr="005F2307">
        <w:rPr>
          <w:rFonts w:cstheme="minorHAnsi"/>
          <w:szCs w:val="21"/>
        </w:rPr>
        <w:t xml:space="preserve"> the most commonly reported barrier to studying for a</w:t>
      </w:r>
      <w:r w:rsidR="006C7C2F">
        <w:rPr>
          <w:rFonts w:cstheme="minorHAnsi"/>
          <w:szCs w:val="21"/>
        </w:rPr>
        <w:t xml:space="preserve"> </w:t>
      </w:r>
      <w:r w:rsidRPr="005F2307">
        <w:rPr>
          <w:rFonts w:cstheme="minorHAnsi"/>
          <w:szCs w:val="21"/>
        </w:rPr>
        <w:t>qualification (20</w:t>
      </w:r>
      <w:r w:rsidR="005F2307" w:rsidRPr="005F2307">
        <w:rPr>
          <w:rFonts w:cstheme="minorHAnsi"/>
          <w:szCs w:val="21"/>
        </w:rPr>
        <w:t>.4</w:t>
      </w:r>
      <w:r w:rsidR="006C7C2F">
        <w:rPr>
          <w:rFonts w:cstheme="minorHAnsi"/>
          <w:szCs w:val="21"/>
        </w:rPr>
        <w:t xml:space="preserve"> per cent</w:t>
      </w:r>
      <w:r w:rsidRPr="005F2307">
        <w:rPr>
          <w:rFonts w:cstheme="minorHAnsi"/>
          <w:szCs w:val="21"/>
        </w:rPr>
        <w:t xml:space="preserve">). </w:t>
      </w:r>
    </w:p>
    <w:p w14:paraId="76548AA6" w14:textId="1FE6E1BF" w:rsidR="00516DA8" w:rsidRPr="00516DA8" w:rsidRDefault="00516DA8" w:rsidP="00946437">
      <w:pPr>
        <w:numPr>
          <w:ilvl w:val="0"/>
          <w:numId w:val="14"/>
        </w:numPr>
        <w:spacing w:after="0"/>
        <w:ind w:left="284" w:hanging="284"/>
        <w:rPr>
          <w:rFonts w:cstheme="minorHAnsi"/>
          <w:szCs w:val="21"/>
        </w:rPr>
      </w:pPr>
      <w:r w:rsidRPr="0056416C">
        <w:rPr>
          <w:rFonts w:cstheme="minorHAnsi"/>
          <w:szCs w:val="21"/>
        </w:rPr>
        <w:t xml:space="preserve">Access to childcare challenges across the region </w:t>
      </w:r>
      <w:r w:rsidR="008C1AE6">
        <w:rPr>
          <w:rFonts w:cstheme="minorHAnsi"/>
          <w:szCs w:val="21"/>
        </w:rPr>
        <w:t xml:space="preserve">include </w:t>
      </w:r>
      <w:r w:rsidRPr="0056416C">
        <w:rPr>
          <w:rFonts w:cstheme="minorHAnsi"/>
          <w:szCs w:val="21"/>
        </w:rPr>
        <w:t>limited spaces available and long wait lists, causing parents and carers barriers when looking to enter or</w:t>
      </w:r>
      <w:r w:rsidRPr="00516DA8">
        <w:rPr>
          <w:rFonts w:cstheme="minorHAnsi"/>
          <w:szCs w:val="21"/>
        </w:rPr>
        <w:t xml:space="preserve"> re-enter the workforce. </w:t>
      </w:r>
    </w:p>
    <w:p w14:paraId="26D2B3C7" w14:textId="210B00BF" w:rsidR="00516DA8" w:rsidRPr="00516DA8" w:rsidRDefault="00516DA8" w:rsidP="00AC51BE">
      <w:pPr>
        <w:keepNext/>
        <w:numPr>
          <w:ilvl w:val="0"/>
          <w:numId w:val="14"/>
        </w:numPr>
        <w:spacing w:after="0"/>
        <w:ind w:left="284" w:hanging="284"/>
        <w:rPr>
          <w:rFonts w:cstheme="minorHAnsi"/>
          <w:szCs w:val="21"/>
        </w:rPr>
      </w:pPr>
      <w:r w:rsidRPr="00516DA8">
        <w:rPr>
          <w:rFonts w:cstheme="minorHAnsi"/>
          <w:szCs w:val="21"/>
        </w:rPr>
        <w:t xml:space="preserve">The region has many outlying areas </w:t>
      </w:r>
      <w:r w:rsidR="008C1AE6">
        <w:rPr>
          <w:rFonts w:cstheme="minorHAnsi"/>
          <w:szCs w:val="21"/>
        </w:rPr>
        <w:t xml:space="preserve">with no </w:t>
      </w:r>
      <w:r w:rsidRPr="00516DA8">
        <w:rPr>
          <w:rFonts w:cstheme="minorHAnsi"/>
          <w:szCs w:val="21"/>
        </w:rPr>
        <w:t xml:space="preserve">(or very limited) public transport. There are no suburban rail services within the Townsville Employment Region and public transport in Mount Isa, Charters Towers, Ingham and Burdekin is limited to taxis only. </w:t>
      </w:r>
      <w:r w:rsidR="00AC51BE">
        <w:rPr>
          <w:rFonts w:cstheme="minorHAnsi"/>
          <w:szCs w:val="21"/>
        </w:rPr>
        <w:br/>
      </w:r>
      <w:r w:rsidRPr="00516DA8">
        <w:rPr>
          <w:rFonts w:cstheme="minorHAnsi"/>
          <w:szCs w:val="21"/>
        </w:rPr>
        <w:t xml:space="preserve">A greater reliance on private </w:t>
      </w:r>
      <w:r w:rsidR="000A5730">
        <w:rPr>
          <w:rFonts w:cstheme="minorHAnsi"/>
          <w:szCs w:val="21"/>
        </w:rPr>
        <w:t xml:space="preserve">vehicles </w:t>
      </w:r>
      <w:r w:rsidRPr="00516DA8">
        <w:rPr>
          <w:rFonts w:cstheme="minorHAnsi"/>
          <w:szCs w:val="21"/>
        </w:rPr>
        <w:t>may act as a barrier, particularly for disadvantaged individuals who do not have a valid driver license or regular access to a vehicle</w:t>
      </w:r>
      <w:r w:rsidR="008C1AE6">
        <w:rPr>
          <w:rFonts w:cstheme="minorHAnsi"/>
          <w:szCs w:val="21"/>
        </w:rPr>
        <w:t>.</w:t>
      </w:r>
    </w:p>
    <w:p w14:paraId="286D3419" w14:textId="409BBAFD" w:rsidR="001419D1" w:rsidRPr="00340371" w:rsidRDefault="00DB58EA" w:rsidP="00946437">
      <w:pPr>
        <w:numPr>
          <w:ilvl w:val="0"/>
          <w:numId w:val="14"/>
        </w:numPr>
        <w:spacing w:after="0"/>
        <w:ind w:left="284" w:hanging="284"/>
        <w:rPr>
          <w:rFonts w:cstheme="minorHAnsi"/>
          <w:szCs w:val="21"/>
        </w:rPr>
      </w:pPr>
      <w:r w:rsidRPr="00340371">
        <w:rPr>
          <w:rFonts w:cstheme="minorHAnsi"/>
          <w:szCs w:val="21"/>
        </w:rPr>
        <w:t xml:space="preserve">Limited learner driver supports available </w:t>
      </w:r>
      <w:r w:rsidR="00516DA8" w:rsidRPr="00340371">
        <w:rPr>
          <w:rFonts w:cstheme="minorHAnsi"/>
          <w:szCs w:val="21"/>
        </w:rPr>
        <w:t xml:space="preserve">throughout the region </w:t>
      </w:r>
      <w:r w:rsidRPr="00340371">
        <w:rPr>
          <w:rFonts w:cstheme="minorHAnsi"/>
          <w:szCs w:val="21"/>
        </w:rPr>
        <w:t xml:space="preserve">and wait lists for driving lessons are impacting individuals’ ability to gain the </w:t>
      </w:r>
      <w:r w:rsidR="00E64C15">
        <w:rPr>
          <w:rFonts w:cstheme="minorHAnsi"/>
          <w:szCs w:val="21"/>
        </w:rPr>
        <w:br/>
      </w:r>
      <w:r w:rsidRPr="00340371">
        <w:rPr>
          <w:rFonts w:cstheme="minorHAnsi"/>
          <w:szCs w:val="21"/>
        </w:rPr>
        <w:t xml:space="preserve">100 hours required for licencing. Limited mentors to support </w:t>
      </w:r>
      <w:r w:rsidR="00E64C15">
        <w:rPr>
          <w:rFonts w:cstheme="minorHAnsi"/>
          <w:szCs w:val="21"/>
        </w:rPr>
        <w:t xml:space="preserve">available </w:t>
      </w:r>
      <w:r w:rsidRPr="00340371">
        <w:rPr>
          <w:rFonts w:cstheme="minorHAnsi"/>
          <w:szCs w:val="21"/>
        </w:rPr>
        <w:t>Learner Driver programs is also impacting the number of individuals able to access the</w:t>
      </w:r>
      <w:r w:rsidR="00516DA8" w:rsidRPr="00340371">
        <w:rPr>
          <w:rFonts w:cstheme="minorHAnsi"/>
          <w:szCs w:val="21"/>
        </w:rPr>
        <w:t>se</w:t>
      </w:r>
      <w:r w:rsidRPr="00340371">
        <w:rPr>
          <w:rFonts w:cstheme="minorHAnsi"/>
          <w:szCs w:val="21"/>
        </w:rPr>
        <w:t xml:space="preserve"> services</w:t>
      </w:r>
      <w:r w:rsidR="00516DA8" w:rsidRPr="00340371">
        <w:rPr>
          <w:rFonts w:cstheme="minorHAnsi"/>
          <w:szCs w:val="21"/>
        </w:rPr>
        <w:t>.</w:t>
      </w:r>
    </w:p>
    <w:p w14:paraId="58B86D4D" w14:textId="0A312372" w:rsidR="00516DA8" w:rsidRPr="003F6CAE" w:rsidRDefault="00516DA8" w:rsidP="0056416C">
      <w:pPr>
        <w:numPr>
          <w:ilvl w:val="0"/>
          <w:numId w:val="14"/>
        </w:numPr>
        <w:spacing w:after="0"/>
        <w:ind w:left="284" w:hanging="284"/>
        <w:rPr>
          <w:rFonts w:cstheme="minorHAnsi"/>
          <w:szCs w:val="21"/>
        </w:rPr>
      </w:pPr>
      <w:r w:rsidRPr="003F6CAE">
        <w:rPr>
          <w:rFonts w:cstheme="minorHAnsi"/>
          <w:szCs w:val="21"/>
        </w:rPr>
        <w:t>Access to appropriate training is limited within the rural and remote areas of the region</w:t>
      </w:r>
      <w:r w:rsidR="00E64C15">
        <w:rPr>
          <w:rFonts w:cstheme="minorHAnsi"/>
          <w:szCs w:val="21"/>
        </w:rPr>
        <w:t>.</w:t>
      </w:r>
      <w:r w:rsidRPr="003F6CAE">
        <w:rPr>
          <w:rFonts w:cstheme="minorHAnsi"/>
          <w:szCs w:val="21"/>
        </w:rPr>
        <w:t xml:space="preserve"> Registered Training Organisations</w:t>
      </w:r>
      <w:r w:rsidR="000A5730">
        <w:rPr>
          <w:rFonts w:cstheme="minorHAnsi"/>
          <w:szCs w:val="21"/>
        </w:rPr>
        <w:t xml:space="preserve"> on the ground</w:t>
      </w:r>
      <w:r w:rsidR="00E64C15">
        <w:rPr>
          <w:rFonts w:cstheme="minorHAnsi"/>
          <w:szCs w:val="21"/>
        </w:rPr>
        <w:t xml:space="preserve"> </w:t>
      </w:r>
      <w:r w:rsidR="000A5730">
        <w:rPr>
          <w:rFonts w:cstheme="minorHAnsi"/>
          <w:szCs w:val="21"/>
        </w:rPr>
        <w:t>are</w:t>
      </w:r>
      <w:r w:rsidR="00E64C15">
        <w:rPr>
          <w:rFonts w:cstheme="minorHAnsi"/>
          <w:szCs w:val="21"/>
        </w:rPr>
        <w:t xml:space="preserve"> minimal</w:t>
      </w:r>
      <w:r w:rsidR="00D1043E">
        <w:rPr>
          <w:rFonts w:cstheme="minorHAnsi"/>
          <w:szCs w:val="21"/>
        </w:rPr>
        <w:t>, with</w:t>
      </w:r>
      <w:r w:rsidR="00E64C15">
        <w:rPr>
          <w:rFonts w:cstheme="minorHAnsi"/>
          <w:szCs w:val="21"/>
        </w:rPr>
        <w:t xml:space="preserve"> </w:t>
      </w:r>
      <w:r w:rsidRPr="003F6CAE">
        <w:rPr>
          <w:rFonts w:cstheme="minorHAnsi"/>
          <w:szCs w:val="21"/>
        </w:rPr>
        <w:t>costs for face-to-face training</w:t>
      </w:r>
      <w:r w:rsidR="00340371" w:rsidRPr="003F6CAE">
        <w:rPr>
          <w:rFonts w:cstheme="minorHAnsi"/>
          <w:szCs w:val="21"/>
        </w:rPr>
        <w:t xml:space="preserve"> </w:t>
      </w:r>
      <w:r w:rsidRPr="003F6CAE">
        <w:rPr>
          <w:rFonts w:cstheme="minorHAnsi"/>
          <w:szCs w:val="21"/>
        </w:rPr>
        <w:t>needs</w:t>
      </w:r>
      <w:r w:rsidR="00D1043E">
        <w:rPr>
          <w:rFonts w:cstheme="minorHAnsi"/>
          <w:szCs w:val="21"/>
        </w:rPr>
        <w:t xml:space="preserve"> </w:t>
      </w:r>
      <w:r w:rsidRPr="003F6CAE">
        <w:rPr>
          <w:rFonts w:cstheme="minorHAnsi"/>
          <w:szCs w:val="21"/>
        </w:rPr>
        <w:t>excessive. Minimum numbers of requirements set by providers also limit</w:t>
      </w:r>
      <w:r w:rsidR="005F2307">
        <w:rPr>
          <w:rFonts w:cstheme="minorHAnsi"/>
          <w:szCs w:val="21"/>
        </w:rPr>
        <w:t>s</w:t>
      </w:r>
      <w:r w:rsidRPr="003F6CAE">
        <w:rPr>
          <w:rFonts w:cstheme="minorHAnsi"/>
          <w:szCs w:val="21"/>
        </w:rPr>
        <w:t xml:space="preserve"> opportunities for access to training</w:t>
      </w:r>
      <w:r w:rsidR="00340371" w:rsidRPr="003F6CAE">
        <w:rPr>
          <w:rFonts w:cstheme="minorHAnsi"/>
          <w:szCs w:val="21"/>
        </w:rPr>
        <w:t>.</w:t>
      </w:r>
    </w:p>
    <w:p w14:paraId="7F008EC4" w14:textId="567B86A8" w:rsidR="003F6CAE" w:rsidRPr="005F2307" w:rsidRDefault="00112F36" w:rsidP="005F2307">
      <w:pPr>
        <w:numPr>
          <w:ilvl w:val="0"/>
          <w:numId w:val="14"/>
        </w:numPr>
        <w:spacing w:after="0"/>
        <w:ind w:left="284" w:hanging="284"/>
        <w:rPr>
          <w:rFonts w:cstheme="minorHAnsi"/>
          <w:szCs w:val="21"/>
        </w:rPr>
      </w:pPr>
      <w:r w:rsidRPr="002A4D5A">
        <w:rPr>
          <w:rFonts w:cstheme="minorHAnsi"/>
          <w:szCs w:val="21"/>
        </w:rPr>
        <w:t xml:space="preserve">As </w:t>
      </w:r>
      <w:r w:rsidR="00225A74" w:rsidRPr="002A4D5A">
        <w:rPr>
          <w:rFonts w:cstheme="minorHAnsi"/>
          <w:szCs w:val="21"/>
        </w:rPr>
        <w:t>of</w:t>
      </w:r>
      <w:r w:rsidRPr="002A4D5A">
        <w:rPr>
          <w:rFonts w:cstheme="minorHAnsi"/>
          <w:szCs w:val="21"/>
        </w:rPr>
        <w:t xml:space="preserve"> December 2022</w:t>
      </w:r>
      <w:r w:rsidR="003F6CAE" w:rsidRPr="002A4D5A">
        <w:rPr>
          <w:rFonts w:cstheme="minorHAnsi"/>
          <w:szCs w:val="21"/>
        </w:rPr>
        <w:t xml:space="preserve">, </w:t>
      </w:r>
      <w:r w:rsidRPr="002A4D5A">
        <w:rPr>
          <w:rFonts w:cstheme="minorHAnsi"/>
          <w:szCs w:val="21"/>
        </w:rPr>
        <w:t xml:space="preserve">individuals aged </w:t>
      </w:r>
      <w:r w:rsidR="003F6CAE" w:rsidRPr="002A4D5A">
        <w:rPr>
          <w:rFonts w:cstheme="minorHAnsi"/>
          <w:szCs w:val="21"/>
        </w:rPr>
        <w:t>15</w:t>
      </w:r>
      <w:r w:rsidR="006C7C2F">
        <w:rPr>
          <w:rFonts w:cstheme="minorHAnsi"/>
          <w:szCs w:val="21"/>
        </w:rPr>
        <w:t>-</w:t>
      </w:r>
      <w:r w:rsidR="003F6CAE" w:rsidRPr="002A4D5A">
        <w:rPr>
          <w:rFonts w:cstheme="minorHAnsi"/>
          <w:szCs w:val="21"/>
        </w:rPr>
        <w:t>24</w:t>
      </w:r>
      <w:r w:rsidR="005F2307">
        <w:rPr>
          <w:rFonts w:cstheme="minorHAnsi"/>
          <w:szCs w:val="21"/>
        </w:rPr>
        <w:t xml:space="preserve"> </w:t>
      </w:r>
      <w:r w:rsidR="003F6CAE" w:rsidRPr="005F2307">
        <w:rPr>
          <w:rFonts w:cstheme="minorHAnsi"/>
          <w:szCs w:val="21"/>
        </w:rPr>
        <w:t>year</w:t>
      </w:r>
      <w:r w:rsidRPr="005F2307">
        <w:rPr>
          <w:rFonts w:cstheme="minorHAnsi"/>
          <w:szCs w:val="21"/>
        </w:rPr>
        <w:t xml:space="preserve">s represented over </w:t>
      </w:r>
      <w:r w:rsidR="006C7C2F">
        <w:rPr>
          <w:rFonts w:cstheme="minorHAnsi"/>
          <w:szCs w:val="21"/>
        </w:rPr>
        <w:br/>
      </w:r>
      <w:r w:rsidRPr="005F2307">
        <w:rPr>
          <w:rFonts w:cstheme="minorHAnsi"/>
          <w:szCs w:val="21"/>
        </w:rPr>
        <w:t>20</w:t>
      </w:r>
      <w:r w:rsidR="006C7C2F">
        <w:rPr>
          <w:rFonts w:cstheme="minorHAnsi"/>
          <w:szCs w:val="21"/>
        </w:rPr>
        <w:t xml:space="preserve"> per cent</w:t>
      </w:r>
      <w:r w:rsidRPr="005F2307">
        <w:rPr>
          <w:rFonts w:cstheme="minorHAnsi"/>
          <w:szCs w:val="21"/>
        </w:rPr>
        <w:t xml:space="preserve"> of the total Workforce Australia </w:t>
      </w:r>
      <w:r w:rsidR="005F2307">
        <w:rPr>
          <w:rFonts w:cstheme="minorHAnsi"/>
          <w:szCs w:val="21"/>
        </w:rPr>
        <w:t xml:space="preserve">Employment Services </w:t>
      </w:r>
      <w:r w:rsidRPr="005F2307">
        <w:rPr>
          <w:rFonts w:cstheme="minorHAnsi"/>
          <w:szCs w:val="21"/>
        </w:rPr>
        <w:t xml:space="preserve">caseloads in the Townsville Employment Region. </w:t>
      </w:r>
      <w:r w:rsidR="00516DA8" w:rsidRPr="005F2307">
        <w:rPr>
          <w:rFonts w:cstheme="minorHAnsi"/>
          <w:szCs w:val="21"/>
        </w:rPr>
        <w:t xml:space="preserve">Having a significant amount of young people </w:t>
      </w:r>
      <w:r w:rsidRPr="005F2307">
        <w:rPr>
          <w:rFonts w:cstheme="minorHAnsi"/>
          <w:szCs w:val="21"/>
        </w:rPr>
        <w:t xml:space="preserve">disengaged from </w:t>
      </w:r>
      <w:r w:rsidR="002A4D5A" w:rsidRPr="005F2307">
        <w:rPr>
          <w:rFonts w:cstheme="minorHAnsi"/>
          <w:szCs w:val="21"/>
        </w:rPr>
        <w:t xml:space="preserve">education, </w:t>
      </w:r>
      <w:r w:rsidR="00516DA8" w:rsidRPr="005F2307">
        <w:rPr>
          <w:rFonts w:cstheme="minorHAnsi"/>
          <w:szCs w:val="21"/>
        </w:rPr>
        <w:t xml:space="preserve">work </w:t>
      </w:r>
      <w:r w:rsidR="002A4D5A" w:rsidRPr="005F2307">
        <w:rPr>
          <w:rFonts w:cstheme="minorHAnsi"/>
          <w:szCs w:val="21"/>
        </w:rPr>
        <w:t xml:space="preserve">or training </w:t>
      </w:r>
      <w:r w:rsidR="00516DA8" w:rsidRPr="005F2307">
        <w:rPr>
          <w:rFonts w:cstheme="minorHAnsi"/>
          <w:szCs w:val="21"/>
        </w:rPr>
        <w:t>can negatively impact a community's economic growth and development.</w:t>
      </w:r>
      <w:r w:rsidR="00045D72">
        <w:rPr>
          <w:rFonts w:cstheme="minorHAnsi"/>
          <w:szCs w:val="21"/>
        </w:rPr>
        <w:t xml:space="preserve"> If left </w:t>
      </w:r>
      <w:r w:rsidR="00516DA8" w:rsidRPr="005F2307">
        <w:rPr>
          <w:rFonts w:cstheme="minorHAnsi"/>
          <w:szCs w:val="21"/>
        </w:rPr>
        <w:t xml:space="preserve">unchecked, youth </w:t>
      </w:r>
      <w:r w:rsidR="002A4D5A" w:rsidRPr="005F2307">
        <w:rPr>
          <w:rFonts w:cstheme="minorHAnsi"/>
          <w:szCs w:val="21"/>
        </w:rPr>
        <w:t xml:space="preserve">disengagement </w:t>
      </w:r>
      <w:r w:rsidR="00516DA8" w:rsidRPr="005F2307">
        <w:rPr>
          <w:rFonts w:cstheme="minorHAnsi"/>
          <w:szCs w:val="21"/>
        </w:rPr>
        <w:t xml:space="preserve">can have serious social repercussions such as an increase in crime rates and long-term unemployment as they reach adulthood. </w:t>
      </w:r>
    </w:p>
    <w:p w14:paraId="67EACD9D" w14:textId="77777777" w:rsidR="00225A74" w:rsidRDefault="00225A74" w:rsidP="00FF212F">
      <w:pPr>
        <w:pStyle w:val="Heading2"/>
        <w:spacing w:before="120"/>
        <w:sectPr w:rsidR="00225A74" w:rsidSect="00225A74">
          <w:type w:val="continuous"/>
          <w:pgSz w:w="16840" w:h="23820"/>
          <w:pgMar w:top="1418" w:right="1418" w:bottom="1418" w:left="1418" w:header="0" w:footer="709" w:gutter="0"/>
          <w:cols w:num="2" w:space="708"/>
          <w:titlePg/>
          <w:docGrid w:linePitch="360"/>
        </w:sectPr>
      </w:pPr>
    </w:p>
    <w:p w14:paraId="408C2363" w14:textId="5BB8478F" w:rsidR="00A8385D" w:rsidRPr="008C50DF" w:rsidRDefault="00547102" w:rsidP="00FF212F">
      <w:pPr>
        <w:pStyle w:val="Heading2"/>
        <w:spacing w:before="120"/>
        <w:sectPr w:rsidR="00A8385D" w:rsidRPr="008C50DF" w:rsidSect="00DD7333">
          <w:type w:val="continuous"/>
          <w:pgSz w:w="16840" w:h="23820"/>
          <w:pgMar w:top="1418" w:right="1418" w:bottom="1418" w:left="1418" w:header="0" w:footer="709" w:gutter="0"/>
          <w:cols w:space="708"/>
          <w:titlePg/>
          <w:docGrid w:linePitch="360"/>
        </w:sectPr>
      </w:pPr>
      <w:r>
        <w:t>Local j</w:t>
      </w:r>
      <w:r w:rsidR="00014617" w:rsidRPr="008C50DF">
        <w:t xml:space="preserve">obs and </w:t>
      </w:r>
      <w:r w:rsidR="00D17E31">
        <w:t>s</w:t>
      </w:r>
      <w:r w:rsidR="00014617" w:rsidRPr="008C50DF">
        <w:t xml:space="preserve">kills </w:t>
      </w:r>
      <w:r w:rsidR="00D17E31">
        <w:t>p</w:t>
      </w:r>
      <w:r w:rsidR="00014617" w:rsidRPr="008C50DF">
        <w:t xml:space="preserve">riorities and </w:t>
      </w:r>
      <w:r w:rsidR="00D17E31">
        <w:t>s</w:t>
      </w:r>
      <w:r w:rsidR="00014617" w:rsidRPr="008C50DF">
        <w:t xml:space="preserve">trategies in the </w:t>
      </w:r>
      <w:r w:rsidR="00D17E31">
        <w:t>r</w:t>
      </w:r>
      <w:r w:rsidR="00014617" w:rsidRPr="008C50DF">
        <w:t>egion</w:t>
      </w:r>
    </w:p>
    <w:p w14:paraId="777CCDD7" w14:textId="58C74048" w:rsidR="00A8385D" w:rsidRDefault="00A8385D" w:rsidP="00FF212F">
      <w:pPr>
        <w:pStyle w:val="Heading3"/>
        <w:spacing w:before="120"/>
      </w:pPr>
      <w:r>
        <w:t xml:space="preserve">Priority 1 </w:t>
      </w:r>
      <w:r w:rsidRPr="00B35A6C">
        <w:t>–</w:t>
      </w:r>
      <w:r w:rsidR="001419D1">
        <w:t xml:space="preserve"> </w:t>
      </w:r>
      <w:r w:rsidR="001419D1" w:rsidRPr="001419D1">
        <w:t>Maximising the benefits of existing Australian Government, Queensland Government, local council and community driven employment and skills initiatives and funding to address current labour shortages and skills gaps</w:t>
      </w:r>
      <w:r w:rsidR="006C7C2F">
        <w:t>.</w:t>
      </w:r>
    </w:p>
    <w:p w14:paraId="09F1A8FF" w14:textId="1316C80F" w:rsidR="00A8385D" w:rsidRDefault="00A8385D" w:rsidP="00A8385D">
      <w:pPr>
        <w:pStyle w:val="Heading4"/>
        <w:spacing w:before="0"/>
      </w:pPr>
      <w:r>
        <w:t>What are our challenges</w:t>
      </w:r>
      <w:r w:rsidR="00045D72">
        <w:t xml:space="preserve"> and opportunities?</w:t>
      </w:r>
    </w:p>
    <w:p w14:paraId="49F5A1AD" w14:textId="579F7C55" w:rsidR="00682558" w:rsidRDefault="002D71D8" w:rsidP="002D71D8">
      <w:pPr>
        <w:spacing w:after="0"/>
      </w:pPr>
      <w:r w:rsidRPr="00682558">
        <w:t>Access to appropriate funding and programs to support current labour market needs can be a challenge with i</w:t>
      </w:r>
      <w:r w:rsidR="00111984" w:rsidRPr="00682558">
        <w:t xml:space="preserve">ncompatible </w:t>
      </w:r>
      <w:r w:rsidRPr="00682558">
        <w:t>t</w:t>
      </w:r>
      <w:r w:rsidR="00111984" w:rsidRPr="00682558">
        <w:t>imeframes</w:t>
      </w:r>
      <w:r w:rsidRPr="00682558">
        <w:t xml:space="preserve"> and appropriate initiatives available</w:t>
      </w:r>
      <w:r w:rsidR="00682558" w:rsidRPr="00682558">
        <w:t>. The capacity and capability</w:t>
      </w:r>
      <w:r w:rsidR="00682558">
        <w:t xml:space="preserve"> of key organisations able to deliver such programs differs across the region with limited access and awareness in some areas.</w:t>
      </w:r>
    </w:p>
    <w:p w14:paraId="18E92D0A" w14:textId="77777777" w:rsidR="00A8385D" w:rsidRPr="00250763" w:rsidRDefault="00A8385D" w:rsidP="00A8385D">
      <w:pPr>
        <w:pStyle w:val="Heading4"/>
        <w:spacing w:before="0"/>
        <w:rPr>
          <w:iCs w:val="0"/>
        </w:rPr>
      </w:pPr>
      <w:r w:rsidRPr="00250763">
        <w:rPr>
          <w:iCs w:val="0"/>
        </w:rPr>
        <w:t>How are we responding?</w:t>
      </w:r>
    </w:p>
    <w:p w14:paraId="65DA6773" w14:textId="5BAFD45D" w:rsidR="00A861C9" w:rsidRDefault="00DB58EA" w:rsidP="00946437">
      <w:pPr>
        <w:pStyle w:val="ListBullet"/>
        <w:keepLines/>
        <w:numPr>
          <w:ilvl w:val="0"/>
          <w:numId w:val="12"/>
        </w:numPr>
        <w:tabs>
          <w:tab w:val="left" w:pos="851"/>
        </w:tabs>
        <w:suppressAutoHyphens/>
        <w:autoSpaceDE w:val="0"/>
        <w:autoSpaceDN w:val="0"/>
        <w:adjustRightInd w:val="0"/>
        <w:spacing w:after="0" w:line="276" w:lineRule="auto"/>
        <w:ind w:left="284" w:hanging="284"/>
        <w:mirrorIndents/>
        <w:textAlignment w:val="center"/>
      </w:pPr>
      <w:r>
        <w:t>The Local Jobs and Skills Taskforce (The Taskforce) continue to w</w:t>
      </w:r>
      <w:r w:rsidR="00A861C9">
        <w:t xml:space="preserve">ork with </w:t>
      </w:r>
      <w:r w:rsidR="002D71D8">
        <w:t>key stakeholders</w:t>
      </w:r>
      <w:r w:rsidR="00A861C9">
        <w:t xml:space="preserve"> to </w:t>
      </w:r>
      <w:r w:rsidR="00682558">
        <w:t xml:space="preserve">increase awareness and capability around opportunities to </w:t>
      </w:r>
      <w:r w:rsidR="00A861C9">
        <w:t>create immediate employment opportunities leveraging State and Federal Government funding initiatives.</w:t>
      </w:r>
    </w:p>
    <w:p w14:paraId="5B4CF6D3" w14:textId="43994AFF" w:rsidR="00A861C9" w:rsidRPr="00111984" w:rsidRDefault="00DB58EA" w:rsidP="00946437">
      <w:pPr>
        <w:pStyle w:val="ListBullet"/>
        <w:keepLines/>
        <w:numPr>
          <w:ilvl w:val="0"/>
          <w:numId w:val="12"/>
        </w:numPr>
        <w:tabs>
          <w:tab w:val="left" w:pos="851"/>
        </w:tabs>
        <w:suppressAutoHyphens/>
        <w:autoSpaceDE w:val="0"/>
        <w:autoSpaceDN w:val="0"/>
        <w:adjustRightInd w:val="0"/>
        <w:spacing w:after="0" w:line="276" w:lineRule="auto"/>
        <w:ind w:left="284" w:hanging="284"/>
        <w:mirrorIndents/>
        <w:textAlignment w:val="center"/>
      </w:pPr>
      <w:r>
        <w:t>The Taskforce will provide input and advice to assist in i</w:t>
      </w:r>
      <w:r w:rsidR="00111984">
        <w:t>dentify</w:t>
      </w:r>
      <w:r>
        <w:t>ing</w:t>
      </w:r>
      <w:r w:rsidR="00111984">
        <w:t xml:space="preserve"> </w:t>
      </w:r>
      <w:r w:rsidR="00A861C9" w:rsidRPr="00111984">
        <w:t xml:space="preserve">the range of training options </w:t>
      </w:r>
      <w:r w:rsidR="00111984">
        <w:t xml:space="preserve">and programs </w:t>
      </w:r>
      <w:r w:rsidR="00A861C9" w:rsidRPr="00111984">
        <w:t xml:space="preserve">(full qualification, short course, skill sets) </w:t>
      </w:r>
      <w:r w:rsidR="00111984">
        <w:t xml:space="preserve">that are </w:t>
      </w:r>
      <w:r w:rsidR="00A861C9" w:rsidRPr="00111984">
        <w:t xml:space="preserve">directly linked to current workforce demand in the region to provide </w:t>
      </w:r>
      <w:r w:rsidR="00111984">
        <w:t xml:space="preserve">individuals </w:t>
      </w:r>
      <w:r w:rsidR="00A861C9" w:rsidRPr="00111984">
        <w:t xml:space="preserve">with a </w:t>
      </w:r>
      <w:r w:rsidR="00111984">
        <w:t>s</w:t>
      </w:r>
      <w:r w:rsidR="00A861C9" w:rsidRPr="00111984">
        <w:t>treamlined pathway</w:t>
      </w:r>
      <w:r w:rsidR="00111984">
        <w:t>s</w:t>
      </w:r>
      <w:r w:rsidR="00A861C9" w:rsidRPr="00111984">
        <w:t xml:space="preserve"> to upskilling and reskilling information.  </w:t>
      </w:r>
    </w:p>
    <w:p w14:paraId="191F1423" w14:textId="3178FB68" w:rsidR="00A861C9" w:rsidRPr="00AB0F24" w:rsidRDefault="009E2E83" w:rsidP="003764B3">
      <w:pPr>
        <w:pStyle w:val="ListBullet"/>
        <w:keepLines/>
        <w:numPr>
          <w:ilvl w:val="0"/>
          <w:numId w:val="12"/>
        </w:numPr>
        <w:tabs>
          <w:tab w:val="left" w:pos="851"/>
        </w:tabs>
        <w:suppressAutoHyphens/>
        <w:autoSpaceDE w:val="0"/>
        <w:autoSpaceDN w:val="0"/>
        <w:adjustRightInd w:val="0"/>
        <w:spacing w:after="0" w:line="276" w:lineRule="auto"/>
        <w:ind w:left="284" w:hanging="284"/>
        <w:contextualSpacing w:val="0"/>
        <w:mirrorIndents/>
        <w:textAlignment w:val="center"/>
      </w:pPr>
      <w:r>
        <w:lastRenderedPageBreak/>
        <w:t xml:space="preserve">Utilising the Taskforce and other key stakeholders, </w:t>
      </w:r>
      <w:r w:rsidR="00DB58EA">
        <w:t>e</w:t>
      </w:r>
      <w:r w:rsidR="00A861C9">
        <w:t>ncourag</w:t>
      </w:r>
      <w:r w:rsidR="00DB58EA">
        <w:t>e</w:t>
      </w:r>
      <w:r>
        <w:t xml:space="preserve"> and link</w:t>
      </w:r>
      <w:r w:rsidR="00DB58EA">
        <w:t xml:space="preserve"> </w:t>
      </w:r>
      <w:r w:rsidR="00111984">
        <w:t xml:space="preserve">individuals </w:t>
      </w:r>
      <w:r w:rsidR="00A861C9">
        <w:t>to recognise career paths and other development opportunities</w:t>
      </w:r>
      <w:r w:rsidR="00DB58EA">
        <w:t xml:space="preserve"> through</w:t>
      </w:r>
      <w:r>
        <w:t xml:space="preserve"> </w:t>
      </w:r>
      <w:r w:rsidR="00AB5A39">
        <w:t xml:space="preserve">open discussions, </w:t>
      </w:r>
      <w:r>
        <w:t>online webinars and Industry showcase events.</w:t>
      </w:r>
    </w:p>
    <w:p w14:paraId="4DFD8784" w14:textId="6BFEB6D7" w:rsidR="00A8385D" w:rsidRDefault="00A8385D" w:rsidP="00A8385D">
      <w:pPr>
        <w:pStyle w:val="Heading3"/>
      </w:pPr>
      <w:r w:rsidRPr="00250763">
        <w:t xml:space="preserve">Priority 2 – </w:t>
      </w:r>
      <w:r w:rsidR="00A861C9" w:rsidRPr="00A861C9">
        <w:t>Create pathways into major and growth industries within the employment region</w:t>
      </w:r>
      <w:r w:rsidR="000A5730">
        <w:t>.</w:t>
      </w:r>
    </w:p>
    <w:p w14:paraId="1244AEE5" w14:textId="1AA3F7BD" w:rsidR="00A8385D" w:rsidRPr="006B093A" w:rsidRDefault="00A8385D" w:rsidP="00A8385D">
      <w:pPr>
        <w:pStyle w:val="Heading4"/>
        <w:spacing w:before="0"/>
        <w:rPr>
          <w:highlight w:val="yellow"/>
        </w:rPr>
      </w:pPr>
      <w:r>
        <w:t xml:space="preserve">What are our </w:t>
      </w:r>
      <w:r w:rsidRPr="00DD4ACD">
        <w:t>challenges</w:t>
      </w:r>
      <w:r w:rsidR="00FD6D7B">
        <w:t xml:space="preserve"> and opportunities?</w:t>
      </w:r>
    </w:p>
    <w:p w14:paraId="7B89EB25" w14:textId="0160E3F4" w:rsidR="003C358C" w:rsidRDefault="00111984" w:rsidP="00250763">
      <w:pPr>
        <w:spacing w:after="0"/>
      </w:pPr>
      <w:r w:rsidRPr="00DD4ACD">
        <w:t xml:space="preserve">Lead in time for projects to commence don’t allow sufficient time to skill individuals for participation on </w:t>
      </w:r>
      <w:r w:rsidR="00DD4ACD" w:rsidRPr="00DD4ACD">
        <w:t>upcoming</w:t>
      </w:r>
      <w:r w:rsidRPr="00DD4ACD">
        <w:t xml:space="preserve"> projects</w:t>
      </w:r>
      <w:r w:rsidR="00DD4ACD" w:rsidRPr="00DD4ACD">
        <w:t xml:space="preserve"> particularly in areas of g</w:t>
      </w:r>
      <w:r w:rsidR="003C358C" w:rsidRPr="00DD4ACD">
        <w:t>rowth</w:t>
      </w:r>
      <w:r w:rsidR="003764B3">
        <w:br/>
        <w:t>(</w:t>
      </w:r>
      <w:r w:rsidR="004A2B6A" w:rsidRPr="00DD4ACD">
        <w:t>e.g.</w:t>
      </w:r>
      <w:r w:rsidR="005F2307">
        <w:t xml:space="preserve"> </w:t>
      </w:r>
      <w:r w:rsidR="009A041C">
        <w:t>h</w:t>
      </w:r>
      <w:r w:rsidR="003C358C" w:rsidRPr="00DD4ACD">
        <w:t xml:space="preserve">ydrogen, renewables) </w:t>
      </w:r>
      <w:r w:rsidR="004A2B6A" w:rsidRPr="00DD4ACD">
        <w:t>where</w:t>
      </w:r>
      <w:r w:rsidR="00DD4ACD" w:rsidRPr="00DD4ACD">
        <w:t xml:space="preserve"> </w:t>
      </w:r>
      <w:r w:rsidR="003C358C" w:rsidRPr="00DD4ACD">
        <w:t xml:space="preserve">suitable training </w:t>
      </w:r>
      <w:r w:rsidR="00DD4ACD" w:rsidRPr="00DD4ACD">
        <w:t xml:space="preserve">options are </w:t>
      </w:r>
      <w:r w:rsidR="003C358C" w:rsidRPr="00DD4ACD">
        <w:t xml:space="preserve">not </w:t>
      </w:r>
      <w:r w:rsidR="00DD4ACD" w:rsidRPr="00DD4ACD">
        <w:t xml:space="preserve">yet </w:t>
      </w:r>
      <w:r w:rsidR="003C358C" w:rsidRPr="00DD4ACD">
        <w:t>available</w:t>
      </w:r>
      <w:r w:rsidR="00DD4ACD" w:rsidRPr="00DD4ACD">
        <w:t xml:space="preserve"> or suitably </w:t>
      </w:r>
      <w:r w:rsidR="003C358C" w:rsidRPr="00DD4ACD">
        <w:t>aligned</w:t>
      </w:r>
      <w:r w:rsidR="00DD4ACD" w:rsidRPr="00DD4ACD">
        <w:t xml:space="preserve"> to Industry needs.</w:t>
      </w:r>
    </w:p>
    <w:p w14:paraId="50061DAC" w14:textId="3A58520F" w:rsidR="006B093A" w:rsidRDefault="006B093A" w:rsidP="00250763">
      <w:pPr>
        <w:spacing w:after="0"/>
      </w:pPr>
      <w:r w:rsidRPr="00DD4ACD">
        <w:t>Access to appropriate</w:t>
      </w:r>
      <w:r w:rsidR="002366B3">
        <w:t xml:space="preserve"> and affordable</w:t>
      </w:r>
      <w:r w:rsidRPr="00DD4ACD">
        <w:t xml:space="preserve"> training is</w:t>
      </w:r>
      <w:r w:rsidR="00DD4ACD" w:rsidRPr="00DD4ACD">
        <w:t xml:space="preserve"> also</w:t>
      </w:r>
      <w:r w:rsidRPr="00DD4ACD">
        <w:t xml:space="preserve"> limited within the rural and remote Local Government Areas of the region with minimal on ground Registered Training Organisations to </w:t>
      </w:r>
      <w:r w:rsidR="00DD4ACD" w:rsidRPr="00DD4ACD">
        <w:t>provide appropriate, accessible and affordable training options for individuals.</w:t>
      </w:r>
    </w:p>
    <w:p w14:paraId="537AAC33" w14:textId="77777777" w:rsidR="00A8385D" w:rsidRPr="00250763" w:rsidRDefault="00A8385D" w:rsidP="00A8385D">
      <w:pPr>
        <w:pStyle w:val="Heading4"/>
        <w:spacing w:before="0"/>
        <w:rPr>
          <w:iCs w:val="0"/>
        </w:rPr>
      </w:pPr>
      <w:r w:rsidRPr="00250763">
        <w:rPr>
          <w:iCs w:val="0"/>
        </w:rPr>
        <w:t>How are we responding?</w:t>
      </w:r>
    </w:p>
    <w:p w14:paraId="39D1AD63" w14:textId="1AD3ACEE" w:rsidR="00A861C9" w:rsidRDefault="00AB5A39" w:rsidP="003764B3">
      <w:pPr>
        <w:pStyle w:val="ListBullet"/>
        <w:keepLines/>
        <w:numPr>
          <w:ilvl w:val="0"/>
          <w:numId w:val="15"/>
        </w:numPr>
        <w:tabs>
          <w:tab w:val="left" w:pos="851"/>
        </w:tabs>
        <w:suppressAutoHyphens/>
        <w:autoSpaceDE w:val="0"/>
        <w:autoSpaceDN w:val="0"/>
        <w:adjustRightInd w:val="0"/>
        <w:spacing w:after="0" w:line="276" w:lineRule="auto"/>
        <w:ind w:left="284" w:hanging="284"/>
        <w:mirrorIndents/>
        <w:textAlignment w:val="center"/>
      </w:pPr>
      <w:r w:rsidRPr="00AB5A39">
        <w:t>W</w:t>
      </w:r>
      <w:r w:rsidR="00A861C9" w:rsidRPr="00AB5A39">
        <w:t xml:space="preserve">ork with </w:t>
      </w:r>
      <w:r w:rsidR="009A041C" w:rsidRPr="00AB5A39">
        <w:t>businesses</w:t>
      </w:r>
      <w:r w:rsidR="00A861C9" w:rsidRPr="00AB5A39">
        <w:t xml:space="preserve"> and Industry groups to identify areas of growth and demand</w:t>
      </w:r>
      <w:r w:rsidR="009E2E83" w:rsidRPr="00AB5A39">
        <w:t xml:space="preserve"> </w:t>
      </w:r>
      <w:r w:rsidRPr="00AB5A39">
        <w:t xml:space="preserve">for the Taskforce to identify project opportunities and drive solutions to support entry level </w:t>
      </w:r>
      <w:r w:rsidR="00CF15DB">
        <w:t>individuals</w:t>
      </w:r>
      <w:r w:rsidRPr="00AB5A39">
        <w:t xml:space="preserve"> to participate on major projects.</w:t>
      </w:r>
    </w:p>
    <w:p w14:paraId="3BF57240" w14:textId="36D4489C" w:rsidR="00A861C9" w:rsidRDefault="00AB5A39" w:rsidP="003764B3">
      <w:pPr>
        <w:pStyle w:val="ListBullet"/>
        <w:keepLines/>
        <w:numPr>
          <w:ilvl w:val="0"/>
          <w:numId w:val="15"/>
        </w:numPr>
        <w:tabs>
          <w:tab w:val="left" w:pos="851"/>
        </w:tabs>
        <w:suppressAutoHyphens/>
        <w:autoSpaceDE w:val="0"/>
        <w:autoSpaceDN w:val="0"/>
        <w:adjustRightInd w:val="0"/>
        <w:spacing w:after="0" w:line="276" w:lineRule="auto"/>
        <w:ind w:left="284" w:hanging="284"/>
        <w:mirrorIndents/>
        <w:textAlignment w:val="center"/>
      </w:pPr>
      <w:r>
        <w:t>The Taskforce will engage</w:t>
      </w:r>
      <w:r w:rsidR="00A861C9">
        <w:t xml:space="preserve"> Workforce Australia Employment Service</w:t>
      </w:r>
      <w:r w:rsidR="002366B3">
        <w:t>s</w:t>
      </w:r>
      <w:r w:rsidR="00A861C9">
        <w:t xml:space="preserve"> Providers to link frequently with Industry to understand needs of </w:t>
      </w:r>
      <w:r w:rsidR="009A041C">
        <w:t>businesses</w:t>
      </w:r>
      <w:r w:rsidR="00A861C9">
        <w:t xml:space="preserve"> to better prepare individuals for future employment</w:t>
      </w:r>
      <w:r>
        <w:t xml:space="preserve"> through </w:t>
      </w:r>
      <w:r w:rsidR="002366B3">
        <w:t xml:space="preserve">targeted </w:t>
      </w:r>
      <w:r w:rsidR="004A2B6A">
        <w:t>events,</w:t>
      </w:r>
      <w:r>
        <w:t xml:space="preserve"> Workforce Australia Network meetings and other collaborati</w:t>
      </w:r>
      <w:r w:rsidR="002366B3">
        <w:t>ve</w:t>
      </w:r>
      <w:r>
        <w:t xml:space="preserve"> opportunities.</w:t>
      </w:r>
    </w:p>
    <w:p w14:paraId="5E0BBE42" w14:textId="3DE4B8D1" w:rsidR="006B093A" w:rsidRDefault="002366B3" w:rsidP="003764B3">
      <w:pPr>
        <w:pStyle w:val="ListBullet"/>
        <w:keepLines/>
        <w:numPr>
          <w:ilvl w:val="0"/>
          <w:numId w:val="15"/>
        </w:numPr>
        <w:tabs>
          <w:tab w:val="left" w:pos="851"/>
        </w:tabs>
        <w:suppressAutoHyphens/>
        <w:autoSpaceDE w:val="0"/>
        <w:autoSpaceDN w:val="0"/>
        <w:adjustRightInd w:val="0"/>
        <w:spacing w:after="0" w:line="276" w:lineRule="auto"/>
        <w:ind w:left="284" w:hanging="284"/>
        <w:mirrorIndents/>
        <w:textAlignment w:val="center"/>
      </w:pPr>
      <w:r>
        <w:t>The Taskforce will work with Industry and local businesses to i</w:t>
      </w:r>
      <w:r w:rsidR="00A861C9">
        <w:t xml:space="preserve">dentify </w:t>
      </w:r>
      <w:r w:rsidR="00AB5A39">
        <w:t xml:space="preserve">appropriate </w:t>
      </w:r>
      <w:r w:rsidR="00A861C9">
        <w:t>project opportunities that address current skills gaps</w:t>
      </w:r>
      <w:r w:rsidR="009E2E83">
        <w:t xml:space="preserve"> and </w:t>
      </w:r>
      <w:r w:rsidR="00DA3838">
        <w:t xml:space="preserve">future </w:t>
      </w:r>
      <w:r w:rsidR="009E2E83">
        <w:t>workforce needs</w:t>
      </w:r>
      <w:r w:rsidR="00DE3971">
        <w:t>.</w:t>
      </w:r>
    </w:p>
    <w:p w14:paraId="7B39B9FB" w14:textId="50C554CF" w:rsidR="00A8385D" w:rsidRPr="00B35A6C" w:rsidRDefault="00A8385D" w:rsidP="00A8385D">
      <w:pPr>
        <w:pStyle w:val="Heading3"/>
      </w:pPr>
      <w:r w:rsidRPr="00B35A6C">
        <w:t xml:space="preserve">Priority 3 – </w:t>
      </w:r>
      <w:r w:rsidR="00A861C9" w:rsidRPr="00A861C9">
        <w:t xml:space="preserve">Generating opportunities for Indigenous skills development; aligned to local </w:t>
      </w:r>
      <w:r w:rsidR="009A041C">
        <w:t>business</w:t>
      </w:r>
      <w:r w:rsidR="00A861C9" w:rsidRPr="00A861C9">
        <w:t xml:space="preserve"> and industry needs, including through training, apprenticeships, traineeships, and improved digital </w:t>
      </w:r>
      <w:r w:rsidR="00183F8F" w:rsidRPr="00A861C9">
        <w:t>literacy</w:t>
      </w:r>
      <w:r w:rsidR="00655321">
        <w:t>.</w:t>
      </w:r>
    </w:p>
    <w:p w14:paraId="70A0BF34" w14:textId="61AE9748" w:rsidR="00A8385D" w:rsidRPr="00B35A6C" w:rsidRDefault="00A8385D" w:rsidP="00A8385D">
      <w:pPr>
        <w:pStyle w:val="Heading4"/>
        <w:spacing w:before="0"/>
      </w:pPr>
      <w:r w:rsidRPr="00B35A6C">
        <w:t>What are our challenges</w:t>
      </w:r>
      <w:r w:rsidR="003764B3">
        <w:t xml:space="preserve"> and opportunities?</w:t>
      </w:r>
    </w:p>
    <w:p w14:paraId="73DAAFBE" w14:textId="4039CD21" w:rsidR="003C358C" w:rsidRPr="00183F8F" w:rsidRDefault="003C358C" w:rsidP="003C358C">
      <w:pPr>
        <w:spacing w:after="0"/>
      </w:pPr>
      <w:r w:rsidRPr="00183F8F">
        <w:t>The rate of unemployed Indigenous is still a major concern. Indigenous people experience more difficulty transitioning from education to employment, which negatively impacts their aspirations, confidence, mental health and motivation to engage in further education or to look for work.</w:t>
      </w:r>
    </w:p>
    <w:p w14:paraId="1FE2CF8B" w14:textId="77777777" w:rsidR="00A8385D" w:rsidRPr="0081732E" w:rsidRDefault="00A8385D" w:rsidP="00A8385D">
      <w:pPr>
        <w:pStyle w:val="Heading4"/>
        <w:spacing w:before="0"/>
      </w:pPr>
      <w:r w:rsidRPr="0081732E">
        <w:t>How are we responding?</w:t>
      </w:r>
    </w:p>
    <w:p w14:paraId="67C54BB5" w14:textId="624712F9" w:rsidR="00A861C9" w:rsidRPr="0081732E" w:rsidRDefault="00AB5A39">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81732E">
        <w:t>Using the expertise of the Taskforce, d</w:t>
      </w:r>
      <w:r w:rsidR="00250763" w:rsidRPr="0081732E">
        <w:t>e</w:t>
      </w:r>
      <w:r w:rsidR="00A861C9" w:rsidRPr="0081732E">
        <w:t xml:space="preserve">velop and implement targeted </w:t>
      </w:r>
      <w:r w:rsidRPr="0081732E">
        <w:t xml:space="preserve">appropriate </w:t>
      </w:r>
      <w:r w:rsidR="00A861C9" w:rsidRPr="0081732E">
        <w:t>skills and work experience approaches for Aboriginal and Torres Strait Islander people leading to secure employment outcomes</w:t>
      </w:r>
      <w:r w:rsidRPr="0081732E">
        <w:t>.</w:t>
      </w:r>
    </w:p>
    <w:p w14:paraId="0C7455D8" w14:textId="253068F4" w:rsidR="00A861C9" w:rsidRPr="0081732E" w:rsidRDefault="00AB5A39" w:rsidP="00AB5A39">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81732E">
        <w:t xml:space="preserve">Working with </w:t>
      </w:r>
      <w:r w:rsidR="00655321">
        <w:t xml:space="preserve">the </w:t>
      </w:r>
      <w:r w:rsidRPr="0081732E">
        <w:t xml:space="preserve">Taskforce and Department of </w:t>
      </w:r>
      <w:r w:rsidR="0081732E" w:rsidRPr="0081732E">
        <w:t>Treaty</w:t>
      </w:r>
      <w:r w:rsidRPr="0081732E">
        <w:t xml:space="preserve">, </w:t>
      </w:r>
      <w:r w:rsidR="004B68AD" w:rsidRPr="0081732E">
        <w:t>Aboriginal and Torres Strait Islander Partnerships, e</w:t>
      </w:r>
      <w:r w:rsidR="00A861C9" w:rsidRPr="0081732E">
        <w:t xml:space="preserve">ngage with </w:t>
      </w:r>
      <w:r w:rsidR="009A041C" w:rsidRPr="0081732E">
        <w:t>businesses</w:t>
      </w:r>
      <w:r w:rsidR="00A861C9" w:rsidRPr="0081732E">
        <w:t xml:space="preserve"> who report difficulties recruiting entry level staff and support their efforts to engage with and recruit First Nations </w:t>
      </w:r>
      <w:r w:rsidR="009A041C" w:rsidRPr="0081732E">
        <w:t>individuals</w:t>
      </w:r>
      <w:r w:rsidR="00A861C9" w:rsidRPr="0081732E">
        <w:t xml:space="preserve">. </w:t>
      </w:r>
    </w:p>
    <w:p w14:paraId="09F3D6F2" w14:textId="57EEFD7F" w:rsidR="00DD4ACD" w:rsidRPr="0081732E" w:rsidRDefault="004B68AD">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81732E">
        <w:t xml:space="preserve">The Taskforce will </w:t>
      </w:r>
      <w:r w:rsidR="00655321">
        <w:t>i</w:t>
      </w:r>
      <w:r w:rsidR="00DD4ACD" w:rsidRPr="0081732E">
        <w:t>dentify and collaborate with organisation</w:t>
      </w:r>
      <w:r w:rsidR="0081732E" w:rsidRPr="0081732E">
        <w:t>s</w:t>
      </w:r>
      <w:r w:rsidR="00DD4ACD" w:rsidRPr="0081732E">
        <w:t xml:space="preserve"> to drive pre-employment assessment and customised training in order to prepare Indigenous </w:t>
      </w:r>
      <w:r w:rsidR="009A041C" w:rsidRPr="0081732E">
        <w:t xml:space="preserve">individuals </w:t>
      </w:r>
      <w:r w:rsidR="00DD4ACD" w:rsidRPr="0081732E">
        <w:t>to become employment ready.</w:t>
      </w:r>
    </w:p>
    <w:p w14:paraId="57A2B24A" w14:textId="44422A52" w:rsidR="00A8385D" w:rsidRPr="00B35A6C" w:rsidRDefault="00A8385D" w:rsidP="00A8385D">
      <w:pPr>
        <w:pStyle w:val="Heading3"/>
      </w:pPr>
      <w:r w:rsidRPr="00B35A6C">
        <w:t xml:space="preserve">Priority 4 – </w:t>
      </w:r>
      <w:r w:rsidR="00A861C9" w:rsidRPr="00A861C9">
        <w:t>Identifying pathways for young people to develop skills and be supported to access labour market opportunities, particularly through apprenticeships and traineeships</w:t>
      </w:r>
      <w:r w:rsidR="003764B3">
        <w:t>.</w:t>
      </w:r>
    </w:p>
    <w:p w14:paraId="179E945B" w14:textId="65F7B804" w:rsidR="00A8385D" w:rsidRPr="00B35A6C" w:rsidRDefault="00A8385D" w:rsidP="00A8385D">
      <w:pPr>
        <w:pStyle w:val="Heading4"/>
        <w:spacing w:before="0"/>
      </w:pPr>
      <w:r w:rsidRPr="00B35A6C">
        <w:t>What are our challenges</w:t>
      </w:r>
      <w:r w:rsidR="003764B3">
        <w:t xml:space="preserve"> and opportunities?</w:t>
      </w:r>
    </w:p>
    <w:p w14:paraId="33BF4AFD" w14:textId="320379D5" w:rsidR="003C358C" w:rsidRDefault="003C358C" w:rsidP="00A8385D">
      <w:pPr>
        <w:spacing w:after="0"/>
      </w:pPr>
      <w:r w:rsidRPr="00DD4ACD">
        <w:t>Having a significant amount of young people out of work can negatively impact a community's economic growth and development. If left unchecked, youth unemployment can have serious social repercussions such as an increase in crime rates and long-term unemployment as they reach adulthood.</w:t>
      </w:r>
    </w:p>
    <w:p w14:paraId="3D2D0D0F" w14:textId="77D7E312" w:rsidR="006B093A" w:rsidRPr="00183F8F" w:rsidRDefault="006B093A" w:rsidP="00A8385D">
      <w:pPr>
        <w:spacing w:after="0"/>
      </w:pPr>
      <w:r w:rsidRPr="00183F8F">
        <w:t xml:space="preserve">Access to appropriately skilled and experienced </w:t>
      </w:r>
      <w:r w:rsidR="00CF15DB" w:rsidRPr="00183F8F">
        <w:t>individuals</w:t>
      </w:r>
      <w:r w:rsidRPr="00183F8F">
        <w:t xml:space="preserve"> continues to be the focus of conversation across many sectors, this could pose a future threat to opportunities for youth and entry level </w:t>
      </w:r>
      <w:r w:rsidR="009A041C" w:rsidRPr="00183F8F">
        <w:t>individuals</w:t>
      </w:r>
      <w:r w:rsidRPr="00183F8F">
        <w:t xml:space="preserve"> to access apprenticeship opportunities in cases where supervision </w:t>
      </w:r>
      <w:r w:rsidR="00DA3838">
        <w:t xml:space="preserve">is </w:t>
      </w:r>
      <w:r w:rsidR="00183F8F" w:rsidRPr="00183F8F">
        <w:t>required</w:t>
      </w:r>
      <w:r w:rsidRPr="00183F8F">
        <w:t>.</w:t>
      </w:r>
    </w:p>
    <w:p w14:paraId="693C746B" w14:textId="77777777" w:rsidR="00A8385D" w:rsidRPr="00B35A6C" w:rsidRDefault="00A8385D" w:rsidP="00A8385D">
      <w:pPr>
        <w:pStyle w:val="Heading4"/>
        <w:spacing w:before="0"/>
      </w:pPr>
      <w:r w:rsidRPr="00B35A6C">
        <w:t>How are we responding?</w:t>
      </w:r>
    </w:p>
    <w:p w14:paraId="5C441FEC" w14:textId="308F0AD4" w:rsidR="005000A9" w:rsidRPr="00183F8F" w:rsidRDefault="00D35A96">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183F8F">
        <w:t>The Taskforce will identify and work with appropriate organisations to d</w:t>
      </w:r>
      <w:r w:rsidR="00250763" w:rsidRPr="00183F8F">
        <w:t>e</w:t>
      </w:r>
      <w:r w:rsidR="005000A9" w:rsidRPr="00183F8F">
        <w:t>sign project</w:t>
      </w:r>
      <w:r w:rsidRPr="00183F8F">
        <w:t>s</w:t>
      </w:r>
      <w:r w:rsidR="005000A9" w:rsidRPr="00183F8F">
        <w:t xml:space="preserve"> to engage young people into trade pathways leading to apprenticeships with</w:t>
      </w:r>
      <w:r w:rsidR="002366B3" w:rsidRPr="00183F8F">
        <w:t>in</w:t>
      </w:r>
      <w:r w:rsidR="005000A9" w:rsidRPr="00183F8F">
        <w:t xml:space="preserve"> high demand </w:t>
      </w:r>
      <w:r w:rsidR="002366B3" w:rsidRPr="00183F8F">
        <w:t xml:space="preserve">and growth </w:t>
      </w:r>
      <w:r w:rsidR="005000A9" w:rsidRPr="00183F8F">
        <w:t xml:space="preserve">industries. </w:t>
      </w:r>
    </w:p>
    <w:p w14:paraId="799EC39E" w14:textId="6AB973DD" w:rsidR="005000A9" w:rsidRPr="00183F8F" w:rsidRDefault="005000A9">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183F8F">
        <w:t xml:space="preserve">Develop a comprehensive database of locally available youth services, programs and enterprises that will help simplify the design of potential education, training and employment pathways that will address local needs. </w:t>
      </w:r>
    </w:p>
    <w:p w14:paraId="26A798B1" w14:textId="136E76BD" w:rsidR="005000A9" w:rsidRPr="00AB5A39" w:rsidRDefault="00AB5A39">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AB5A39">
        <w:t>The Taskforce will n</w:t>
      </w:r>
      <w:r w:rsidR="005000A9" w:rsidRPr="00AB5A39">
        <w:t xml:space="preserve">egotiate and promote flexible models to teach job-oriented skills that will lead to engagement by local </w:t>
      </w:r>
      <w:r w:rsidR="009A041C" w:rsidRPr="00AB5A39">
        <w:t>businesses</w:t>
      </w:r>
      <w:r w:rsidR="005000A9" w:rsidRPr="00AB5A39">
        <w:t xml:space="preserve">. </w:t>
      </w:r>
    </w:p>
    <w:p w14:paraId="794E4DA7" w14:textId="3C487F23" w:rsidR="00C373CB" w:rsidRPr="00B35A6C" w:rsidRDefault="00C373CB" w:rsidP="00C373CB">
      <w:pPr>
        <w:pStyle w:val="Heading3"/>
      </w:pPr>
      <w:r w:rsidRPr="00B35A6C">
        <w:t xml:space="preserve">Priority </w:t>
      </w:r>
      <w:r>
        <w:t>5</w:t>
      </w:r>
      <w:r w:rsidRPr="00B35A6C">
        <w:t xml:space="preserve"> – </w:t>
      </w:r>
      <w:r w:rsidR="00A861C9" w:rsidRPr="00A861C9">
        <w:t xml:space="preserve">Brokering employment opportunities for mature age </w:t>
      </w:r>
      <w:r w:rsidR="00BF3AB2">
        <w:t>individuals looking for work</w:t>
      </w:r>
      <w:r w:rsidR="00A861C9" w:rsidRPr="00A861C9">
        <w:t xml:space="preserve"> through collaboration with local community support services, </w:t>
      </w:r>
      <w:r w:rsidR="009A041C">
        <w:t>businesses</w:t>
      </w:r>
      <w:r w:rsidR="00A861C9" w:rsidRPr="00A861C9">
        <w:t>, and training organisations</w:t>
      </w:r>
      <w:r w:rsidR="003764B3">
        <w:t>.</w:t>
      </w:r>
    </w:p>
    <w:p w14:paraId="4C05E5B8" w14:textId="05344C0C" w:rsidR="00C373CB" w:rsidRDefault="00C373CB" w:rsidP="00C373CB">
      <w:pPr>
        <w:pStyle w:val="Heading4"/>
        <w:spacing w:before="0"/>
      </w:pPr>
      <w:r w:rsidRPr="00B35A6C">
        <w:t>What are our challenges</w:t>
      </w:r>
      <w:r w:rsidR="003764B3">
        <w:t xml:space="preserve"> and opportunities?</w:t>
      </w:r>
    </w:p>
    <w:p w14:paraId="58EA6F40" w14:textId="3FCC2A69" w:rsidR="00BF3AB2" w:rsidRPr="00BF3AB2" w:rsidRDefault="00BF3AB2" w:rsidP="007F2DAB">
      <w:pPr>
        <w:spacing w:after="0"/>
      </w:pPr>
      <w:r>
        <w:t>Mature age individuals face many challenges when</w:t>
      </w:r>
      <w:r w:rsidR="007F2DAB">
        <w:t xml:space="preserve"> looking to enter or re-enter the workforce</w:t>
      </w:r>
      <w:r w:rsidR="00A40413">
        <w:t>. T</w:t>
      </w:r>
      <w:r w:rsidR="007F2DAB">
        <w:t xml:space="preserve">his can include a lack </w:t>
      </w:r>
      <w:r w:rsidR="00AE000C">
        <w:t>of current</w:t>
      </w:r>
      <w:r w:rsidR="007F2DAB">
        <w:t xml:space="preserve"> skills aligned to </w:t>
      </w:r>
      <w:r w:rsidR="00AE000C">
        <w:t xml:space="preserve">current </w:t>
      </w:r>
      <w:r w:rsidR="007F2DAB">
        <w:t>labour market needs, declining physical abilities, lack of confidence and a l</w:t>
      </w:r>
      <w:r w:rsidRPr="00BF3AB2">
        <w:t xml:space="preserve">ack </w:t>
      </w:r>
      <w:r w:rsidR="007F2DAB">
        <w:t xml:space="preserve">of </w:t>
      </w:r>
      <w:r w:rsidRPr="00BF3AB2">
        <w:t xml:space="preserve">flexible work </w:t>
      </w:r>
      <w:r w:rsidRPr="007F2DAB">
        <w:rPr>
          <w:bCs/>
          <w:iCs/>
        </w:rPr>
        <w:t>and training</w:t>
      </w:r>
      <w:r>
        <w:rPr>
          <w:b/>
          <w:iCs/>
        </w:rPr>
        <w:t xml:space="preserve"> </w:t>
      </w:r>
      <w:r w:rsidRPr="00BF3AB2">
        <w:t>arrangements</w:t>
      </w:r>
      <w:r w:rsidR="007F2DAB">
        <w:t xml:space="preserve"> available.</w:t>
      </w:r>
    </w:p>
    <w:p w14:paraId="60DA79DD" w14:textId="5A7755DA" w:rsidR="00C373CB" w:rsidRPr="00B35A6C" w:rsidRDefault="00C373CB" w:rsidP="007F2DAB">
      <w:pPr>
        <w:pStyle w:val="Heading4"/>
        <w:spacing w:before="0"/>
      </w:pPr>
      <w:r w:rsidRPr="00B35A6C">
        <w:t>How are we responding?</w:t>
      </w:r>
    </w:p>
    <w:p w14:paraId="42737413" w14:textId="2A0A3798" w:rsidR="00BF3AB2" w:rsidRPr="004B70A1" w:rsidRDefault="004B70A1">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4B70A1">
        <w:t>The Taskforce will work with appropriate organisations to assist in d</w:t>
      </w:r>
      <w:r w:rsidR="00BF3AB2" w:rsidRPr="004B70A1">
        <w:t>evelop</w:t>
      </w:r>
      <w:r w:rsidRPr="004B70A1">
        <w:t>ing</w:t>
      </w:r>
      <w:r w:rsidR="00BF3AB2" w:rsidRPr="004B70A1">
        <w:t xml:space="preserve"> flexible employment and training opportunities for mature age </w:t>
      </w:r>
      <w:r>
        <w:t>individuals</w:t>
      </w:r>
      <w:r w:rsidR="00BF3AB2" w:rsidRPr="004B70A1">
        <w:t xml:space="preserve"> to accommodate their needs.</w:t>
      </w:r>
    </w:p>
    <w:p w14:paraId="0C2B655D" w14:textId="6271A69C" w:rsidR="00A861C9" w:rsidRPr="004B70A1" w:rsidRDefault="00A861C9">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4B70A1">
        <w:t>Coordinat</w:t>
      </w:r>
      <w:r w:rsidR="00A40413">
        <w:t>e</w:t>
      </w:r>
      <w:r w:rsidRPr="004B70A1">
        <w:t xml:space="preserve"> a range of training options, especially short course and industry specific skill sets</w:t>
      </w:r>
      <w:r w:rsidR="00516DA8" w:rsidRPr="004B70A1">
        <w:t xml:space="preserve"> through the weekly Jobs, programs and Events Broadcasts.</w:t>
      </w:r>
    </w:p>
    <w:p w14:paraId="7458D78C" w14:textId="2A90763E" w:rsidR="00A861C9" w:rsidRPr="004B70A1" w:rsidRDefault="00516DA8">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4B70A1">
        <w:t>The Taskforce will i</w:t>
      </w:r>
      <w:r w:rsidR="00A861C9" w:rsidRPr="004B70A1">
        <w:t xml:space="preserve">dentify skilling and re-skilling pathways to support mature-aged individuals into the workforce </w:t>
      </w:r>
      <w:r w:rsidRPr="004B70A1">
        <w:t>through their connections an</w:t>
      </w:r>
      <w:r w:rsidR="004B70A1" w:rsidRPr="004B70A1">
        <w:t>d members.</w:t>
      </w:r>
    </w:p>
    <w:p w14:paraId="0314FC26" w14:textId="5E8A4777" w:rsidR="004B70A1" w:rsidRPr="004B70A1" w:rsidRDefault="004B70A1">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4B70A1">
        <w:t>Engage with individuals serviced via Online Employment Services</w:t>
      </w:r>
      <w:r w:rsidR="002366B3">
        <w:t xml:space="preserve"> and Career Transition Assistance programs.</w:t>
      </w:r>
    </w:p>
    <w:p w14:paraId="0A47B329" w14:textId="473B5397" w:rsidR="00A8385D" w:rsidRPr="00B35A6C" w:rsidRDefault="00A8385D" w:rsidP="00FF212F">
      <w:pPr>
        <w:pStyle w:val="Heading2"/>
        <w:spacing w:before="600"/>
      </w:pPr>
      <w:r w:rsidRPr="00B35A6C">
        <w:t>Want to know more?</w:t>
      </w:r>
    </w:p>
    <w:p w14:paraId="5D37100E" w14:textId="4977A229" w:rsidR="003F697B" w:rsidRPr="003F697B" w:rsidRDefault="00A8385D"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B35A6C">
        <w:t>Contact</w:t>
      </w:r>
      <w:r w:rsidR="00C10179">
        <w:t>:</w:t>
      </w:r>
      <w:r w:rsidR="003F697B">
        <w:t xml:space="preserve"> </w:t>
      </w:r>
      <w:r w:rsidR="005000A9">
        <w:t>Steph Nicolaou</w:t>
      </w:r>
      <w:r w:rsidR="00A45114">
        <w:t xml:space="preserve">, </w:t>
      </w:r>
      <w:r w:rsidR="005000A9">
        <w:t xml:space="preserve">Townsville (including Mt Isa) </w:t>
      </w:r>
      <w:r w:rsidRPr="00B35A6C">
        <w:t xml:space="preserve">Employment Facilitator: </w:t>
      </w:r>
      <w:hyperlink r:id="rId23" w:history="1">
        <w:r w:rsidR="005000A9" w:rsidRPr="005650C5">
          <w:rPr>
            <w:rStyle w:val="Hyperlink"/>
          </w:rPr>
          <w:t>stephnicolaou@localjobsfnq.com.au</w:t>
        </w:r>
      </w:hyperlink>
      <w:r w:rsidR="005000A9">
        <w:rPr>
          <w:u w:val="single"/>
        </w:rPr>
        <w:t xml:space="preserve"> </w:t>
      </w:r>
    </w:p>
    <w:p w14:paraId="7446EA51" w14:textId="33436F72" w:rsidR="00014617" w:rsidRDefault="005C191A"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bookmarkStart w:id="1" w:name="_Hlk121144473"/>
      <w:r>
        <w:t>V</w:t>
      </w:r>
      <w:r w:rsidR="00A8385D" w:rsidRPr="00B35A6C">
        <w:t>isit</w:t>
      </w:r>
      <w:r w:rsidR="00C10179">
        <w:t xml:space="preserve">: </w:t>
      </w:r>
      <w:hyperlink r:id="rId24" w:history="1">
        <w:bookmarkStart w:id="2" w:name="_Toc30065224"/>
        <w:bookmarkEnd w:id="2"/>
        <w:r w:rsidR="007B002F">
          <w:rPr>
            <w:rStyle w:val="Hyperlink"/>
          </w:rPr>
          <w:t>Local Jobs</w:t>
        </w:r>
      </w:hyperlink>
      <w:r w:rsidR="003F697B">
        <w:t xml:space="preserve"> or </w:t>
      </w:r>
      <w:hyperlink r:id="rId25" w:history="1">
        <w:r w:rsidR="007B002F">
          <w:rPr>
            <w:rStyle w:val="Hyperlink"/>
          </w:rPr>
          <w:t>Workforce Australia</w:t>
        </w:r>
      </w:hyperlink>
    </w:p>
    <w:bookmarkEnd w:id="1"/>
    <w:p w14:paraId="61864CEB" w14:textId="77777777" w:rsidR="00C10179" w:rsidRDefault="00C10179" w:rsidP="00C10179">
      <w:pPr>
        <w:pStyle w:val="ListBullet"/>
        <w:keepLines/>
        <w:tabs>
          <w:tab w:val="left" w:pos="851"/>
        </w:tabs>
        <w:suppressAutoHyphens/>
        <w:autoSpaceDE w:val="0"/>
        <w:autoSpaceDN w:val="0"/>
        <w:adjustRightInd w:val="0"/>
        <w:spacing w:after="0" w:line="240" w:lineRule="auto"/>
        <w:contextualSpacing w:val="0"/>
        <w:mirrorIndents/>
        <w:textAlignment w:val="center"/>
      </w:pPr>
    </w:p>
    <w:sectPr w:rsidR="00C10179" w:rsidSect="00014617">
      <w:type w:val="continuous"/>
      <w:pgSz w:w="16840" w:h="23820"/>
      <w:pgMar w:top="1418" w:right="1418" w:bottom="1418" w:left="1418"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DC35A" w14:textId="77777777" w:rsidR="00433B5A" w:rsidRDefault="00433B5A" w:rsidP="0051352E">
      <w:pPr>
        <w:spacing w:after="0" w:line="240" w:lineRule="auto"/>
      </w:pPr>
      <w:r>
        <w:separator/>
      </w:r>
    </w:p>
  </w:endnote>
  <w:endnote w:type="continuationSeparator" w:id="0">
    <w:p w14:paraId="23AD2CE5" w14:textId="77777777" w:rsidR="00433B5A" w:rsidRDefault="00433B5A"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8D208" w14:textId="77777777" w:rsidR="00ED5138" w:rsidRDefault="00ED51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2E25" w14:textId="0DF5F5F9" w:rsidR="00A8385D" w:rsidRPr="00BD107C" w:rsidRDefault="00A8385D" w:rsidP="00A8385D">
    <w:pPr>
      <w:pStyle w:val="Footer"/>
      <w:rPr>
        <w:i/>
        <w:iCs/>
        <w:szCs w:val="20"/>
      </w:rPr>
    </w:pPr>
    <w:r>
      <w:rPr>
        <w:noProof/>
      </w:rPr>
      <w:drawing>
        <wp:anchor distT="0" distB="0" distL="114300" distR="114300" simplePos="0" relativeHeight="251664384" behindDoc="0" locked="0" layoutInCell="1" allowOverlap="1" wp14:anchorId="1735252C" wp14:editId="6CDFD9C1">
          <wp:simplePos x="0" y="0"/>
          <wp:positionH relativeFrom="margin">
            <wp:align>right</wp:align>
          </wp:positionH>
          <wp:positionV relativeFrom="paragraph">
            <wp:posOffset>-317686</wp:posOffset>
          </wp:positionV>
          <wp:extent cx="14697075" cy="158115"/>
          <wp:effectExtent l="0" t="0" r="9525" b="0"/>
          <wp:wrapSquare wrapText="bothSides"/>
          <wp:docPr id="2" name="Graphic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697075" cy="158115"/>
                  </a:xfrm>
                  <a:prstGeom prst="rect">
                    <a:avLst/>
                  </a:prstGeom>
                </pic:spPr>
              </pic:pic>
            </a:graphicData>
          </a:graphic>
          <wp14:sizeRelH relativeFrom="margin">
            <wp14:pctWidth>0</wp14:pctWidth>
          </wp14:sizeRelH>
          <wp14:sizeRelV relativeFrom="margin">
            <wp14:pctHeight>0</wp14:pctHeight>
          </wp14:sizeRelV>
        </wp:anchor>
      </w:drawing>
    </w:r>
    <w:r w:rsidRPr="00BD107C">
      <w:rPr>
        <w:i/>
        <w:iCs/>
        <w:szCs w:val="20"/>
      </w:rPr>
      <w:t xml:space="preserve">The </w:t>
    </w:r>
    <w:r w:rsidR="00D8562D" w:rsidRPr="00D8562D">
      <w:rPr>
        <w:i/>
        <w:iCs/>
        <w:szCs w:val="20"/>
      </w:rPr>
      <w:t>Department of Employment and Workplace Relations acknowledges the traditional owners and custodians of country throughout Australia and their continuing connection to land, waters and community. We pay our respects to them and their cultures, and Elders past, present and emerging.</w:t>
    </w:r>
  </w:p>
  <w:p w14:paraId="48C5D2DC" w14:textId="77777777" w:rsidR="00A8385D" w:rsidRDefault="00A838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5DDE2" w14:textId="77777777" w:rsidR="00ED5138" w:rsidRDefault="00ED51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CB185" w14:textId="77777777" w:rsidR="00433B5A" w:rsidRDefault="00433B5A" w:rsidP="0051352E">
      <w:pPr>
        <w:spacing w:after="0" w:line="240" w:lineRule="auto"/>
      </w:pPr>
      <w:r>
        <w:separator/>
      </w:r>
    </w:p>
  </w:footnote>
  <w:footnote w:type="continuationSeparator" w:id="0">
    <w:p w14:paraId="79565B5C" w14:textId="77777777" w:rsidR="00433B5A" w:rsidRDefault="00433B5A" w:rsidP="00513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463DC" w14:textId="77777777" w:rsidR="00ED5138" w:rsidRDefault="00ED51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FFB0C" w14:textId="77777777" w:rsidR="00ED5138" w:rsidRDefault="00ED51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28573" w14:textId="77777777" w:rsidR="00ED5138" w:rsidRDefault="00ED513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E4CC6" w14:textId="77777777" w:rsidR="00014617" w:rsidRDefault="000146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BE2F5F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6E23D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5824F94"/>
    <w:multiLevelType w:val="multilevel"/>
    <w:tmpl w:val="3D8E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4E2914"/>
    <w:multiLevelType w:val="hybridMultilevel"/>
    <w:tmpl w:val="40C2B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EA53E4C"/>
    <w:multiLevelType w:val="multilevel"/>
    <w:tmpl w:val="0EA8C55E"/>
    <w:name w:val="List number2"/>
    <w:lvl w:ilvl="0">
      <w:start w:val="1"/>
      <w:numFmt w:val="bullet"/>
      <w:lvlText w:val=""/>
      <w:lvlJc w:val="left"/>
      <w:pPr>
        <w:ind w:left="357" w:hanging="357"/>
      </w:pPr>
      <w:rPr>
        <w:rFonts w:ascii="Symbol" w:hAnsi="Symbol" w:hint="default"/>
        <w:color w:val="0076BD" w:themeColor="text2"/>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D616359"/>
    <w:multiLevelType w:val="hybridMultilevel"/>
    <w:tmpl w:val="56FEE602"/>
    <w:lvl w:ilvl="0" w:tplc="544C80A4">
      <w:start w:val="1"/>
      <w:numFmt w:val="bullet"/>
      <w:lvlText w:val=""/>
      <w:lvlJc w:val="left"/>
      <w:pPr>
        <w:ind w:left="360" w:hanging="360"/>
      </w:pPr>
      <w:rPr>
        <w:rFonts w:ascii="Symbol" w:hAnsi="Symbol" w:hint="default"/>
        <w:color w:val="0076BD" w:themeColor="text2"/>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572F6BD9"/>
    <w:multiLevelType w:val="multilevel"/>
    <w:tmpl w:val="87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B74C4C"/>
    <w:multiLevelType w:val="hybridMultilevel"/>
    <w:tmpl w:val="6EB45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B607DE0"/>
    <w:multiLevelType w:val="hybridMultilevel"/>
    <w:tmpl w:val="7A2C6DD6"/>
    <w:lvl w:ilvl="0" w:tplc="544C80A4">
      <w:start w:val="1"/>
      <w:numFmt w:val="bullet"/>
      <w:lvlText w:val=""/>
      <w:lvlJc w:val="left"/>
      <w:pPr>
        <w:ind w:left="360" w:hanging="360"/>
      </w:pPr>
      <w:rPr>
        <w:rFonts w:ascii="Symbol" w:hAnsi="Symbol" w:hint="default"/>
        <w:color w:val="0076BD" w:themeColor="text2"/>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296228341">
    <w:abstractNumId w:val="9"/>
  </w:num>
  <w:num w:numId="2" w16cid:durableId="598875928">
    <w:abstractNumId w:val="7"/>
  </w:num>
  <w:num w:numId="3" w16cid:durableId="1780954595">
    <w:abstractNumId w:val="6"/>
  </w:num>
  <w:num w:numId="4" w16cid:durableId="740063524">
    <w:abstractNumId w:val="5"/>
  </w:num>
  <w:num w:numId="5" w16cid:durableId="46683453">
    <w:abstractNumId w:val="4"/>
  </w:num>
  <w:num w:numId="6" w16cid:durableId="452285243">
    <w:abstractNumId w:val="8"/>
  </w:num>
  <w:num w:numId="7" w16cid:durableId="1748309944">
    <w:abstractNumId w:val="3"/>
  </w:num>
  <w:num w:numId="8" w16cid:durableId="563031487">
    <w:abstractNumId w:val="2"/>
  </w:num>
  <w:num w:numId="9" w16cid:durableId="4094799">
    <w:abstractNumId w:val="1"/>
  </w:num>
  <w:num w:numId="10" w16cid:durableId="1597011151">
    <w:abstractNumId w:val="0"/>
  </w:num>
  <w:num w:numId="11" w16cid:durableId="1968505994">
    <w:abstractNumId w:val="10"/>
  </w:num>
  <w:num w:numId="12" w16cid:durableId="1719236169">
    <w:abstractNumId w:val="13"/>
  </w:num>
  <w:num w:numId="13" w16cid:durableId="1973710242">
    <w:abstractNumId w:val="14"/>
  </w:num>
  <w:num w:numId="14" w16cid:durableId="759524490">
    <w:abstractNumId w:val="18"/>
  </w:num>
  <w:num w:numId="15" w16cid:durableId="1801609014">
    <w:abstractNumId w:val="15"/>
  </w:num>
  <w:num w:numId="16" w16cid:durableId="656542964">
    <w:abstractNumId w:val="16"/>
  </w:num>
  <w:num w:numId="17" w16cid:durableId="446824560">
    <w:abstractNumId w:val="17"/>
  </w:num>
  <w:num w:numId="18" w16cid:durableId="1130979215">
    <w:abstractNumId w:val="12"/>
  </w:num>
  <w:num w:numId="19" w16cid:durableId="768889501">
    <w:abstractNumId w:val="13"/>
  </w:num>
  <w:num w:numId="20" w16cid:durableId="2098626477">
    <w:abstractNumId w:val="11"/>
  </w:num>
  <w:num w:numId="21" w16cid:durableId="17814856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14617"/>
    <w:rsid w:val="00045D72"/>
    <w:rsid w:val="00051DC2"/>
    <w:rsid w:val="00052BBC"/>
    <w:rsid w:val="00067075"/>
    <w:rsid w:val="000675E0"/>
    <w:rsid w:val="00085824"/>
    <w:rsid w:val="000A453D"/>
    <w:rsid w:val="000A5730"/>
    <w:rsid w:val="000D06F7"/>
    <w:rsid w:val="000F5EE5"/>
    <w:rsid w:val="00111085"/>
    <w:rsid w:val="00111984"/>
    <w:rsid w:val="00112F36"/>
    <w:rsid w:val="001419D1"/>
    <w:rsid w:val="00146215"/>
    <w:rsid w:val="00157F35"/>
    <w:rsid w:val="00183F8F"/>
    <w:rsid w:val="0018535D"/>
    <w:rsid w:val="00186F5B"/>
    <w:rsid w:val="001D4756"/>
    <w:rsid w:val="001E3534"/>
    <w:rsid w:val="002176BD"/>
    <w:rsid w:val="00217EAB"/>
    <w:rsid w:val="0022498C"/>
    <w:rsid w:val="00224C05"/>
    <w:rsid w:val="00225A74"/>
    <w:rsid w:val="0022626C"/>
    <w:rsid w:val="00226978"/>
    <w:rsid w:val="002366B3"/>
    <w:rsid w:val="00250763"/>
    <w:rsid w:val="002724D0"/>
    <w:rsid w:val="00276E87"/>
    <w:rsid w:val="002A4D5A"/>
    <w:rsid w:val="002A7840"/>
    <w:rsid w:val="002B1CE5"/>
    <w:rsid w:val="002D71D8"/>
    <w:rsid w:val="002F4DB3"/>
    <w:rsid w:val="00340371"/>
    <w:rsid w:val="00350FFA"/>
    <w:rsid w:val="00357EC2"/>
    <w:rsid w:val="003764B3"/>
    <w:rsid w:val="00382F07"/>
    <w:rsid w:val="00392190"/>
    <w:rsid w:val="003932D9"/>
    <w:rsid w:val="003A2EFF"/>
    <w:rsid w:val="003C358C"/>
    <w:rsid w:val="003F697B"/>
    <w:rsid w:val="003F6CAE"/>
    <w:rsid w:val="00406DE0"/>
    <w:rsid w:val="00414677"/>
    <w:rsid w:val="00420559"/>
    <w:rsid w:val="00424FF7"/>
    <w:rsid w:val="00433B5A"/>
    <w:rsid w:val="00453C04"/>
    <w:rsid w:val="00466AD4"/>
    <w:rsid w:val="00497764"/>
    <w:rsid w:val="004A2B6A"/>
    <w:rsid w:val="004B68AD"/>
    <w:rsid w:val="004B70A1"/>
    <w:rsid w:val="005000A9"/>
    <w:rsid w:val="005109AE"/>
    <w:rsid w:val="0051352E"/>
    <w:rsid w:val="00516DA8"/>
    <w:rsid w:val="00517DA7"/>
    <w:rsid w:val="00520A33"/>
    <w:rsid w:val="00527AE4"/>
    <w:rsid w:val="00541352"/>
    <w:rsid w:val="00547102"/>
    <w:rsid w:val="0055569D"/>
    <w:rsid w:val="00556977"/>
    <w:rsid w:val="0056416C"/>
    <w:rsid w:val="005736E7"/>
    <w:rsid w:val="005757A5"/>
    <w:rsid w:val="00584749"/>
    <w:rsid w:val="00596A88"/>
    <w:rsid w:val="005C191A"/>
    <w:rsid w:val="005D7CE7"/>
    <w:rsid w:val="005F0144"/>
    <w:rsid w:val="005F2307"/>
    <w:rsid w:val="00610A38"/>
    <w:rsid w:val="00624E25"/>
    <w:rsid w:val="00630DDF"/>
    <w:rsid w:val="00655321"/>
    <w:rsid w:val="00656351"/>
    <w:rsid w:val="00662A42"/>
    <w:rsid w:val="00664821"/>
    <w:rsid w:val="006725E4"/>
    <w:rsid w:val="006736A4"/>
    <w:rsid w:val="00682558"/>
    <w:rsid w:val="00693DBB"/>
    <w:rsid w:val="006B093A"/>
    <w:rsid w:val="006C7C2F"/>
    <w:rsid w:val="006D154E"/>
    <w:rsid w:val="006E0E1C"/>
    <w:rsid w:val="006E5D6E"/>
    <w:rsid w:val="00721B03"/>
    <w:rsid w:val="00735ED7"/>
    <w:rsid w:val="00736D40"/>
    <w:rsid w:val="007570DC"/>
    <w:rsid w:val="00763670"/>
    <w:rsid w:val="007A425E"/>
    <w:rsid w:val="007B002F"/>
    <w:rsid w:val="007B1ABA"/>
    <w:rsid w:val="007B4F0C"/>
    <w:rsid w:val="007B5D9F"/>
    <w:rsid w:val="007B74C5"/>
    <w:rsid w:val="007C743F"/>
    <w:rsid w:val="007F2A00"/>
    <w:rsid w:val="007F2DAB"/>
    <w:rsid w:val="007F2F81"/>
    <w:rsid w:val="008034E7"/>
    <w:rsid w:val="0081732E"/>
    <w:rsid w:val="00831C98"/>
    <w:rsid w:val="00842C50"/>
    <w:rsid w:val="008507C1"/>
    <w:rsid w:val="00861934"/>
    <w:rsid w:val="00892CD1"/>
    <w:rsid w:val="008C1AE6"/>
    <w:rsid w:val="008C50DF"/>
    <w:rsid w:val="008E22BA"/>
    <w:rsid w:val="008F0AC9"/>
    <w:rsid w:val="008F6A25"/>
    <w:rsid w:val="00900F7F"/>
    <w:rsid w:val="00911A61"/>
    <w:rsid w:val="0093473D"/>
    <w:rsid w:val="009433F8"/>
    <w:rsid w:val="00944ECC"/>
    <w:rsid w:val="0094578A"/>
    <w:rsid w:val="00946437"/>
    <w:rsid w:val="0095291A"/>
    <w:rsid w:val="00972F57"/>
    <w:rsid w:val="00995280"/>
    <w:rsid w:val="009978AA"/>
    <w:rsid w:val="009A041C"/>
    <w:rsid w:val="009C63E5"/>
    <w:rsid w:val="009C7620"/>
    <w:rsid w:val="009C7F5F"/>
    <w:rsid w:val="009E16DF"/>
    <w:rsid w:val="009E2E83"/>
    <w:rsid w:val="009F7B5A"/>
    <w:rsid w:val="00A21A59"/>
    <w:rsid w:val="00A24E6E"/>
    <w:rsid w:val="00A40413"/>
    <w:rsid w:val="00A43694"/>
    <w:rsid w:val="00A45114"/>
    <w:rsid w:val="00A51312"/>
    <w:rsid w:val="00A56FC7"/>
    <w:rsid w:val="00A668BF"/>
    <w:rsid w:val="00A72575"/>
    <w:rsid w:val="00A74071"/>
    <w:rsid w:val="00A754E4"/>
    <w:rsid w:val="00A8385D"/>
    <w:rsid w:val="00A861C9"/>
    <w:rsid w:val="00AA124A"/>
    <w:rsid w:val="00AA2A96"/>
    <w:rsid w:val="00AB0F24"/>
    <w:rsid w:val="00AB5A39"/>
    <w:rsid w:val="00AC51BE"/>
    <w:rsid w:val="00AE000C"/>
    <w:rsid w:val="00B100CC"/>
    <w:rsid w:val="00B373C5"/>
    <w:rsid w:val="00B456C5"/>
    <w:rsid w:val="00B6689D"/>
    <w:rsid w:val="00B72368"/>
    <w:rsid w:val="00B77914"/>
    <w:rsid w:val="00BD48C7"/>
    <w:rsid w:val="00BF3AB2"/>
    <w:rsid w:val="00C10179"/>
    <w:rsid w:val="00C373CB"/>
    <w:rsid w:val="00C43C86"/>
    <w:rsid w:val="00C54D58"/>
    <w:rsid w:val="00C573E1"/>
    <w:rsid w:val="00C60222"/>
    <w:rsid w:val="00C67024"/>
    <w:rsid w:val="00C736D3"/>
    <w:rsid w:val="00C93CC8"/>
    <w:rsid w:val="00C95DF6"/>
    <w:rsid w:val="00CC3BA4"/>
    <w:rsid w:val="00CE517B"/>
    <w:rsid w:val="00CE74F8"/>
    <w:rsid w:val="00CF15DB"/>
    <w:rsid w:val="00D07437"/>
    <w:rsid w:val="00D1043E"/>
    <w:rsid w:val="00D17E31"/>
    <w:rsid w:val="00D23730"/>
    <w:rsid w:val="00D35A96"/>
    <w:rsid w:val="00D762B5"/>
    <w:rsid w:val="00D8562D"/>
    <w:rsid w:val="00D97972"/>
    <w:rsid w:val="00DA1B7B"/>
    <w:rsid w:val="00DA227C"/>
    <w:rsid w:val="00DA3838"/>
    <w:rsid w:val="00DB58EA"/>
    <w:rsid w:val="00DB6784"/>
    <w:rsid w:val="00DB6C92"/>
    <w:rsid w:val="00DB79DF"/>
    <w:rsid w:val="00DD4ACD"/>
    <w:rsid w:val="00DD7333"/>
    <w:rsid w:val="00DE0402"/>
    <w:rsid w:val="00DE3971"/>
    <w:rsid w:val="00DF7F50"/>
    <w:rsid w:val="00E02099"/>
    <w:rsid w:val="00E41CC6"/>
    <w:rsid w:val="00E4645B"/>
    <w:rsid w:val="00E61F67"/>
    <w:rsid w:val="00E64C15"/>
    <w:rsid w:val="00E67289"/>
    <w:rsid w:val="00E771A9"/>
    <w:rsid w:val="00EA32F7"/>
    <w:rsid w:val="00EC134B"/>
    <w:rsid w:val="00EC6A53"/>
    <w:rsid w:val="00ED24F6"/>
    <w:rsid w:val="00ED5138"/>
    <w:rsid w:val="00EE5EEB"/>
    <w:rsid w:val="00F012B6"/>
    <w:rsid w:val="00F20090"/>
    <w:rsid w:val="00F230CD"/>
    <w:rsid w:val="00F3071E"/>
    <w:rsid w:val="00F5014F"/>
    <w:rsid w:val="00F51C18"/>
    <w:rsid w:val="00F9298D"/>
    <w:rsid w:val="00FA31E2"/>
    <w:rsid w:val="00FA6E05"/>
    <w:rsid w:val="00FB6477"/>
    <w:rsid w:val="00FD6D7B"/>
    <w:rsid w:val="00FF212F"/>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2"/>
    </o:shapelayout>
  </w:shapeDefaults>
  <w:decimalSymbol w:val="."/>
  <w:listSeparator w:val=","/>
  <w14:docId w14:val="657E4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EC2"/>
    <w:pPr>
      <w:spacing w:after="200" w:line="276" w:lineRule="auto"/>
    </w:pPr>
    <w:rPr>
      <w:sz w:val="21"/>
    </w:rPr>
  </w:style>
  <w:style w:type="paragraph" w:styleId="Heading1">
    <w:name w:val="heading 1"/>
    <w:basedOn w:val="Normal"/>
    <w:next w:val="Normal"/>
    <w:link w:val="Heading1Char"/>
    <w:uiPriority w:val="9"/>
    <w:qFormat/>
    <w:rsid w:val="005F0144"/>
    <w:pPr>
      <w:keepNext/>
      <w:keepLines/>
      <w:spacing w:before="240" w:after="0"/>
      <w:outlineLvl w:val="0"/>
    </w:pPr>
    <w:rPr>
      <w:rFonts w:ascii="Calibri" w:eastAsiaTheme="majorEastAsia" w:hAnsi="Calibri" w:cstheme="majorBidi"/>
      <w:b/>
      <w:color w:val="FFFFFF" w:themeColor="background1"/>
      <w:sz w:val="32"/>
      <w:szCs w:val="32"/>
    </w:rPr>
  </w:style>
  <w:style w:type="paragraph" w:styleId="Heading2">
    <w:name w:val="heading 2"/>
    <w:basedOn w:val="Normal"/>
    <w:next w:val="Normal"/>
    <w:link w:val="Heading2Char"/>
    <w:uiPriority w:val="9"/>
    <w:unhideWhenUsed/>
    <w:qFormat/>
    <w:rsid w:val="005F0144"/>
    <w:pPr>
      <w:keepNext/>
      <w:keepLines/>
      <w:spacing w:before="240" w:after="0"/>
      <w:outlineLvl w:val="1"/>
    </w:pPr>
    <w:rPr>
      <w:rFonts w:ascii="Calibri" w:eastAsiaTheme="majorEastAsia" w:hAnsi="Calibri" w:cstheme="majorBidi"/>
      <w:b/>
      <w:color w:val="0076BD" w:themeColor="text2"/>
      <w:sz w:val="30"/>
      <w:szCs w:val="26"/>
    </w:rPr>
  </w:style>
  <w:style w:type="paragraph" w:styleId="Heading3">
    <w:name w:val="heading 3"/>
    <w:basedOn w:val="Normal"/>
    <w:next w:val="Normal"/>
    <w:link w:val="Heading3Char"/>
    <w:uiPriority w:val="9"/>
    <w:unhideWhenUsed/>
    <w:qFormat/>
    <w:rsid w:val="005F0144"/>
    <w:pPr>
      <w:keepNext/>
      <w:keepLines/>
      <w:spacing w:before="240" w:after="0"/>
      <w:outlineLvl w:val="2"/>
    </w:pPr>
    <w:rPr>
      <w:rFonts w:ascii="Calibri" w:eastAsiaTheme="majorEastAsia" w:hAnsi="Calibri" w:cstheme="majorBidi"/>
      <w:b/>
      <w:color w:val="051532" w:themeColor="text1"/>
      <w:sz w:val="28"/>
      <w:szCs w:val="24"/>
    </w:rPr>
  </w:style>
  <w:style w:type="paragraph" w:styleId="Heading4">
    <w:name w:val="heading 4"/>
    <w:basedOn w:val="Normal"/>
    <w:next w:val="Normal"/>
    <w:link w:val="Heading4Char"/>
    <w:uiPriority w:val="9"/>
    <w:unhideWhenUsed/>
    <w:qFormat/>
    <w:rsid w:val="00D762B5"/>
    <w:pPr>
      <w:keepNext/>
      <w:keepLines/>
      <w:spacing w:before="240" w:after="0"/>
      <w:outlineLvl w:val="3"/>
    </w:pPr>
    <w:rPr>
      <w:rFonts w:ascii="Calibri" w:eastAsiaTheme="majorEastAsia" w:hAnsi="Calibri" w:cstheme="majorBidi"/>
      <w:b/>
      <w:iCs/>
      <w:color w:val="0076BD" w:themeColor="text2"/>
      <w:sz w:val="24"/>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0144"/>
    <w:pPr>
      <w:spacing w:before="1440" w:after="0"/>
    </w:pPr>
    <w:rPr>
      <w:rFonts w:ascii="Calibri" w:eastAsiaTheme="majorEastAsia" w:hAnsi="Calibri" w:cstheme="majorBidi"/>
      <w:b/>
      <w:color w:val="0076BD" w:themeColor="text2"/>
      <w:spacing w:val="-10"/>
      <w:kern w:val="28"/>
      <w:sz w:val="60"/>
      <w:szCs w:val="56"/>
    </w:rPr>
  </w:style>
  <w:style w:type="character" w:customStyle="1" w:styleId="TitleChar">
    <w:name w:val="Title Char"/>
    <w:basedOn w:val="DefaultParagraphFont"/>
    <w:link w:val="Title"/>
    <w:uiPriority w:val="10"/>
    <w:rsid w:val="005F0144"/>
    <w:rPr>
      <w:rFonts w:ascii="Calibri" w:eastAsiaTheme="majorEastAsia" w:hAnsi="Calibri" w:cstheme="majorBidi"/>
      <w:b/>
      <w:color w:val="0076BD" w:themeColor="text2"/>
      <w:spacing w:val="-10"/>
      <w:kern w:val="28"/>
      <w:sz w:val="60"/>
      <w:szCs w:val="56"/>
    </w:rPr>
  </w:style>
  <w:style w:type="paragraph" w:styleId="Subtitle">
    <w:name w:val="Subtitle"/>
    <w:basedOn w:val="Normal"/>
    <w:next w:val="Normal"/>
    <w:link w:val="SubtitleChar"/>
    <w:uiPriority w:val="11"/>
    <w:qFormat/>
    <w:rsid w:val="000D06F7"/>
    <w:pPr>
      <w:numPr>
        <w:ilvl w:val="1"/>
      </w:numPr>
      <w:spacing w:after="400"/>
    </w:pPr>
    <w:rPr>
      <w:rFonts w:ascii="Calibri" w:eastAsiaTheme="minorEastAsia" w:hAnsi="Calibri"/>
      <w:b/>
      <w:color w:val="051532" w:themeColor="text1"/>
      <w:spacing w:val="15"/>
      <w:sz w:val="28"/>
    </w:rPr>
  </w:style>
  <w:style w:type="character" w:customStyle="1" w:styleId="SubtitleChar">
    <w:name w:val="Subtitle Char"/>
    <w:basedOn w:val="DefaultParagraphFont"/>
    <w:link w:val="Subtitle"/>
    <w:uiPriority w:val="11"/>
    <w:rsid w:val="000D06F7"/>
    <w:rPr>
      <w:rFonts w:ascii="Calibri" w:eastAsiaTheme="minorEastAsia" w:hAnsi="Calibri"/>
      <w:b/>
      <w:color w:val="051532" w:themeColor="text1"/>
      <w:spacing w:val="15"/>
      <w:sz w:val="28"/>
    </w:rPr>
  </w:style>
  <w:style w:type="character" w:customStyle="1" w:styleId="Heading1Char">
    <w:name w:val="Heading 1 Char"/>
    <w:basedOn w:val="DefaultParagraphFont"/>
    <w:link w:val="Heading1"/>
    <w:uiPriority w:val="9"/>
    <w:rsid w:val="005F0144"/>
    <w:rPr>
      <w:rFonts w:ascii="Calibri" w:eastAsiaTheme="majorEastAsia" w:hAnsi="Calibri" w:cstheme="majorBidi"/>
      <w:b/>
      <w:color w:val="FFFFFF" w:themeColor="background1"/>
      <w:sz w:val="32"/>
      <w:szCs w:val="32"/>
    </w:rPr>
  </w:style>
  <w:style w:type="character" w:customStyle="1" w:styleId="Heading2Char">
    <w:name w:val="Heading 2 Char"/>
    <w:basedOn w:val="DefaultParagraphFont"/>
    <w:link w:val="Heading2"/>
    <w:uiPriority w:val="9"/>
    <w:rsid w:val="005F0144"/>
    <w:rPr>
      <w:rFonts w:ascii="Calibri" w:eastAsiaTheme="majorEastAsia" w:hAnsi="Calibri" w:cstheme="majorBidi"/>
      <w:b/>
      <w:color w:val="0076BD" w:themeColor="text2"/>
      <w:sz w:val="30"/>
      <w:szCs w:val="26"/>
    </w:rPr>
  </w:style>
  <w:style w:type="character" w:customStyle="1" w:styleId="Heading3Char">
    <w:name w:val="Heading 3 Char"/>
    <w:basedOn w:val="DefaultParagraphFont"/>
    <w:link w:val="Heading3"/>
    <w:uiPriority w:val="9"/>
    <w:rsid w:val="005F0144"/>
    <w:rPr>
      <w:rFonts w:ascii="Calibri" w:eastAsiaTheme="majorEastAsia" w:hAnsi="Calibri" w:cstheme="majorBidi"/>
      <w:b/>
      <w:color w:val="051532" w:themeColor="text1"/>
      <w:sz w:val="28"/>
      <w:szCs w:val="24"/>
    </w:rPr>
  </w:style>
  <w:style w:type="character" w:customStyle="1" w:styleId="Heading4Char">
    <w:name w:val="Heading 4 Char"/>
    <w:basedOn w:val="DefaultParagraphFont"/>
    <w:link w:val="Heading4"/>
    <w:uiPriority w:val="9"/>
    <w:rsid w:val="00D762B5"/>
    <w:rPr>
      <w:rFonts w:ascii="Calibri" w:eastAsiaTheme="majorEastAsia" w:hAnsi="Calibri" w:cstheme="majorBidi"/>
      <w:b/>
      <w:iCs/>
      <w:color w:val="0076BD" w:themeColor="text2"/>
      <w:sz w:val="24"/>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1351C2" w:themeColor="text1" w:themeTint="A6"/>
    </w:rPr>
  </w:style>
  <w:style w:type="character" w:customStyle="1" w:styleId="QuoteChar">
    <w:name w:val="Quote Char"/>
    <w:basedOn w:val="DefaultParagraphFont"/>
    <w:link w:val="Quote"/>
    <w:uiPriority w:val="29"/>
    <w:rsid w:val="0022498C"/>
    <w:rPr>
      <w:iCs/>
      <w:color w:val="1351C2"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link w:val="ListBulletChar"/>
    <w:uiPriority w:val="99"/>
    <w:unhideWhenUsed/>
    <w:qFormat/>
    <w:rsid w:val="00067075"/>
    <w:pPr>
      <w:ind w:left="0"/>
    </w:pPr>
  </w:style>
  <w:style w:type="paragraph" w:styleId="List">
    <w:name w:val="List"/>
    <w:basedOn w:val="ListBullet"/>
    <w:uiPriority w:val="99"/>
    <w:unhideWhenUsed/>
    <w:qFormat/>
    <w:rsid w:val="00067075"/>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customStyle="1" w:styleId="ListBulletChar">
    <w:name w:val="List Bullet Char"/>
    <w:basedOn w:val="DefaultParagraphFont"/>
    <w:link w:val="ListBullet"/>
    <w:uiPriority w:val="99"/>
    <w:rsid w:val="00014617"/>
  </w:style>
  <w:style w:type="paragraph" w:styleId="ListBullet5">
    <w:name w:val="List Bullet 5"/>
    <w:basedOn w:val="Normal"/>
    <w:uiPriority w:val="99"/>
    <w:semiHidden/>
    <w:unhideWhenUsed/>
    <w:rsid w:val="000D06F7"/>
    <w:pPr>
      <w:numPr>
        <w:numId w:val="5"/>
      </w:numPr>
      <w:contextualSpacing/>
    </w:pPr>
  </w:style>
  <w:style w:type="character" w:styleId="CommentReference">
    <w:name w:val="annotation reference"/>
    <w:basedOn w:val="DefaultParagraphFont"/>
    <w:uiPriority w:val="99"/>
    <w:semiHidden/>
    <w:unhideWhenUsed/>
    <w:rsid w:val="00D17E31"/>
    <w:rPr>
      <w:sz w:val="16"/>
      <w:szCs w:val="16"/>
    </w:rPr>
  </w:style>
  <w:style w:type="paragraph" w:styleId="CommentText">
    <w:name w:val="annotation text"/>
    <w:basedOn w:val="Normal"/>
    <w:link w:val="CommentTextChar"/>
    <w:uiPriority w:val="99"/>
    <w:semiHidden/>
    <w:unhideWhenUsed/>
    <w:rsid w:val="00D17E31"/>
    <w:pPr>
      <w:spacing w:line="240" w:lineRule="auto"/>
    </w:pPr>
    <w:rPr>
      <w:sz w:val="20"/>
      <w:szCs w:val="20"/>
    </w:rPr>
  </w:style>
  <w:style w:type="character" w:customStyle="1" w:styleId="CommentTextChar">
    <w:name w:val="Comment Text Char"/>
    <w:basedOn w:val="DefaultParagraphFont"/>
    <w:link w:val="CommentText"/>
    <w:uiPriority w:val="99"/>
    <w:semiHidden/>
    <w:rsid w:val="00D17E31"/>
    <w:rPr>
      <w:sz w:val="20"/>
      <w:szCs w:val="20"/>
    </w:rPr>
  </w:style>
  <w:style w:type="paragraph" w:styleId="CommentSubject">
    <w:name w:val="annotation subject"/>
    <w:basedOn w:val="CommentText"/>
    <w:next w:val="CommentText"/>
    <w:link w:val="CommentSubjectChar"/>
    <w:uiPriority w:val="99"/>
    <w:semiHidden/>
    <w:unhideWhenUsed/>
    <w:rsid w:val="00D17E31"/>
    <w:rPr>
      <w:b/>
      <w:bCs/>
    </w:rPr>
  </w:style>
  <w:style w:type="character" w:customStyle="1" w:styleId="CommentSubjectChar">
    <w:name w:val="Comment Subject Char"/>
    <w:basedOn w:val="CommentTextChar"/>
    <w:link w:val="CommentSubject"/>
    <w:uiPriority w:val="99"/>
    <w:semiHidden/>
    <w:rsid w:val="00D17E31"/>
    <w:rPr>
      <w:b/>
      <w:bCs/>
      <w:sz w:val="20"/>
      <w:szCs w:val="20"/>
    </w:rPr>
  </w:style>
  <w:style w:type="paragraph" w:styleId="NormalWeb">
    <w:name w:val="Normal (Web)"/>
    <w:basedOn w:val="Normal"/>
    <w:uiPriority w:val="99"/>
    <w:semiHidden/>
    <w:unhideWhenUsed/>
    <w:rsid w:val="00D17E3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FA6E05"/>
    <w:rPr>
      <w:color w:val="605E5C"/>
      <w:shd w:val="clear" w:color="auto" w:fill="E1DFDD"/>
    </w:rPr>
  </w:style>
  <w:style w:type="character" w:styleId="FollowedHyperlink">
    <w:name w:val="FollowedHyperlink"/>
    <w:basedOn w:val="DefaultParagraphFont"/>
    <w:uiPriority w:val="99"/>
    <w:semiHidden/>
    <w:unhideWhenUsed/>
    <w:rsid w:val="00FA6E05"/>
    <w:rPr>
      <w:color w:val="051532" w:themeColor="followedHyperlink"/>
      <w:u w:val="single"/>
    </w:rPr>
  </w:style>
  <w:style w:type="paragraph" w:customStyle="1" w:styleId="paragraph">
    <w:name w:val="paragraph"/>
    <w:basedOn w:val="Normal"/>
    <w:rsid w:val="00A861C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A861C9"/>
  </w:style>
  <w:style w:type="character" w:customStyle="1" w:styleId="eop">
    <w:name w:val="eop"/>
    <w:basedOn w:val="DefaultParagraphFont"/>
    <w:rsid w:val="00A86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3831">
      <w:bodyDiv w:val="1"/>
      <w:marLeft w:val="0"/>
      <w:marRight w:val="0"/>
      <w:marTop w:val="0"/>
      <w:marBottom w:val="0"/>
      <w:divBdr>
        <w:top w:val="none" w:sz="0" w:space="0" w:color="auto"/>
        <w:left w:val="none" w:sz="0" w:space="0" w:color="auto"/>
        <w:bottom w:val="none" w:sz="0" w:space="0" w:color="auto"/>
        <w:right w:val="none" w:sz="0" w:space="0" w:color="auto"/>
      </w:divBdr>
    </w:div>
    <w:div w:id="137915806">
      <w:bodyDiv w:val="1"/>
      <w:marLeft w:val="0"/>
      <w:marRight w:val="0"/>
      <w:marTop w:val="0"/>
      <w:marBottom w:val="0"/>
      <w:divBdr>
        <w:top w:val="none" w:sz="0" w:space="0" w:color="auto"/>
        <w:left w:val="none" w:sz="0" w:space="0" w:color="auto"/>
        <w:bottom w:val="none" w:sz="0" w:space="0" w:color="auto"/>
        <w:right w:val="none" w:sz="0" w:space="0" w:color="auto"/>
      </w:divBdr>
    </w:div>
    <w:div w:id="309291203">
      <w:bodyDiv w:val="1"/>
      <w:marLeft w:val="0"/>
      <w:marRight w:val="0"/>
      <w:marTop w:val="0"/>
      <w:marBottom w:val="0"/>
      <w:divBdr>
        <w:top w:val="none" w:sz="0" w:space="0" w:color="auto"/>
        <w:left w:val="none" w:sz="0" w:space="0" w:color="auto"/>
        <w:bottom w:val="none" w:sz="0" w:space="0" w:color="auto"/>
        <w:right w:val="none" w:sz="0" w:space="0" w:color="auto"/>
      </w:divBdr>
    </w:div>
    <w:div w:id="335614324">
      <w:bodyDiv w:val="1"/>
      <w:marLeft w:val="0"/>
      <w:marRight w:val="0"/>
      <w:marTop w:val="0"/>
      <w:marBottom w:val="0"/>
      <w:divBdr>
        <w:top w:val="none" w:sz="0" w:space="0" w:color="auto"/>
        <w:left w:val="none" w:sz="0" w:space="0" w:color="auto"/>
        <w:bottom w:val="none" w:sz="0" w:space="0" w:color="auto"/>
        <w:right w:val="none" w:sz="0" w:space="0" w:color="auto"/>
      </w:divBdr>
    </w:div>
    <w:div w:id="336928113">
      <w:bodyDiv w:val="1"/>
      <w:marLeft w:val="0"/>
      <w:marRight w:val="0"/>
      <w:marTop w:val="0"/>
      <w:marBottom w:val="0"/>
      <w:divBdr>
        <w:top w:val="none" w:sz="0" w:space="0" w:color="auto"/>
        <w:left w:val="none" w:sz="0" w:space="0" w:color="auto"/>
        <w:bottom w:val="none" w:sz="0" w:space="0" w:color="auto"/>
        <w:right w:val="none" w:sz="0" w:space="0" w:color="auto"/>
      </w:divBdr>
    </w:div>
    <w:div w:id="421219311">
      <w:bodyDiv w:val="1"/>
      <w:marLeft w:val="0"/>
      <w:marRight w:val="0"/>
      <w:marTop w:val="0"/>
      <w:marBottom w:val="0"/>
      <w:divBdr>
        <w:top w:val="none" w:sz="0" w:space="0" w:color="auto"/>
        <w:left w:val="none" w:sz="0" w:space="0" w:color="auto"/>
        <w:bottom w:val="none" w:sz="0" w:space="0" w:color="auto"/>
        <w:right w:val="none" w:sz="0" w:space="0" w:color="auto"/>
      </w:divBdr>
    </w:div>
    <w:div w:id="444277796">
      <w:bodyDiv w:val="1"/>
      <w:marLeft w:val="0"/>
      <w:marRight w:val="0"/>
      <w:marTop w:val="0"/>
      <w:marBottom w:val="0"/>
      <w:divBdr>
        <w:top w:val="none" w:sz="0" w:space="0" w:color="auto"/>
        <w:left w:val="none" w:sz="0" w:space="0" w:color="auto"/>
        <w:bottom w:val="none" w:sz="0" w:space="0" w:color="auto"/>
        <w:right w:val="none" w:sz="0" w:space="0" w:color="auto"/>
      </w:divBdr>
    </w:div>
    <w:div w:id="532226492">
      <w:bodyDiv w:val="1"/>
      <w:marLeft w:val="0"/>
      <w:marRight w:val="0"/>
      <w:marTop w:val="0"/>
      <w:marBottom w:val="0"/>
      <w:divBdr>
        <w:top w:val="none" w:sz="0" w:space="0" w:color="auto"/>
        <w:left w:val="none" w:sz="0" w:space="0" w:color="auto"/>
        <w:bottom w:val="none" w:sz="0" w:space="0" w:color="auto"/>
        <w:right w:val="none" w:sz="0" w:space="0" w:color="auto"/>
      </w:divBdr>
    </w:div>
    <w:div w:id="574703454">
      <w:bodyDiv w:val="1"/>
      <w:marLeft w:val="0"/>
      <w:marRight w:val="0"/>
      <w:marTop w:val="0"/>
      <w:marBottom w:val="0"/>
      <w:divBdr>
        <w:top w:val="none" w:sz="0" w:space="0" w:color="auto"/>
        <w:left w:val="none" w:sz="0" w:space="0" w:color="auto"/>
        <w:bottom w:val="none" w:sz="0" w:space="0" w:color="auto"/>
        <w:right w:val="none" w:sz="0" w:space="0" w:color="auto"/>
      </w:divBdr>
    </w:div>
    <w:div w:id="579757229">
      <w:bodyDiv w:val="1"/>
      <w:marLeft w:val="0"/>
      <w:marRight w:val="0"/>
      <w:marTop w:val="0"/>
      <w:marBottom w:val="0"/>
      <w:divBdr>
        <w:top w:val="none" w:sz="0" w:space="0" w:color="auto"/>
        <w:left w:val="none" w:sz="0" w:space="0" w:color="auto"/>
        <w:bottom w:val="none" w:sz="0" w:space="0" w:color="auto"/>
        <w:right w:val="none" w:sz="0" w:space="0" w:color="auto"/>
      </w:divBdr>
    </w:div>
    <w:div w:id="853034404">
      <w:bodyDiv w:val="1"/>
      <w:marLeft w:val="0"/>
      <w:marRight w:val="0"/>
      <w:marTop w:val="0"/>
      <w:marBottom w:val="0"/>
      <w:divBdr>
        <w:top w:val="none" w:sz="0" w:space="0" w:color="auto"/>
        <w:left w:val="none" w:sz="0" w:space="0" w:color="auto"/>
        <w:bottom w:val="none" w:sz="0" w:space="0" w:color="auto"/>
        <w:right w:val="none" w:sz="0" w:space="0" w:color="auto"/>
      </w:divBdr>
    </w:div>
    <w:div w:id="942956407">
      <w:bodyDiv w:val="1"/>
      <w:marLeft w:val="0"/>
      <w:marRight w:val="0"/>
      <w:marTop w:val="0"/>
      <w:marBottom w:val="0"/>
      <w:divBdr>
        <w:top w:val="none" w:sz="0" w:space="0" w:color="auto"/>
        <w:left w:val="none" w:sz="0" w:space="0" w:color="auto"/>
        <w:bottom w:val="none" w:sz="0" w:space="0" w:color="auto"/>
        <w:right w:val="none" w:sz="0" w:space="0" w:color="auto"/>
      </w:divBdr>
    </w:div>
    <w:div w:id="1048603276">
      <w:bodyDiv w:val="1"/>
      <w:marLeft w:val="0"/>
      <w:marRight w:val="0"/>
      <w:marTop w:val="0"/>
      <w:marBottom w:val="0"/>
      <w:divBdr>
        <w:top w:val="none" w:sz="0" w:space="0" w:color="auto"/>
        <w:left w:val="none" w:sz="0" w:space="0" w:color="auto"/>
        <w:bottom w:val="none" w:sz="0" w:space="0" w:color="auto"/>
        <w:right w:val="none" w:sz="0" w:space="0" w:color="auto"/>
      </w:divBdr>
    </w:div>
    <w:div w:id="1067149342">
      <w:bodyDiv w:val="1"/>
      <w:marLeft w:val="0"/>
      <w:marRight w:val="0"/>
      <w:marTop w:val="0"/>
      <w:marBottom w:val="0"/>
      <w:divBdr>
        <w:top w:val="none" w:sz="0" w:space="0" w:color="auto"/>
        <w:left w:val="none" w:sz="0" w:space="0" w:color="auto"/>
        <w:bottom w:val="none" w:sz="0" w:space="0" w:color="auto"/>
        <w:right w:val="none" w:sz="0" w:space="0" w:color="auto"/>
      </w:divBdr>
    </w:div>
    <w:div w:id="1231427818">
      <w:bodyDiv w:val="1"/>
      <w:marLeft w:val="0"/>
      <w:marRight w:val="0"/>
      <w:marTop w:val="0"/>
      <w:marBottom w:val="0"/>
      <w:divBdr>
        <w:top w:val="none" w:sz="0" w:space="0" w:color="auto"/>
        <w:left w:val="none" w:sz="0" w:space="0" w:color="auto"/>
        <w:bottom w:val="none" w:sz="0" w:space="0" w:color="auto"/>
        <w:right w:val="none" w:sz="0" w:space="0" w:color="auto"/>
      </w:divBdr>
    </w:div>
    <w:div w:id="1268123500">
      <w:bodyDiv w:val="1"/>
      <w:marLeft w:val="0"/>
      <w:marRight w:val="0"/>
      <w:marTop w:val="0"/>
      <w:marBottom w:val="0"/>
      <w:divBdr>
        <w:top w:val="none" w:sz="0" w:space="0" w:color="auto"/>
        <w:left w:val="none" w:sz="0" w:space="0" w:color="auto"/>
        <w:bottom w:val="none" w:sz="0" w:space="0" w:color="auto"/>
        <w:right w:val="none" w:sz="0" w:space="0" w:color="auto"/>
      </w:divBdr>
    </w:div>
    <w:div w:id="1327783361">
      <w:bodyDiv w:val="1"/>
      <w:marLeft w:val="0"/>
      <w:marRight w:val="0"/>
      <w:marTop w:val="0"/>
      <w:marBottom w:val="0"/>
      <w:divBdr>
        <w:top w:val="none" w:sz="0" w:space="0" w:color="auto"/>
        <w:left w:val="none" w:sz="0" w:space="0" w:color="auto"/>
        <w:bottom w:val="none" w:sz="0" w:space="0" w:color="auto"/>
        <w:right w:val="none" w:sz="0" w:space="0" w:color="auto"/>
      </w:divBdr>
    </w:div>
    <w:div w:id="1621452345">
      <w:bodyDiv w:val="1"/>
      <w:marLeft w:val="0"/>
      <w:marRight w:val="0"/>
      <w:marTop w:val="0"/>
      <w:marBottom w:val="0"/>
      <w:divBdr>
        <w:top w:val="none" w:sz="0" w:space="0" w:color="auto"/>
        <w:left w:val="none" w:sz="0" w:space="0" w:color="auto"/>
        <w:bottom w:val="none" w:sz="0" w:space="0" w:color="auto"/>
        <w:right w:val="none" w:sz="0" w:space="0" w:color="auto"/>
      </w:divBdr>
    </w:div>
    <w:div w:id="1822581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jobsandskills.gov.au/work/employment-region-dashboards-and-profiles/monthly-labour-market-dashboard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hyperlink" Target="https://www.workforceaustralia.gov.au/"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jobsandskills.gov.au/work/employment-region-dashboards-and-profiles/monthly-labour-market-dashboar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dewr.gov.au/local-jobs"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mailto:stephnicolaou@localjobsfnq.com.au" TargetMode="Externa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Workforce Australia Palette">
      <a:dk1>
        <a:srgbClr val="051532"/>
      </a:dk1>
      <a:lt1>
        <a:sysClr val="window" lastClr="FFFFFF"/>
      </a:lt1>
      <a:dk2>
        <a:srgbClr val="0076BD"/>
      </a:dk2>
      <a:lt2>
        <a:srgbClr val="FFFFFF"/>
      </a:lt2>
      <a:accent1>
        <a:srgbClr val="051532"/>
      </a:accent1>
      <a:accent2>
        <a:srgbClr val="0076BD"/>
      </a:accent2>
      <a:accent3>
        <a:srgbClr val="497537"/>
      </a:accent3>
      <a:accent4>
        <a:srgbClr val="006170"/>
      </a:accent4>
      <a:accent5>
        <a:srgbClr val="55B5B1"/>
      </a:accent5>
      <a:accent6>
        <a:srgbClr val="63B6CF"/>
      </a:accent6>
      <a:hlink>
        <a:srgbClr val="0076BD"/>
      </a:hlink>
      <a:folHlink>
        <a:srgbClr val="05153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9373EFC09F840AC3A5D16A4B5FD0A" ma:contentTypeVersion="15" ma:contentTypeDescription="Create a new document." ma:contentTypeScope="" ma:versionID="1c049fade436dc470482b61a80762ffb">
  <xsd:schema xmlns:xsd="http://www.w3.org/2001/XMLSchema" xmlns:xs="http://www.w3.org/2001/XMLSchema" xmlns:p="http://schemas.microsoft.com/office/2006/metadata/properties" xmlns:ns2="bb109488-3f35-41d0-889b-70468df0eeb2" xmlns:ns3="58ec2c55-77c1-402a-bd28-299f9061f208" targetNamespace="http://schemas.microsoft.com/office/2006/metadata/properties" ma:root="true" ma:fieldsID="a2cff3912cde89def6037d464f658bd9" ns2:_="" ns3:_="">
    <xsd:import namespace="bb109488-3f35-41d0-889b-70468df0eeb2"/>
    <xsd:import namespace="58ec2c55-77c1-402a-bd28-299f9061f2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09488-3f35-41d0-889b-70468df0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74ea4ff-5e9e-425e-a665-31dc81d45f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8ec2c55-77c1-402a-bd28-299f9061f20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80976e7-be83-40f3-bbd0-2e396f6377ba}" ma:internalName="TaxCatchAll" ma:showField="CatchAllData" ma:web="58ec2c55-77c1-402a-bd28-299f9061f2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b109488-3f35-41d0-889b-70468df0eeb2">
      <Terms xmlns="http://schemas.microsoft.com/office/infopath/2007/PartnerControls"/>
    </lcf76f155ced4ddcb4097134ff3c332f>
    <TaxCatchAll xmlns="58ec2c55-77c1-402a-bd28-299f9061f208"/>
  </documentManagement>
</p:properties>
</file>

<file path=customXml/itemProps1.xml><?xml version="1.0" encoding="utf-8"?>
<ds:datastoreItem xmlns:ds="http://schemas.openxmlformats.org/officeDocument/2006/customXml" ds:itemID="{AB851E20-8091-4213-AF1B-82F297F1E0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109488-3f35-41d0-889b-70468df0eeb2"/>
    <ds:schemaRef ds:uri="58ec2c55-77c1-402a-bd28-299f9061f2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7324AF-5EB5-414B-83BC-1288C3F5FB22}">
  <ds:schemaRefs>
    <ds:schemaRef ds:uri="http://schemas.microsoft.com/sharepoint/v3/contenttype/forms"/>
  </ds:schemaRefs>
</ds:datastoreItem>
</file>

<file path=customXml/itemProps3.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customXml/itemProps4.xml><?xml version="1.0" encoding="utf-8"?>
<ds:datastoreItem xmlns:ds="http://schemas.openxmlformats.org/officeDocument/2006/customXml" ds:itemID="{A6CD6226-3EAF-46C5-B0F2-A2410F074527}">
  <ds:schemaRefs>
    <ds:schemaRef ds:uri="http://purl.org/dc/terms/"/>
    <ds:schemaRef ds:uri="http://www.w3.org/XML/1998/namespace"/>
    <ds:schemaRef ds:uri="http://purl.org/dc/elements/1.1/"/>
    <ds:schemaRef ds:uri="http://schemas.microsoft.com/office/infopath/2007/PartnerControls"/>
    <ds:schemaRef ds:uri="http://purl.org/dc/dcmitype/"/>
    <ds:schemaRef ds:uri="http://schemas.microsoft.com/office/2006/documentManagement/types"/>
    <ds:schemaRef ds:uri="bb109488-3f35-41d0-889b-70468df0eeb2"/>
    <ds:schemaRef ds:uri="58ec2c55-77c1-402a-bd28-299f9061f208"/>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1640</Words>
  <Characters>9351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Local Jobs Program Template</vt:lpstr>
    </vt:vector>
  </TitlesOfParts>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Townsville (incl Mt Isa) - Local Jobs Plan - June 2023</dc:title>
  <dc:subject/>
  <dc:creator/>
  <cp:keywords>Local Jobs Program Template</cp:keywords>
  <dc:description/>
  <cp:lastModifiedBy/>
  <cp:revision>1</cp:revision>
  <dcterms:created xsi:type="dcterms:W3CDTF">2023-07-26T09:26:00Z</dcterms:created>
  <dcterms:modified xsi:type="dcterms:W3CDTF">2023-07-26T09:26:00Z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0x010100CDD9373EFC09F840AC3A5D16A4B5FD0A</vt:lpwstr>
  </property>
  <property fmtid="{D5CDD505-2E9C-101B-9397-08002B2CF9AE}" pid="3" name="ItemKeywords">
    <vt:lpwstr>1996;#template|9706ad1b-dfa6-4d44-b515-12d7e5bc9d3f;#1980;#Branding|0a1f5508-ce36-4b6e-9019-600efbc3632a</vt:lpwstr>
  </property>
  <property fmtid="{D5CDD505-2E9C-101B-9397-08002B2CF9AE}" pid="4" name="ItemFunction">
    <vt:lpwstr>1976;#communication|9d5354d3-d1c2-4163-a4db-c06e4aa61e3a</vt:lpwstr>
  </property>
  <property fmtid="{D5CDD505-2E9C-101B-9397-08002B2CF9AE}" pid="5" name="ItemType">
    <vt:lpwstr>1999;#template|60f4875c-5740-43a9-8840-cfcba2da81bd</vt:lpwstr>
  </property>
  <property fmtid="{D5CDD505-2E9C-101B-9397-08002B2CF9AE}" pid="6" name="MSIP_Label_79d889eb-932f-4752-8739-64d25806ef64_Enabled">
    <vt:lpwstr>true</vt:lpwstr>
  </property>
  <property fmtid="{D5CDD505-2E9C-101B-9397-08002B2CF9AE}" pid="7" name="MSIP_Label_79d889eb-932f-4752-8739-64d25806ef64_SetDate">
    <vt:lpwstr>2022-06-24T04:07:00Z</vt:lpwstr>
  </property>
  <property fmtid="{D5CDD505-2E9C-101B-9397-08002B2CF9AE}" pid="8" name="MSIP_Label_79d889eb-932f-4752-8739-64d25806ef64_Method">
    <vt:lpwstr>Privileged</vt:lpwstr>
  </property>
  <property fmtid="{D5CDD505-2E9C-101B-9397-08002B2CF9AE}" pid="9" name="MSIP_Label_79d889eb-932f-4752-8739-64d25806ef64_Name">
    <vt:lpwstr>79d889eb-932f-4752-8739-64d25806ef64</vt:lpwstr>
  </property>
  <property fmtid="{D5CDD505-2E9C-101B-9397-08002B2CF9AE}" pid="10" name="MSIP_Label_79d889eb-932f-4752-8739-64d25806ef64_SiteId">
    <vt:lpwstr>dd0cfd15-4558-4b12-8bad-ea26984fc417</vt:lpwstr>
  </property>
  <property fmtid="{D5CDD505-2E9C-101B-9397-08002B2CF9AE}" pid="11" name="MSIP_Label_79d889eb-932f-4752-8739-64d25806ef64_ActionId">
    <vt:lpwstr>f5e3f0d6-81ac-4bab-83b5-5d429dacc10b</vt:lpwstr>
  </property>
  <property fmtid="{D5CDD505-2E9C-101B-9397-08002B2CF9AE}" pid="12" name="MSIP_Label_79d889eb-932f-4752-8739-64d25806ef64_ContentBits">
    <vt:lpwstr>0</vt:lpwstr>
  </property>
  <property fmtid="{D5CDD505-2E9C-101B-9397-08002B2CF9AE}" pid="13" name="MediaServiceImageTags">
    <vt:lpwstr/>
  </property>
</Properties>
</file>