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CC88B" w14:textId="04D205A7" w:rsidR="00E50BDB" w:rsidRPr="00A81B3A" w:rsidRDefault="00704779" w:rsidP="00F812AE">
      <w:pPr>
        <w:keepNext/>
        <w:keepLines/>
        <w:suppressLineNumbers/>
        <w:spacing w:before="100" w:beforeAutospacing="1" w:after="100" w:afterAutospacing="1" w:line="240" w:lineRule="auto"/>
        <w:jc w:val="center"/>
        <w:rPr>
          <w:b/>
          <w:noProof/>
          <w:lang w:eastAsia="en-AU"/>
        </w:rPr>
      </w:pPr>
      <w:r w:rsidRPr="00CD0738">
        <w:rPr>
          <w:b/>
          <w:noProof/>
          <w:color w:val="00746B"/>
          <w:sz w:val="56"/>
          <w:szCs w:val="72"/>
          <w:lang w:eastAsia="en-AU"/>
        </w:rPr>
        <w:drawing>
          <wp:inline distT="0" distB="0" distL="0" distR="0" wp14:anchorId="4F447F33" wp14:editId="468CE409">
            <wp:extent cx="3019425" cy="752475"/>
            <wp:effectExtent l="0" t="0" r="9525" b="9525"/>
            <wp:docPr id="10" name="Picture 10" descr="Australian Government Career Transition Assist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special$\2017 Purchasing\2018-19 Career Transition Assistance National Rollout\03 - Communication\CTA_New Logo Pack\CTA Lockup\CTA_GOV_Lo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752475"/>
                    </a:xfrm>
                    <a:prstGeom prst="rect">
                      <a:avLst/>
                    </a:prstGeom>
                    <a:noFill/>
                    <a:ln>
                      <a:noFill/>
                    </a:ln>
                  </pic:spPr>
                </pic:pic>
              </a:graphicData>
            </a:graphic>
          </wp:inline>
        </w:drawing>
      </w:r>
      <w:r w:rsidR="00DA1463" w:rsidRPr="00EC667C">
        <w:rPr>
          <w:b/>
          <w:noProof/>
          <w:color w:val="1E3D6B"/>
          <w:sz w:val="72"/>
          <w:szCs w:val="72"/>
          <w:lang w:eastAsia="en-AU"/>
        </w:rPr>
        <w:drawing>
          <wp:anchor distT="0" distB="0" distL="114300" distR="114300" simplePos="0" relativeHeight="251658240" behindDoc="1" locked="0" layoutInCell="1" allowOverlap="1" wp14:anchorId="2B94FE5C" wp14:editId="711CDCC2">
            <wp:simplePos x="0" y="0"/>
            <wp:positionH relativeFrom="margin">
              <wp:posOffset>-931025</wp:posOffset>
            </wp:positionH>
            <wp:positionV relativeFrom="margin">
              <wp:posOffset>-925484</wp:posOffset>
            </wp:positionV>
            <wp:extent cx="1871980" cy="22784435"/>
            <wp:effectExtent l="0" t="0" r="0" b="0"/>
            <wp:wrapTight wrapText="bothSides">
              <wp:wrapPolygon edited="0">
                <wp:start x="0" y="0"/>
                <wp:lineTo x="0" y="21581"/>
                <wp:lineTo x="21322" y="21581"/>
                <wp:lineTo x="21322" y="0"/>
                <wp:lineTo x="0" y="0"/>
              </wp:wrapPolygon>
            </wp:wrapTight>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Youth Transition to Work 2016-2020\2 - Tender Documentation\EM15-0133 Employment branding strip_Gre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980" cy="2278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649C0" w14:textId="2E38D8C6" w:rsidR="00E50BDB" w:rsidRPr="008364A9" w:rsidRDefault="003C013C" w:rsidP="00A55BB0">
      <w:pPr>
        <w:pStyle w:val="Title"/>
        <w:spacing w:before="600" w:beforeAutospacing="0"/>
      </w:pPr>
      <w:r>
        <w:t>Frequently asked q</w:t>
      </w:r>
      <w:r w:rsidR="00E50BDB" w:rsidRPr="008364A9">
        <w:t>uestions</w:t>
      </w:r>
    </w:p>
    <w:p w14:paraId="1C6808A5" w14:textId="0862FC28" w:rsidR="00E50BDB" w:rsidRPr="00E50BDB" w:rsidRDefault="000759A3" w:rsidP="00867EA1">
      <w:pPr>
        <w:pStyle w:val="Title"/>
        <w:spacing w:before="1200" w:beforeAutospacing="0"/>
        <w:rPr>
          <w:sz w:val="52"/>
          <w:szCs w:val="56"/>
        </w:rPr>
      </w:pPr>
      <w:r w:rsidRPr="00E50BDB">
        <w:rPr>
          <w:sz w:val="52"/>
          <w:szCs w:val="56"/>
        </w:rPr>
        <w:t xml:space="preserve">Request For </w:t>
      </w:r>
      <w:r w:rsidR="00A45149">
        <w:rPr>
          <w:sz w:val="52"/>
          <w:szCs w:val="56"/>
        </w:rPr>
        <w:t>Tender</w:t>
      </w:r>
    </w:p>
    <w:p w14:paraId="5E2056C4" w14:textId="55823796" w:rsidR="00E50BDB" w:rsidRPr="00E50BDB" w:rsidRDefault="000759A3" w:rsidP="00867EA1">
      <w:pPr>
        <w:pStyle w:val="Title"/>
        <w:tabs>
          <w:tab w:val="clear" w:pos="2835"/>
          <w:tab w:val="left" w:pos="1843"/>
        </w:tabs>
        <w:spacing w:before="960" w:beforeAutospacing="0"/>
        <w:ind w:right="-306"/>
        <w:rPr>
          <w:caps/>
          <w:sz w:val="48"/>
          <w:szCs w:val="48"/>
        </w:rPr>
      </w:pPr>
      <w:r w:rsidRPr="00E50BDB">
        <w:rPr>
          <w:sz w:val="48"/>
          <w:szCs w:val="48"/>
        </w:rPr>
        <w:t>Career Transition Assistance</w:t>
      </w:r>
      <w:r>
        <w:rPr>
          <w:sz w:val="48"/>
          <w:szCs w:val="48"/>
        </w:rPr>
        <w:t xml:space="preserve"> (CTA</w:t>
      </w:r>
      <w:r w:rsidRPr="00E50BDB">
        <w:rPr>
          <w:sz w:val="48"/>
          <w:szCs w:val="48"/>
        </w:rPr>
        <w:t>)</w:t>
      </w:r>
      <w:r w:rsidR="00867EA1">
        <w:rPr>
          <w:sz w:val="48"/>
          <w:szCs w:val="48"/>
        </w:rPr>
        <w:br/>
      </w:r>
      <w:r w:rsidRPr="00E50BDB">
        <w:rPr>
          <w:sz w:val="48"/>
          <w:szCs w:val="48"/>
        </w:rPr>
        <w:t>201</w:t>
      </w:r>
      <w:r w:rsidR="003E2EA7">
        <w:rPr>
          <w:sz w:val="48"/>
          <w:szCs w:val="48"/>
        </w:rPr>
        <w:t>9</w:t>
      </w:r>
      <w:r w:rsidRPr="00E50BDB">
        <w:rPr>
          <w:sz w:val="48"/>
          <w:szCs w:val="48"/>
        </w:rPr>
        <w:t>–202</w:t>
      </w:r>
      <w:r w:rsidR="00064373">
        <w:rPr>
          <w:sz w:val="48"/>
          <w:szCs w:val="48"/>
        </w:rPr>
        <w:t>1</w:t>
      </w:r>
    </w:p>
    <w:p w14:paraId="19AD7938" w14:textId="77777777" w:rsidR="00E50BDB" w:rsidRPr="002517EA" w:rsidRDefault="00E50BDB" w:rsidP="00867EA1">
      <w:pPr>
        <w:pStyle w:val="Title"/>
        <w:spacing w:before="1560" w:beforeAutospacing="0"/>
        <w:rPr>
          <w:sz w:val="40"/>
          <w:szCs w:val="36"/>
        </w:rPr>
      </w:pPr>
      <w:r w:rsidRPr="002517EA">
        <w:rPr>
          <w:sz w:val="40"/>
          <w:szCs w:val="36"/>
        </w:rPr>
        <w:t>Employment Services Purchasing</w:t>
      </w:r>
    </w:p>
    <w:p w14:paraId="2F100EEB" w14:textId="53CE07DF" w:rsidR="00E50BDB" w:rsidRPr="002517EA" w:rsidRDefault="008A7536" w:rsidP="00867EA1">
      <w:pPr>
        <w:pStyle w:val="Title"/>
        <w:spacing w:before="720" w:beforeAutospacing="0" w:after="360" w:afterAutospacing="0"/>
        <w:jc w:val="right"/>
        <w:rPr>
          <w:caps/>
          <w:sz w:val="36"/>
          <w:szCs w:val="32"/>
        </w:rPr>
      </w:pPr>
      <w:r>
        <w:rPr>
          <w:sz w:val="36"/>
          <w:szCs w:val="32"/>
        </w:rPr>
        <w:t>10</w:t>
      </w:r>
      <w:r w:rsidR="00410FEF">
        <w:rPr>
          <w:sz w:val="36"/>
          <w:szCs w:val="32"/>
        </w:rPr>
        <w:t xml:space="preserve"> December 2018</w:t>
      </w:r>
    </w:p>
    <w:p w14:paraId="16192258" w14:textId="76DBE527" w:rsidR="00E50BDB" w:rsidRDefault="00E50BDB" w:rsidP="00867EA1">
      <w:pPr>
        <w:spacing w:before="1800" w:after="0" w:line="240" w:lineRule="auto"/>
      </w:pPr>
      <w:r>
        <w:t xml:space="preserve">© </w:t>
      </w:r>
      <w:r w:rsidR="008958F1" w:rsidRPr="008958F1">
        <w:t>Commonwealth of Australia 2018</w:t>
      </w:r>
    </w:p>
    <w:p w14:paraId="5D473CB2" w14:textId="2ACEFEAD" w:rsidR="00E50BDB" w:rsidRDefault="00E50BDB" w:rsidP="00867EA1">
      <w:pPr>
        <w:keepNext/>
        <w:keepLines/>
        <w:suppressLineNumbers/>
        <w:spacing w:line="240" w:lineRule="auto"/>
        <w:rPr>
          <w:lang w:val="en-GB" w:eastAsia="en-AU"/>
        </w:rPr>
      </w:pPr>
      <w:r w:rsidRPr="00EC667C">
        <w:t>This work is copyright</w:t>
      </w:r>
      <w:r>
        <w:t xml:space="preserve">. </w:t>
      </w:r>
      <w:r w:rsidRPr="00EC667C">
        <w:t>You may download, display, print and reproduce this material in unaltered form only (retaining this Notice) for your personal, non-commercial use or use within your organisation</w:t>
      </w:r>
      <w:r w:rsidR="00867EA1">
        <w:t xml:space="preserve">. </w:t>
      </w:r>
      <w:r w:rsidRPr="00EC667C">
        <w:t xml:space="preserve">Apart from any use as permitted under the </w:t>
      </w:r>
      <w:r w:rsidRPr="009421C2">
        <w:rPr>
          <w:i/>
        </w:rPr>
        <w:t>Copyright Act 1968</w:t>
      </w:r>
      <w:r w:rsidRPr="00EC667C">
        <w:t>, all other rights are reserved.</w:t>
      </w:r>
    </w:p>
    <w:p w14:paraId="19D97DDD" w14:textId="2655A8D2" w:rsidR="00AE6300" w:rsidRPr="00AE6300" w:rsidRDefault="00AE6300" w:rsidP="00867EA1">
      <w:pPr>
        <w:keepNext/>
        <w:keepLines/>
        <w:suppressLineNumbers/>
        <w:spacing w:before="100" w:beforeAutospacing="1" w:after="100" w:afterAutospacing="1" w:line="240" w:lineRule="auto"/>
        <w:rPr>
          <w:lang w:val="en-GB" w:eastAsia="en-AU"/>
        </w:rPr>
        <w:sectPr w:rsidR="00AE6300" w:rsidRPr="00AE6300" w:rsidSect="00AE6300">
          <w:headerReference w:type="even" r:id="rId10"/>
          <w:headerReference w:type="default" r:id="rId11"/>
          <w:footerReference w:type="even" r:id="rId12"/>
          <w:footerReference w:type="default" r:id="rId13"/>
          <w:headerReference w:type="first" r:id="rId14"/>
          <w:footerReference w:type="first" r:id="rId15"/>
          <w:pgSz w:w="11906" w:h="16838"/>
          <w:pgMar w:top="1440" w:right="1133" w:bottom="993" w:left="1440" w:header="708" w:footer="708" w:gutter="0"/>
          <w:pgNumType w:start="1"/>
          <w:cols w:space="708"/>
          <w:titlePg/>
          <w:docGrid w:linePitch="360"/>
        </w:sectPr>
      </w:pPr>
    </w:p>
    <w:p w14:paraId="1F522BCF" w14:textId="43AF64FC" w:rsidR="009908A5" w:rsidRPr="007E1A96" w:rsidRDefault="003C013C" w:rsidP="00A55BB0">
      <w:pPr>
        <w:pStyle w:val="Subtitle"/>
        <w:rPr>
          <w:rFonts w:eastAsia="Batang"/>
        </w:rPr>
      </w:pPr>
      <w:bookmarkStart w:id="0" w:name="_Toc489867342"/>
      <w:bookmarkStart w:id="1" w:name="_Toc489867405"/>
      <w:bookmarkStart w:id="2" w:name="_Toc489867431"/>
      <w:bookmarkStart w:id="3" w:name="_Toc489867451"/>
      <w:r>
        <w:rPr>
          <w:rFonts w:eastAsia="Batang"/>
        </w:rPr>
        <w:lastRenderedPageBreak/>
        <w:t>Document h</w:t>
      </w:r>
      <w:r w:rsidR="00AE6300">
        <w:rPr>
          <w:rFonts w:eastAsia="Batang"/>
        </w:rPr>
        <w:t>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Caption w:val="Glossary"/>
        <w:tblDescription w:val="Glossary"/>
      </w:tblPr>
      <w:tblGrid>
        <w:gridCol w:w="2372"/>
        <w:gridCol w:w="7115"/>
      </w:tblGrid>
      <w:tr w:rsidR="009908A5" w:rsidRPr="006C598E" w14:paraId="6ECB0558" w14:textId="77777777" w:rsidTr="00832632">
        <w:trPr>
          <w:cantSplit/>
          <w:tblHeader/>
        </w:trPr>
        <w:tc>
          <w:tcPr>
            <w:tcW w:w="1250" w:type="pct"/>
            <w:shd w:val="clear" w:color="auto" w:fill="8DB3E2" w:themeFill="text2" w:themeFillTint="66"/>
            <w:tcMar>
              <w:top w:w="113" w:type="dxa"/>
              <w:left w:w="113" w:type="dxa"/>
              <w:bottom w:w="113" w:type="dxa"/>
              <w:right w:w="113" w:type="dxa"/>
            </w:tcMar>
            <w:vAlign w:val="center"/>
          </w:tcPr>
          <w:p w14:paraId="2E6772A7" w14:textId="77777777" w:rsidR="009908A5" w:rsidRPr="006C598E" w:rsidRDefault="009908A5" w:rsidP="00867EA1">
            <w:pPr>
              <w:keepNext/>
              <w:keepLines/>
              <w:suppressLineNumbers/>
              <w:spacing w:after="0" w:line="240" w:lineRule="auto"/>
              <w:rPr>
                <w:b/>
              </w:rPr>
            </w:pPr>
            <w:r w:rsidRPr="006C598E">
              <w:rPr>
                <w:b/>
              </w:rPr>
              <w:t>Date</w:t>
            </w:r>
          </w:p>
        </w:tc>
        <w:tc>
          <w:tcPr>
            <w:tcW w:w="3750" w:type="pct"/>
            <w:shd w:val="clear" w:color="auto" w:fill="8DB3E2" w:themeFill="text2" w:themeFillTint="66"/>
            <w:tcMar>
              <w:top w:w="113" w:type="dxa"/>
              <w:left w:w="113" w:type="dxa"/>
              <w:bottom w:w="113" w:type="dxa"/>
              <w:right w:w="113" w:type="dxa"/>
            </w:tcMar>
            <w:vAlign w:val="center"/>
          </w:tcPr>
          <w:p w14:paraId="51A62AF6" w14:textId="77777777" w:rsidR="009908A5" w:rsidRPr="006C598E" w:rsidRDefault="009908A5" w:rsidP="00867EA1">
            <w:pPr>
              <w:keepNext/>
              <w:keepLines/>
              <w:suppressLineNumbers/>
              <w:spacing w:after="0" w:line="240" w:lineRule="auto"/>
              <w:rPr>
                <w:rFonts w:cstheme="minorHAnsi"/>
                <w:b/>
              </w:rPr>
            </w:pPr>
            <w:r w:rsidRPr="006C598E">
              <w:rPr>
                <w:rFonts w:cstheme="minorHAnsi"/>
                <w:b/>
              </w:rPr>
              <w:t>Comments</w:t>
            </w:r>
          </w:p>
        </w:tc>
      </w:tr>
      <w:tr w:rsidR="009908A5" w:rsidRPr="00EC667C" w14:paraId="0BCF4290" w14:textId="77777777" w:rsidTr="00832632">
        <w:trPr>
          <w:cantSplit/>
        </w:trPr>
        <w:tc>
          <w:tcPr>
            <w:tcW w:w="1250" w:type="pct"/>
            <w:tcMar>
              <w:top w:w="113" w:type="dxa"/>
              <w:left w:w="113" w:type="dxa"/>
              <w:bottom w:w="113" w:type="dxa"/>
              <w:right w:w="113" w:type="dxa"/>
            </w:tcMar>
            <w:vAlign w:val="center"/>
          </w:tcPr>
          <w:p w14:paraId="7D98E2F9" w14:textId="3EA13BD6" w:rsidR="009908A5" w:rsidRPr="00867EA1" w:rsidRDefault="00BA5339" w:rsidP="00064373">
            <w:pPr>
              <w:keepNext/>
              <w:keepLines/>
              <w:suppressLineNumbers/>
              <w:spacing w:after="0" w:line="240" w:lineRule="auto"/>
            </w:pPr>
            <w:r>
              <w:t>16</w:t>
            </w:r>
            <w:r w:rsidRPr="00867EA1">
              <w:t xml:space="preserve"> </w:t>
            </w:r>
            <w:r w:rsidR="00064373">
              <w:t>November</w:t>
            </w:r>
            <w:r w:rsidR="00064373" w:rsidRPr="00867EA1">
              <w:t xml:space="preserve"> </w:t>
            </w:r>
            <w:r w:rsidR="00E50BDB" w:rsidRPr="00867EA1">
              <w:t>2018</w:t>
            </w:r>
          </w:p>
        </w:tc>
        <w:tc>
          <w:tcPr>
            <w:tcW w:w="3750" w:type="pct"/>
            <w:tcMar>
              <w:top w:w="113" w:type="dxa"/>
              <w:left w:w="113" w:type="dxa"/>
              <w:bottom w:w="113" w:type="dxa"/>
              <w:right w:w="113" w:type="dxa"/>
            </w:tcMar>
            <w:vAlign w:val="center"/>
          </w:tcPr>
          <w:p w14:paraId="6D485AC6" w14:textId="2FABEFDA" w:rsidR="009908A5" w:rsidRDefault="00162426" w:rsidP="00867EA1">
            <w:pPr>
              <w:keepNext/>
              <w:keepLines/>
              <w:suppressLineNumbers/>
              <w:spacing w:after="0" w:line="240" w:lineRule="auto"/>
              <w:rPr>
                <w:rFonts w:cstheme="minorHAnsi"/>
              </w:rPr>
            </w:pPr>
            <w:r w:rsidRPr="00867EA1">
              <w:rPr>
                <w:rFonts w:cstheme="minorHAnsi"/>
              </w:rPr>
              <w:t xml:space="preserve">Initial </w:t>
            </w:r>
            <w:r w:rsidR="00E50BDB" w:rsidRPr="00867EA1">
              <w:rPr>
                <w:rFonts w:cstheme="minorHAnsi"/>
              </w:rPr>
              <w:t>Release</w:t>
            </w:r>
          </w:p>
        </w:tc>
      </w:tr>
      <w:tr w:rsidR="001B2F16" w:rsidRPr="00EC667C" w14:paraId="7B4AC2FF" w14:textId="77777777" w:rsidTr="00832632">
        <w:trPr>
          <w:cantSplit/>
        </w:trPr>
        <w:tc>
          <w:tcPr>
            <w:tcW w:w="1250" w:type="pct"/>
            <w:tcMar>
              <w:top w:w="113" w:type="dxa"/>
              <w:left w:w="113" w:type="dxa"/>
              <w:bottom w:w="113" w:type="dxa"/>
              <w:right w:w="113" w:type="dxa"/>
            </w:tcMar>
            <w:vAlign w:val="center"/>
          </w:tcPr>
          <w:p w14:paraId="389358A9" w14:textId="31544515" w:rsidR="001B2F16" w:rsidRDefault="00B03DD1" w:rsidP="00554E46">
            <w:pPr>
              <w:keepNext/>
              <w:keepLines/>
              <w:suppressLineNumbers/>
              <w:spacing w:after="0" w:line="240" w:lineRule="auto"/>
            </w:pPr>
            <w:r>
              <w:t>2</w:t>
            </w:r>
            <w:r w:rsidR="00554E46">
              <w:t>9</w:t>
            </w:r>
            <w:r>
              <w:t xml:space="preserve"> November 2018</w:t>
            </w:r>
          </w:p>
        </w:tc>
        <w:tc>
          <w:tcPr>
            <w:tcW w:w="3750" w:type="pct"/>
            <w:tcMar>
              <w:top w:w="113" w:type="dxa"/>
              <w:left w:w="113" w:type="dxa"/>
              <w:bottom w:w="113" w:type="dxa"/>
              <w:right w:w="113" w:type="dxa"/>
            </w:tcMar>
            <w:vAlign w:val="center"/>
          </w:tcPr>
          <w:p w14:paraId="2070B3D3" w14:textId="77777777" w:rsidR="00D10325" w:rsidRDefault="00D10325" w:rsidP="00867EA1">
            <w:pPr>
              <w:keepNext/>
              <w:keepLines/>
              <w:suppressLineNumbers/>
              <w:spacing w:after="0" w:line="240" w:lineRule="auto"/>
              <w:rPr>
                <w:rFonts w:cstheme="minorHAnsi"/>
              </w:rPr>
            </w:pPr>
            <w:r>
              <w:rPr>
                <w:rFonts w:cstheme="minorHAnsi"/>
              </w:rPr>
              <w:t>Updated question and answer at 3.1</w:t>
            </w:r>
          </w:p>
          <w:p w14:paraId="07BD113B" w14:textId="478EBCA8" w:rsidR="00410FEF" w:rsidRPr="00867EA1" w:rsidRDefault="00D10325" w:rsidP="00867EA1">
            <w:pPr>
              <w:keepNext/>
              <w:keepLines/>
              <w:suppressLineNumbers/>
              <w:spacing w:after="0" w:line="240" w:lineRule="auto"/>
              <w:rPr>
                <w:rFonts w:cstheme="minorHAnsi"/>
              </w:rPr>
            </w:pPr>
            <w:r>
              <w:rPr>
                <w:rFonts w:cstheme="minorHAnsi"/>
              </w:rPr>
              <w:t>New questions at 2.8, 2.11, 3.3, 3.9 and 8.1</w:t>
            </w:r>
            <w:r w:rsidR="00A03369">
              <w:rPr>
                <w:rFonts w:cstheme="minorHAnsi"/>
              </w:rPr>
              <w:t xml:space="preserve"> </w:t>
            </w:r>
          </w:p>
        </w:tc>
      </w:tr>
      <w:tr w:rsidR="00410FEF" w:rsidRPr="00EC667C" w14:paraId="678C1488" w14:textId="77777777" w:rsidTr="00832632">
        <w:trPr>
          <w:cantSplit/>
        </w:trPr>
        <w:tc>
          <w:tcPr>
            <w:tcW w:w="1250" w:type="pct"/>
            <w:tcMar>
              <w:top w:w="113" w:type="dxa"/>
              <w:left w:w="113" w:type="dxa"/>
              <w:bottom w:w="113" w:type="dxa"/>
              <w:right w:w="113" w:type="dxa"/>
            </w:tcMar>
            <w:vAlign w:val="center"/>
          </w:tcPr>
          <w:p w14:paraId="605CF384" w14:textId="642BC74F" w:rsidR="00410FEF" w:rsidRDefault="00410FEF" w:rsidP="00554E46">
            <w:pPr>
              <w:keepNext/>
              <w:keepLines/>
              <w:suppressLineNumbers/>
              <w:spacing w:after="0" w:line="240" w:lineRule="auto"/>
            </w:pPr>
            <w:r>
              <w:t>5 December 2018</w:t>
            </w:r>
          </w:p>
        </w:tc>
        <w:tc>
          <w:tcPr>
            <w:tcW w:w="3750" w:type="pct"/>
            <w:tcMar>
              <w:top w:w="113" w:type="dxa"/>
              <w:left w:w="113" w:type="dxa"/>
              <w:bottom w:w="113" w:type="dxa"/>
              <w:right w:w="113" w:type="dxa"/>
            </w:tcMar>
            <w:vAlign w:val="center"/>
          </w:tcPr>
          <w:p w14:paraId="68F7051D" w14:textId="695CAA77" w:rsidR="00410FEF" w:rsidRDefault="00410FEF" w:rsidP="00210726">
            <w:pPr>
              <w:keepNext/>
              <w:keepLines/>
              <w:suppressLineNumbers/>
              <w:spacing w:after="0" w:line="240" w:lineRule="auto"/>
              <w:rPr>
                <w:rFonts w:cstheme="minorHAnsi"/>
              </w:rPr>
            </w:pPr>
            <w:r>
              <w:rPr>
                <w:rFonts w:cstheme="minorHAnsi"/>
              </w:rPr>
              <w:t xml:space="preserve">New questions at 2.7, 2.8, 2.11, 3.2, 3.4, </w:t>
            </w:r>
            <w:r w:rsidR="00210726">
              <w:rPr>
                <w:rFonts w:cstheme="minorHAnsi"/>
              </w:rPr>
              <w:t xml:space="preserve">3.9, </w:t>
            </w:r>
            <w:r>
              <w:rPr>
                <w:rFonts w:cstheme="minorHAnsi"/>
              </w:rPr>
              <w:t>3.10, 4.2</w:t>
            </w:r>
            <w:r w:rsidR="00210726">
              <w:rPr>
                <w:rFonts w:cstheme="minorHAnsi"/>
              </w:rPr>
              <w:t xml:space="preserve"> and 4.3.</w:t>
            </w:r>
          </w:p>
        </w:tc>
      </w:tr>
      <w:tr w:rsidR="000B6568" w:rsidRPr="00EC667C" w14:paraId="3BF5E93D" w14:textId="77777777" w:rsidTr="00832632">
        <w:trPr>
          <w:cantSplit/>
        </w:trPr>
        <w:tc>
          <w:tcPr>
            <w:tcW w:w="1250" w:type="pct"/>
            <w:tcMar>
              <w:top w:w="113" w:type="dxa"/>
              <w:left w:w="113" w:type="dxa"/>
              <w:bottom w:w="113" w:type="dxa"/>
              <w:right w:w="113" w:type="dxa"/>
            </w:tcMar>
            <w:vAlign w:val="center"/>
          </w:tcPr>
          <w:p w14:paraId="29BEFB10" w14:textId="6015A617" w:rsidR="000B6568" w:rsidRDefault="000B6568" w:rsidP="00554E46">
            <w:pPr>
              <w:keepNext/>
              <w:keepLines/>
              <w:suppressLineNumbers/>
              <w:spacing w:after="0" w:line="240" w:lineRule="auto"/>
            </w:pPr>
            <w:r>
              <w:t>6 December 2018</w:t>
            </w:r>
          </w:p>
        </w:tc>
        <w:tc>
          <w:tcPr>
            <w:tcW w:w="3750" w:type="pct"/>
            <w:tcMar>
              <w:top w:w="113" w:type="dxa"/>
              <w:left w:w="113" w:type="dxa"/>
              <w:bottom w:w="113" w:type="dxa"/>
              <w:right w:w="113" w:type="dxa"/>
            </w:tcMar>
            <w:vAlign w:val="center"/>
          </w:tcPr>
          <w:p w14:paraId="1EB25F12" w14:textId="2B63CBB3" w:rsidR="000B6568" w:rsidRDefault="000B6568" w:rsidP="00210726">
            <w:pPr>
              <w:keepNext/>
              <w:keepLines/>
              <w:suppressLineNumbers/>
              <w:spacing w:after="0" w:line="240" w:lineRule="auto"/>
              <w:rPr>
                <w:rFonts w:cstheme="minorHAnsi"/>
              </w:rPr>
            </w:pPr>
            <w:r>
              <w:rPr>
                <w:rFonts w:cstheme="minorHAnsi"/>
              </w:rPr>
              <w:t xml:space="preserve">New question 3.13 and 3.14. </w:t>
            </w:r>
          </w:p>
        </w:tc>
      </w:tr>
      <w:tr w:rsidR="008A7536" w:rsidRPr="00EC667C" w14:paraId="0DD227B5" w14:textId="77777777" w:rsidTr="00832632">
        <w:trPr>
          <w:cantSplit/>
        </w:trPr>
        <w:tc>
          <w:tcPr>
            <w:tcW w:w="1250" w:type="pct"/>
            <w:tcMar>
              <w:top w:w="113" w:type="dxa"/>
              <w:left w:w="113" w:type="dxa"/>
              <w:bottom w:w="113" w:type="dxa"/>
              <w:right w:w="113" w:type="dxa"/>
            </w:tcMar>
            <w:vAlign w:val="center"/>
          </w:tcPr>
          <w:p w14:paraId="74598CEB" w14:textId="30C945D6" w:rsidR="008A7536" w:rsidRDefault="008A7536" w:rsidP="00554E46">
            <w:pPr>
              <w:keepNext/>
              <w:keepLines/>
              <w:suppressLineNumbers/>
              <w:spacing w:after="0" w:line="240" w:lineRule="auto"/>
            </w:pPr>
            <w:r>
              <w:t>10 December 2018</w:t>
            </w:r>
          </w:p>
        </w:tc>
        <w:tc>
          <w:tcPr>
            <w:tcW w:w="3750" w:type="pct"/>
            <w:tcMar>
              <w:top w:w="113" w:type="dxa"/>
              <w:left w:w="113" w:type="dxa"/>
              <w:bottom w:w="113" w:type="dxa"/>
              <w:right w:w="113" w:type="dxa"/>
            </w:tcMar>
            <w:vAlign w:val="center"/>
          </w:tcPr>
          <w:p w14:paraId="2A800F27" w14:textId="2B0989D6" w:rsidR="008A7536" w:rsidRDefault="008A7536" w:rsidP="00210726">
            <w:pPr>
              <w:keepNext/>
              <w:keepLines/>
              <w:suppressLineNumbers/>
              <w:spacing w:after="0" w:line="240" w:lineRule="auto"/>
              <w:rPr>
                <w:rFonts w:cstheme="minorHAnsi"/>
              </w:rPr>
            </w:pPr>
            <w:r>
              <w:rPr>
                <w:rFonts w:cstheme="minorHAnsi"/>
              </w:rPr>
              <w:t>New question 2.15.</w:t>
            </w:r>
          </w:p>
        </w:tc>
      </w:tr>
    </w:tbl>
    <w:p w14:paraId="784140C2" w14:textId="5D97CD12" w:rsidR="009908A5" w:rsidRPr="00AD094A" w:rsidRDefault="003C013C" w:rsidP="00A55BB0">
      <w:pPr>
        <w:pStyle w:val="Subtitle"/>
        <w:rPr>
          <w:rFonts w:eastAsia="Batang"/>
        </w:rPr>
      </w:pPr>
      <w:r>
        <w:rPr>
          <w:rFonts w:eastAsia="Batang"/>
        </w:rPr>
        <w:t>Contact d</w:t>
      </w:r>
      <w:r w:rsidR="009908A5" w:rsidRPr="00AD094A">
        <w:rPr>
          <w:rFonts w:eastAsia="Batang"/>
        </w:rPr>
        <w:t>etails</w:t>
      </w:r>
    </w:p>
    <w:p w14:paraId="7A5E5500" w14:textId="3F71CFEC" w:rsidR="009908A5" w:rsidRDefault="009908A5" w:rsidP="00867EA1">
      <w:pPr>
        <w:keepNext/>
        <w:keepLines/>
        <w:suppressLineNumbers/>
        <w:tabs>
          <w:tab w:val="left" w:pos="2694"/>
        </w:tabs>
        <w:spacing w:line="240" w:lineRule="auto"/>
      </w:pPr>
      <w:r w:rsidRPr="00BF6949">
        <w:t xml:space="preserve">The </w:t>
      </w:r>
      <w:r w:rsidRPr="000F1C01">
        <w:t>Employment Services Purchasing Hotline</w:t>
      </w:r>
      <w:r>
        <w:t xml:space="preserve"> (the Hotline) </w:t>
      </w:r>
      <w:r w:rsidRPr="00BF6949">
        <w:t xml:space="preserve">is the primary means of contact </w:t>
      </w:r>
      <w:r w:rsidR="003705DE">
        <w:t xml:space="preserve">with the Department of Jobs and Small Business </w:t>
      </w:r>
      <w:r w:rsidR="005754EB">
        <w:t xml:space="preserve">(the </w:t>
      </w:r>
      <w:r w:rsidR="00BA5339">
        <w:t>d</w:t>
      </w:r>
      <w:r w:rsidR="005754EB">
        <w:t xml:space="preserve">epartment) </w:t>
      </w:r>
      <w:r w:rsidRPr="00BF6949">
        <w:t>during the</w:t>
      </w:r>
      <w:r>
        <w:t xml:space="preserve"> </w:t>
      </w:r>
      <w:r w:rsidR="000759A3">
        <w:t xml:space="preserve">Request for </w:t>
      </w:r>
      <w:r w:rsidR="0009480D">
        <w:t>Tender</w:t>
      </w:r>
      <w:r w:rsidR="006B203A">
        <w:t xml:space="preserve"> (RFT)</w:t>
      </w:r>
      <w:r w:rsidR="0009480D">
        <w:t xml:space="preserve"> </w:t>
      </w:r>
      <w:r w:rsidR="00162426">
        <w:t xml:space="preserve">Career Transition Assistance (CTA) </w:t>
      </w:r>
      <w:r w:rsidR="00867EA1">
        <w:t>201</w:t>
      </w:r>
      <w:r w:rsidR="0009480D">
        <w:t>9</w:t>
      </w:r>
      <w:r w:rsidR="00867EA1">
        <w:t>–</w:t>
      </w:r>
      <w:r w:rsidR="000F1C01">
        <w:t>202</w:t>
      </w:r>
      <w:r w:rsidR="0009480D">
        <w:t>1</w:t>
      </w:r>
      <w:r w:rsidR="000F1C01">
        <w:t xml:space="preserve"> </w:t>
      </w:r>
      <w:r>
        <w:t>process.</w:t>
      </w:r>
    </w:p>
    <w:p w14:paraId="0FEFCAE0" w14:textId="5B79DD15" w:rsidR="009908A5" w:rsidRDefault="009908A5" w:rsidP="00867EA1">
      <w:pPr>
        <w:keepNext/>
        <w:keepLines/>
        <w:suppressLineNumbers/>
        <w:tabs>
          <w:tab w:val="left" w:pos="2694"/>
        </w:tabs>
        <w:spacing w:after="0" w:line="240" w:lineRule="auto"/>
      </w:pPr>
      <w:r w:rsidRPr="00EC667C">
        <w:t xml:space="preserve">Questions </w:t>
      </w:r>
      <w:r>
        <w:t>and</w:t>
      </w:r>
      <w:r w:rsidRPr="00EC667C">
        <w:t xml:space="preserve"> requests for clarification about </w:t>
      </w:r>
      <w:r>
        <w:t xml:space="preserve">this process </w:t>
      </w:r>
      <w:proofErr w:type="gramStart"/>
      <w:r w:rsidRPr="00EC667C">
        <w:t xml:space="preserve">can be </w:t>
      </w:r>
      <w:r>
        <w:t>provided</w:t>
      </w:r>
      <w:proofErr w:type="gramEnd"/>
      <w:r>
        <w:t xml:space="preserve"> </w:t>
      </w:r>
      <w:r w:rsidR="00641346">
        <w:t xml:space="preserve">through the Hotline </w:t>
      </w:r>
      <w:r>
        <w:t>by:</w:t>
      </w:r>
    </w:p>
    <w:p w14:paraId="7D46C02C" w14:textId="5D10ED55" w:rsidR="009908A5" w:rsidRDefault="000F1C01" w:rsidP="00867EA1">
      <w:pPr>
        <w:pStyle w:val="ListParagraph"/>
        <w:keepNext/>
        <w:keepLines/>
        <w:numPr>
          <w:ilvl w:val="0"/>
          <w:numId w:val="11"/>
        </w:numPr>
        <w:suppressLineNumbers/>
        <w:spacing w:before="60" w:after="60" w:line="240" w:lineRule="auto"/>
        <w:ind w:left="567" w:hanging="283"/>
        <w:contextualSpacing w:val="0"/>
        <w:rPr>
          <w:rFonts w:eastAsiaTheme="minorEastAsia"/>
        </w:rPr>
      </w:pPr>
      <w:r>
        <w:rPr>
          <w:rFonts w:eastAsiaTheme="minorEastAsia"/>
        </w:rPr>
        <w:t xml:space="preserve">Phone: </w:t>
      </w:r>
      <w:r w:rsidR="000759A3">
        <w:rPr>
          <w:rFonts w:eastAsiaTheme="minorEastAsia"/>
        </w:rPr>
        <w:t xml:space="preserve"> </w:t>
      </w:r>
      <w:r w:rsidR="009908A5" w:rsidRPr="009F6787">
        <w:rPr>
          <w:rFonts w:eastAsiaTheme="minorEastAsia"/>
        </w:rPr>
        <w:t>1300 733 514</w:t>
      </w:r>
      <w:r w:rsidR="000759A3">
        <w:rPr>
          <w:rFonts w:eastAsiaTheme="minorEastAsia"/>
        </w:rPr>
        <w:t xml:space="preserve">, </w:t>
      </w:r>
      <w:r w:rsidR="000759A3" w:rsidRPr="007F7A40">
        <w:rPr>
          <w:rFonts w:eastAsiaTheme="minorEastAsia"/>
        </w:rPr>
        <w:t xml:space="preserve">the </w:t>
      </w:r>
      <w:r w:rsidR="000759A3" w:rsidRPr="007F7A40">
        <w:t>Employment Services Purchasing Hotline</w:t>
      </w:r>
      <w:r>
        <w:rPr>
          <w:rFonts w:eastAsiaTheme="minorEastAsia"/>
        </w:rPr>
        <w:t xml:space="preserve"> </w:t>
      </w:r>
      <w:r w:rsidR="009908A5" w:rsidRPr="000426A4">
        <w:rPr>
          <w:rFonts w:eastAsiaTheme="minorEastAsia"/>
        </w:rPr>
        <w:t>(</w:t>
      </w:r>
      <w:r w:rsidR="009908A5" w:rsidRPr="000806B2">
        <w:rPr>
          <w:rFonts w:eastAsiaTheme="minorEastAsia"/>
        </w:rPr>
        <w:t>Monday to Friday, 9.00 am to 5.00 pm Canberra time, excluding</w:t>
      </w:r>
      <w:r w:rsidR="009908A5" w:rsidRPr="000426A4">
        <w:rPr>
          <w:rFonts w:eastAsiaTheme="minorEastAsia"/>
        </w:rPr>
        <w:t xml:space="preserve"> ACT and national public holidays)</w:t>
      </w:r>
    </w:p>
    <w:p w14:paraId="1E475F28" w14:textId="63E804A2" w:rsidR="009908A5" w:rsidRDefault="009908A5" w:rsidP="00867EA1">
      <w:pPr>
        <w:pStyle w:val="ListParagraph"/>
        <w:keepNext/>
        <w:keepLines/>
        <w:numPr>
          <w:ilvl w:val="0"/>
          <w:numId w:val="11"/>
        </w:numPr>
        <w:suppressLineNumbers/>
        <w:spacing w:before="60" w:after="60" w:line="240" w:lineRule="auto"/>
        <w:ind w:left="568" w:hanging="284"/>
        <w:contextualSpacing w:val="0"/>
        <w:rPr>
          <w:rFonts w:eastAsiaTheme="minorEastAsia"/>
        </w:rPr>
      </w:pPr>
      <w:r w:rsidRPr="009C780E">
        <w:rPr>
          <w:rFonts w:eastAsiaTheme="minorEastAsia"/>
        </w:rPr>
        <w:t>Email</w:t>
      </w:r>
      <w:r w:rsidR="000F1C01" w:rsidRPr="00461F69">
        <w:t>:</w:t>
      </w:r>
      <w:r w:rsidR="000759A3" w:rsidRPr="00461F69">
        <w:t xml:space="preserve"> </w:t>
      </w:r>
      <w:r w:rsidR="000F1C01" w:rsidRPr="00461F69">
        <w:t xml:space="preserve"> </w:t>
      </w:r>
      <w:hyperlink r:id="rId16" w:history="1">
        <w:r w:rsidRPr="00461F69">
          <w:rPr>
            <w:rStyle w:val="Hyperlink"/>
            <w:rFonts w:eastAsiaTheme="minorEastAsia"/>
          </w:rPr>
          <w:t>Employment Services Purchasing Hotline</w:t>
        </w:r>
      </w:hyperlink>
      <w:r w:rsidRPr="00461F69">
        <w:t xml:space="preserve"> </w:t>
      </w:r>
      <w:r w:rsidRPr="00461F69">
        <w:rPr>
          <w:rFonts w:eastAsiaTheme="minorEastAsia"/>
        </w:rPr>
        <w:t>(espurchasing@</w:t>
      </w:r>
      <w:r w:rsidR="002518CA">
        <w:rPr>
          <w:rFonts w:eastAsiaTheme="minorEastAsia"/>
        </w:rPr>
        <w:t>jobs</w:t>
      </w:r>
      <w:r w:rsidRPr="00461F69">
        <w:rPr>
          <w:rFonts w:eastAsiaTheme="minorEastAsia"/>
        </w:rPr>
        <w:t>.gov.au).</w:t>
      </w:r>
    </w:p>
    <w:p w14:paraId="0612F963" w14:textId="77777777" w:rsidR="000759A3" w:rsidRPr="007F7A40" w:rsidRDefault="000759A3" w:rsidP="00867EA1">
      <w:pPr>
        <w:suppressAutoHyphens/>
        <w:spacing w:before="120" w:line="240" w:lineRule="auto"/>
        <w:rPr>
          <w:b/>
        </w:rPr>
      </w:pPr>
      <w:r w:rsidRPr="007F7A40">
        <w:rPr>
          <w:b/>
        </w:rPr>
        <w:t>Requests for Information or Clarification</w:t>
      </w:r>
    </w:p>
    <w:p w14:paraId="20F5F1C8" w14:textId="3BAB0EC5" w:rsidR="000759A3" w:rsidRDefault="000759A3" w:rsidP="00867EA1">
      <w:pPr>
        <w:suppressAutoHyphens/>
        <w:spacing w:line="240" w:lineRule="auto"/>
      </w:pPr>
      <w:r w:rsidRPr="007F7A40">
        <w:t>All requests for information or clarificatio</w:t>
      </w:r>
      <w:r w:rsidRPr="00461F69">
        <w:t xml:space="preserve">n </w:t>
      </w:r>
      <w:proofErr w:type="gramStart"/>
      <w:r w:rsidRPr="00461F69">
        <w:t>must be submitted</w:t>
      </w:r>
      <w:proofErr w:type="gramEnd"/>
      <w:r w:rsidRPr="00461F69">
        <w:t xml:space="preserve"> to the Hotline before </w:t>
      </w:r>
      <w:r w:rsidR="00820F6C" w:rsidRPr="00461F69">
        <w:t>5.00 pm (Canberra </w:t>
      </w:r>
      <w:r w:rsidRPr="00461F69">
        <w:t xml:space="preserve">time) on </w:t>
      </w:r>
      <w:r w:rsidR="001B186C">
        <w:t>Wednesd</w:t>
      </w:r>
      <w:r w:rsidR="001B186C" w:rsidRPr="009F44FC">
        <w:t>ay 5 December 2018</w:t>
      </w:r>
      <w:r w:rsidR="00FA7913" w:rsidRPr="009F44FC">
        <w:t>.</w:t>
      </w:r>
      <w:r w:rsidRPr="00461F69">
        <w:t xml:space="preserve"> There</w:t>
      </w:r>
      <w:r w:rsidRPr="007F7A40">
        <w:t xml:space="preserve"> will be no obligation on the </w:t>
      </w:r>
      <w:r w:rsidR="007E67C5">
        <w:t>d</w:t>
      </w:r>
      <w:r w:rsidRPr="007F7A40">
        <w:t>epartment to answer questions received after this time.</w:t>
      </w:r>
    </w:p>
    <w:p w14:paraId="2C62600D" w14:textId="39E33C71" w:rsidR="00B55F78" w:rsidRPr="007F7A40" w:rsidRDefault="00B55F78" w:rsidP="00B55F78">
      <w:pPr>
        <w:spacing w:line="240" w:lineRule="auto"/>
      </w:pPr>
      <w:r w:rsidRPr="0016050C">
        <w:t>The Hotline cannot provide interpretation or advice to a Respondent on how to respond to the requirements set out in this RFT, or provide information that is not contained in this RFT, unless that information is publicly available.</w:t>
      </w:r>
    </w:p>
    <w:p w14:paraId="7243099B" w14:textId="73C26FF3" w:rsidR="000759A3" w:rsidRPr="000759A3" w:rsidRDefault="000759A3" w:rsidP="00867EA1">
      <w:pPr>
        <w:suppressAutoHyphens/>
        <w:spacing w:line="240" w:lineRule="auto"/>
      </w:pPr>
      <w:r w:rsidRPr="007F7A40">
        <w:t xml:space="preserve">The </w:t>
      </w:r>
      <w:r w:rsidR="007E67C5">
        <w:t>d</w:t>
      </w:r>
      <w:r w:rsidRPr="007F7A40">
        <w:t>epartment will determine what, if any, response should be given to a Respondent’s question or request for clarification and may publish re</w:t>
      </w:r>
      <w:r w:rsidRPr="00D748D0">
        <w:t xml:space="preserve">sponses on the </w:t>
      </w:r>
      <w:hyperlink r:id="rId17" w:history="1">
        <w:r w:rsidRPr="00D748D0">
          <w:rPr>
            <w:rStyle w:val="Hyperlink"/>
          </w:rPr>
          <w:t>Employment Services Purchasing Information website</w:t>
        </w:r>
      </w:hyperlink>
      <w:r w:rsidRPr="00D748D0">
        <w:t xml:space="preserve"> (www.</w:t>
      </w:r>
      <w:r w:rsidR="00D748D0" w:rsidRPr="00D748D0">
        <w:t>jobs</w:t>
      </w:r>
      <w:r w:rsidRPr="00D748D0">
        <w:t>.gov.au/purchasing).</w:t>
      </w:r>
      <w:r w:rsidRPr="007F7A40">
        <w:t>Responses will be published without disclosing the source of the questions</w:t>
      </w:r>
      <w:r w:rsidR="00B55F78">
        <w:t xml:space="preserve"> or request for clarification</w:t>
      </w:r>
      <w:r w:rsidRPr="007F7A40">
        <w:t xml:space="preserve"> or revealing any confidential information of a Respondent.</w:t>
      </w:r>
      <w:r w:rsidRPr="007F7A40">
        <w:rPr>
          <w:rFonts w:eastAsia="Batang"/>
          <w:b/>
          <w:bCs/>
          <w:color w:val="007D79"/>
          <w:sz w:val="36"/>
          <w:szCs w:val="36"/>
          <w:lang w:val="en-US"/>
        </w:rPr>
        <w:br w:type="page"/>
      </w:r>
    </w:p>
    <w:p w14:paraId="2D06D6D5" w14:textId="259CD979" w:rsidR="00CF705F" w:rsidRPr="007E1A96" w:rsidRDefault="00CF705F" w:rsidP="00867EA1">
      <w:pPr>
        <w:keepNext/>
        <w:keepLines/>
        <w:suppressLineNumbers/>
        <w:spacing w:before="240" w:line="240" w:lineRule="auto"/>
        <w:rPr>
          <w:rFonts w:eastAsia="Batang"/>
          <w:b/>
          <w:bCs/>
          <w:color w:val="007D79"/>
          <w:sz w:val="36"/>
          <w:szCs w:val="36"/>
          <w:lang w:val="en-US"/>
        </w:rPr>
      </w:pPr>
      <w:r w:rsidRPr="007E1A96">
        <w:rPr>
          <w:rFonts w:eastAsia="Batang"/>
          <w:b/>
          <w:bCs/>
          <w:color w:val="007D79"/>
          <w:sz w:val="36"/>
          <w:szCs w:val="36"/>
          <w:lang w:val="en-US"/>
        </w:rPr>
        <w:lastRenderedPageBreak/>
        <w:t>Table of Contents</w:t>
      </w:r>
      <w:bookmarkEnd w:id="0"/>
      <w:bookmarkEnd w:id="1"/>
      <w:bookmarkEnd w:id="2"/>
      <w:bookmarkEnd w:id="3"/>
    </w:p>
    <w:p w14:paraId="06C80E9F" w14:textId="28106237" w:rsidR="00BE54B1" w:rsidRDefault="00BE54B1" w:rsidP="00BE54B1">
      <w:pPr>
        <w:pStyle w:val="TOC1"/>
        <w:framePr w:wrap="around"/>
        <w:rPr>
          <w:rFonts w:eastAsiaTheme="minorEastAsia"/>
          <w:lang w:eastAsia="en-AU"/>
        </w:rPr>
      </w:pPr>
      <w:r>
        <w:fldChar w:fldCharType="begin"/>
      </w:r>
      <w:r>
        <w:instrText xml:space="preserve"> TOC \o "1-1" \h \z \u </w:instrText>
      </w:r>
      <w:r>
        <w:fldChar w:fldCharType="separate"/>
      </w:r>
      <w:hyperlink w:anchor="_Toc532209091" w:history="1">
        <w:r w:rsidRPr="00C63C11">
          <w:rPr>
            <w:rStyle w:val="Hyperlink"/>
          </w:rPr>
          <w:t>1.</w:t>
        </w:r>
        <w:r>
          <w:rPr>
            <w:rFonts w:eastAsiaTheme="minorEastAsia"/>
            <w:lang w:eastAsia="en-AU"/>
          </w:rPr>
          <w:tab/>
        </w:r>
        <w:r w:rsidRPr="00C63C11">
          <w:rPr>
            <w:rStyle w:val="Hyperlink"/>
          </w:rPr>
          <w:t>Career Transition Assistance (CTA)</w:t>
        </w:r>
        <w:r>
          <w:rPr>
            <w:webHidden/>
          </w:rPr>
          <w:tab/>
        </w:r>
        <w:r>
          <w:rPr>
            <w:webHidden/>
          </w:rPr>
          <w:fldChar w:fldCharType="begin"/>
        </w:r>
        <w:r>
          <w:rPr>
            <w:webHidden/>
          </w:rPr>
          <w:instrText xml:space="preserve"> PAGEREF _Toc532209091 \h </w:instrText>
        </w:r>
        <w:r>
          <w:rPr>
            <w:webHidden/>
          </w:rPr>
        </w:r>
        <w:r>
          <w:rPr>
            <w:webHidden/>
          </w:rPr>
          <w:fldChar w:fldCharType="separate"/>
        </w:r>
        <w:r>
          <w:rPr>
            <w:webHidden/>
          </w:rPr>
          <w:t>4</w:t>
        </w:r>
        <w:r>
          <w:rPr>
            <w:webHidden/>
          </w:rPr>
          <w:fldChar w:fldCharType="end"/>
        </w:r>
      </w:hyperlink>
    </w:p>
    <w:p w14:paraId="43E58DBA" w14:textId="66465508" w:rsidR="00BE54B1" w:rsidRDefault="00BE54B1" w:rsidP="00BE54B1">
      <w:pPr>
        <w:pStyle w:val="TOC1"/>
        <w:framePr w:wrap="around"/>
        <w:rPr>
          <w:rFonts w:eastAsiaTheme="minorEastAsia"/>
          <w:lang w:eastAsia="en-AU"/>
        </w:rPr>
      </w:pPr>
      <w:hyperlink w:anchor="_Toc532209092" w:history="1">
        <w:r w:rsidRPr="00C63C11">
          <w:rPr>
            <w:rStyle w:val="Hyperlink"/>
          </w:rPr>
          <w:t>2.</w:t>
        </w:r>
        <w:r>
          <w:rPr>
            <w:rFonts w:eastAsiaTheme="minorEastAsia"/>
            <w:lang w:eastAsia="en-AU"/>
          </w:rPr>
          <w:tab/>
        </w:r>
        <w:r w:rsidRPr="00C63C11">
          <w:rPr>
            <w:rStyle w:val="Hyperlink"/>
          </w:rPr>
          <w:t>Participant Eligibility and Referrals</w:t>
        </w:r>
        <w:r>
          <w:rPr>
            <w:webHidden/>
          </w:rPr>
          <w:tab/>
        </w:r>
        <w:r>
          <w:rPr>
            <w:webHidden/>
          </w:rPr>
          <w:fldChar w:fldCharType="begin"/>
        </w:r>
        <w:r>
          <w:rPr>
            <w:webHidden/>
          </w:rPr>
          <w:instrText xml:space="preserve"> PAGEREF _Toc532209092 \h </w:instrText>
        </w:r>
        <w:r>
          <w:rPr>
            <w:webHidden/>
          </w:rPr>
        </w:r>
        <w:r>
          <w:rPr>
            <w:webHidden/>
          </w:rPr>
          <w:fldChar w:fldCharType="separate"/>
        </w:r>
        <w:r>
          <w:rPr>
            <w:webHidden/>
          </w:rPr>
          <w:t>5</w:t>
        </w:r>
        <w:r>
          <w:rPr>
            <w:webHidden/>
          </w:rPr>
          <w:fldChar w:fldCharType="end"/>
        </w:r>
      </w:hyperlink>
    </w:p>
    <w:p w14:paraId="587AF99A" w14:textId="28326518" w:rsidR="00BE54B1" w:rsidRDefault="00BE54B1" w:rsidP="00BE54B1">
      <w:pPr>
        <w:pStyle w:val="TOC1"/>
        <w:framePr w:wrap="around"/>
        <w:rPr>
          <w:rFonts w:eastAsiaTheme="minorEastAsia"/>
          <w:lang w:eastAsia="en-AU"/>
        </w:rPr>
      </w:pPr>
      <w:hyperlink w:anchor="_Toc532209093" w:history="1">
        <w:r w:rsidRPr="00C63C11">
          <w:rPr>
            <w:rStyle w:val="Hyperlink"/>
          </w:rPr>
          <w:t>3.</w:t>
        </w:r>
        <w:r>
          <w:rPr>
            <w:rFonts w:eastAsiaTheme="minorEastAsia"/>
            <w:lang w:eastAsia="en-AU"/>
          </w:rPr>
          <w:tab/>
        </w:r>
        <w:r w:rsidRPr="00C63C11">
          <w:rPr>
            <w:rStyle w:val="Hyperlink"/>
          </w:rPr>
          <w:t>Delivery of CTA</w:t>
        </w:r>
        <w:r>
          <w:rPr>
            <w:webHidden/>
          </w:rPr>
          <w:tab/>
        </w:r>
        <w:r>
          <w:rPr>
            <w:webHidden/>
          </w:rPr>
          <w:fldChar w:fldCharType="begin"/>
        </w:r>
        <w:r>
          <w:rPr>
            <w:webHidden/>
          </w:rPr>
          <w:instrText xml:space="preserve"> PAGEREF _Toc532209093 \h </w:instrText>
        </w:r>
        <w:r>
          <w:rPr>
            <w:webHidden/>
          </w:rPr>
        </w:r>
        <w:r>
          <w:rPr>
            <w:webHidden/>
          </w:rPr>
          <w:fldChar w:fldCharType="separate"/>
        </w:r>
        <w:r>
          <w:rPr>
            <w:webHidden/>
          </w:rPr>
          <w:t>9</w:t>
        </w:r>
        <w:r>
          <w:rPr>
            <w:webHidden/>
          </w:rPr>
          <w:fldChar w:fldCharType="end"/>
        </w:r>
      </w:hyperlink>
    </w:p>
    <w:p w14:paraId="00C66B68" w14:textId="2B495425" w:rsidR="00BE54B1" w:rsidRDefault="00BE54B1" w:rsidP="00BE54B1">
      <w:pPr>
        <w:pStyle w:val="TOC1"/>
        <w:framePr w:wrap="around"/>
        <w:rPr>
          <w:rFonts w:eastAsiaTheme="minorEastAsia"/>
          <w:lang w:eastAsia="en-AU"/>
        </w:rPr>
      </w:pPr>
      <w:hyperlink w:anchor="_Toc532209094" w:history="1">
        <w:r w:rsidRPr="00C63C11">
          <w:rPr>
            <w:rStyle w:val="Hyperlink"/>
          </w:rPr>
          <w:t>4.</w:t>
        </w:r>
        <w:r>
          <w:rPr>
            <w:rFonts w:eastAsiaTheme="minorEastAsia"/>
            <w:lang w:eastAsia="en-AU"/>
          </w:rPr>
          <w:tab/>
        </w:r>
        <w:r w:rsidRPr="00C63C11">
          <w:rPr>
            <w:rStyle w:val="Hyperlink"/>
          </w:rPr>
          <w:t>CTA fees</w:t>
        </w:r>
        <w:r>
          <w:rPr>
            <w:webHidden/>
          </w:rPr>
          <w:tab/>
        </w:r>
        <w:r>
          <w:rPr>
            <w:webHidden/>
          </w:rPr>
          <w:fldChar w:fldCharType="begin"/>
        </w:r>
        <w:r>
          <w:rPr>
            <w:webHidden/>
          </w:rPr>
          <w:instrText xml:space="preserve"> PAGEREF _Toc532209094 \h </w:instrText>
        </w:r>
        <w:r>
          <w:rPr>
            <w:webHidden/>
          </w:rPr>
        </w:r>
        <w:r>
          <w:rPr>
            <w:webHidden/>
          </w:rPr>
          <w:fldChar w:fldCharType="separate"/>
        </w:r>
        <w:r>
          <w:rPr>
            <w:webHidden/>
          </w:rPr>
          <w:t>13</w:t>
        </w:r>
        <w:r>
          <w:rPr>
            <w:webHidden/>
          </w:rPr>
          <w:fldChar w:fldCharType="end"/>
        </w:r>
      </w:hyperlink>
    </w:p>
    <w:p w14:paraId="57131BD1" w14:textId="44105111" w:rsidR="00BE54B1" w:rsidRDefault="00BE54B1" w:rsidP="00BE54B1">
      <w:pPr>
        <w:pStyle w:val="TOC1"/>
        <w:framePr w:wrap="around"/>
        <w:rPr>
          <w:rFonts w:eastAsiaTheme="minorEastAsia"/>
          <w:lang w:eastAsia="en-AU"/>
        </w:rPr>
      </w:pPr>
      <w:hyperlink w:anchor="_Toc532209095" w:history="1">
        <w:r w:rsidRPr="00C63C11">
          <w:rPr>
            <w:rStyle w:val="Hyperlink"/>
          </w:rPr>
          <w:t>5.</w:t>
        </w:r>
        <w:r>
          <w:rPr>
            <w:rFonts w:eastAsiaTheme="minorEastAsia"/>
            <w:lang w:eastAsia="en-AU"/>
          </w:rPr>
          <w:tab/>
        </w:r>
        <w:r w:rsidRPr="00C63C11">
          <w:rPr>
            <w:rStyle w:val="Hyperlink"/>
          </w:rPr>
          <w:t>Eligibility to apply</w:t>
        </w:r>
        <w:r>
          <w:rPr>
            <w:webHidden/>
          </w:rPr>
          <w:tab/>
        </w:r>
        <w:r>
          <w:rPr>
            <w:webHidden/>
          </w:rPr>
          <w:fldChar w:fldCharType="begin"/>
        </w:r>
        <w:r>
          <w:rPr>
            <w:webHidden/>
          </w:rPr>
          <w:instrText xml:space="preserve"> PAGEREF _Toc532209095 \h </w:instrText>
        </w:r>
        <w:r>
          <w:rPr>
            <w:webHidden/>
          </w:rPr>
        </w:r>
        <w:r>
          <w:rPr>
            <w:webHidden/>
          </w:rPr>
          <w:fldChar w:fldCharType="separate"/>
        </w:r>
        <w:r>
          <w:rPr>
            <w:webHidden/>
          </w:rPr>
          <w:t>14</w:t>
        </w:r>
        <w:r>
          <w:rPr>
            <w:webHidden/>
          </w:rPr>
          <w:fldChar w:fldCharType="end"/>
        </w:r>
      </w:hyperlink>
    </w:p>
    <w:p w14:paraId="131F131F" w14:textId="53118AB2" w:rsidR="00BE54B1" w:rsidRDefault="00BE54B1" w:rsidP="00BE54B1">
      <w:pPr>
        <w:pStyle w:val="TOC1"/>
        <w:framePr w:wrap="around"/>
        <w:rPr>
          <w:rFonts w:eastAsiaTheme="minorEastAsia"/>
          <w:lang w:eastAsia="en-AU"/>
        </w:rPr>
      </w:pPr>
      <w:hyperlink w:anchor="_Toc532209096" w:history="1">
        <w:r w:rsidRPr="00C63C11">
          <w:rPr>
            <w:rStyle w:val="Hyperlink"/>
          </w:rPr>
          <w:t>6.</w:t>
        </w:r>
        <w:r>
          <w:rPr>
            <w:rFonts w:eastAsiaTheme="minorEastAsia"/>
            <w:lang w:eastAsia="en-AU"/>
          </w:rPr>
          <w:tab/>
        </w:r>
        <w:r w:rsidRPr="00C63C11">
          <w:rPr>
            <w:rStyle w:val="Hyperlink"/>
          </w:rPr>
          <w:t>Quality and performance</w:t>
        </w:r>
        <w:r>
          <w:rPr>
            <w:webHidden/>
          </w:rPr>
          <w:tab/>
        </w:r>
        <w:r>
          <w:rPr>
            <w:webHidden/>
          </w:rPr>
          <w:fldChar w:fldCharType="begin"/>
        </w:r>
        <w:r>
          <w:rPr>
            <w:webHidden/>
          </w:rPr>
          <w:instrText xml:space="preserve"> PAGEREF _Toc532209096 \h </w:instrText>
        </w:r>
        <w:r>
          <w:rPr>
            <w:webHidden/>
          </w:rPr>
        </w:r>
        <w:r>
          <w:rPr>
            <w:webHidden/>
          </w:rPr>
          <w:fldChar w:fldCharType="separate"/>
        </w:r>
        <w:r>
          <w:rPr>
            <w:webHidden/>
          </w:rPr>
          <w:t>15</w:t>
        </w:r>
        <w:r>
          <w:rPr>
            <w:webHidden/>
          </w:rPr>
          <w:fldChar w:fldCharType="end"/>
        </w:r>
      </w:hyperlink>
    </w:p>
    <w:p w14:paraId="2A2D444F" w14:textId="5DD22E54" w:rsidR="00BE54B1" w:rsidRDefault="00BE54B1" w:rsidP="00BE54B1">
      <w:pPr>
        <w:pStyle w:val="TOC1"/>
        <w:framePr w:wrap="around"/>
        <w:rPr>
          <w:rFonts w:eastAsiaTheme="minorEastAsia"/>
          <w:lang w:eastAsia="en-AU"/>
        </w:rPr>
      </w:pPr>
      <w:hyperlink w:anchor="_Toc532209097" w:history="1">
        <w:r w:rsidRPr="00C63C11">
          <w:rPr>
            <w:rStyle w:val="Hyperlink"/>
          </w:rPr>
          <w:t>7.</w:t>
        </w:r>
        <w:r>
          <w:rPr>
            <w:rFonts w:eastAsiaTheme="minorEastAsia"/>
            <w:lang w:eastAsia="en-AU"/>
          </w:rPr>
          <w:tab/>
        </w:r>
        <w:r w:rsidRPr="00C63C11">
          <w:rPr>
            <w:rStyle w:val="Hyperlink"/>
          </w:rPr>
          <w:t>General questions</w:t>
        </w:r>
        <w:r>
          <w:rPr>
            <w:webHidden/>
          </w:rPr>
          <w:tab/>
        </w:r>
        <w:r>
          <w:rPr>
            <w:webHidden/>
          </w:rPr>
          <w:fldChar w:fldCharType="begin"/>
        </w:r>
        <w:r>
          <w:rPr>
            <w:webHidden/>
          </w:rPr>
          <w:instrText xml:space="preserve"> PAGEREF _Toc532209097 \h </w:instrText>
        </w:r>
        <w:r>
          <w:rPr>
            <w:webHidden/>
          </w:rPr>
        </w:r>
        <w:r>
          <w:rPr>
            <w:webHidden/>
          </w:rPr>
          <w:fldChar w:fldCharType="separate"/>
        </w:r>
        <w:r>
          <w:rPr>
            <w:webHidden/>
          </w:rPr>
          <w:t>16</w:t>
        </w:r>
        <w:r>
          <w:rPr>
            <w:webHidden/>
          </w:rPr>
          <w:fldChar w:fldCharType="end"/>
        </w:r>
      </w:hyperlink>
    </w:p>
    <w:p w14:paraId="25A25F72" w14:textId="43EFDFC0" w:rsidR="00BE54B1" w:rsidRDefault="00BE54B1" w:rsidP="00BE54B1">
      <w:pPr>
        <w:pStyle w:val="TOC1"/>
        <w:framePr w:wrap="around"/>
        <w:rPr>
          <w:rFonts w:eastAsiaTheme="minorEastAsia"/>
          <w:lang w:eastAsia="en-AU"/>
        </w:rPr>
      </w:pPr>
      <w:hyperlink w:anchor="_Toc532209098" w:history="1">
        <w:r w:rsidRPr="00C63C11">
          <w:rPr>
            <w:rStyle w:val="Hyperlink"/>
          </w:rPr>
          <w:t>8.</w:t>
        </w:r>
        <w:r>
          <w:rPr>
            <w:rFonts w:eastAsiaTheme="minorEastAsia"/>
            <w:lang w:eastAsia="en-AU"/>
          </w:rPr>
          <w:tab/>
        </w:r>
        <w:r w:rsidRPr="00C63C11">
          <w:rPr>
            <w:rStyle w:val="Hyperlink"/>
          </w:rPr>
          <w:t>Responding</w:t>
        </w:r>
        <w:r>
          <w:rPr>
            <w:webHidden/>
          </w:rPr>
          <w:tab/>
        </w:r>
        <w:r>
          <w:rPr>
            <w:webHidden/>
          </w:rPr>
          <w:fldChar w:fldCharType="begin"/>
        </w:r>
        <w:r>
          <w:rPr>
            <w:webHidden/>
          </w:rPr>
          <w:instrText xml:space="preserve"> PAGEREF _Toc532209098 \h </w:instrText>
        </w:r>
        <w:r>
          <w:rPr>
            <w:webHidden/>
          </w:rPr>
        </w:r>
        <w:r>
          <w:rPr>
            <w:webHidden/>
          </w:rPr>
          <w:fldChar w:fldCharType="separate"/>
        </w:r>
        <w:r>
          <w:rPr>
            <w:webHidden/>
          </w:rPr>
          <w:t>17</w:t>
        </w:r>
        <w:r>
          <w:rPr>
            <w:webHidden/>
          </w:rPr>
          <w:fldChar w:fldCharType="end"/>
        </w:r>
      </w:hyperlink>
    </w:p>
    <w:p w14:paraId="39C0ECA7" w14:textId="23F1EF70" w:rsidR="00D960FC" w:rsidRDefault="00BE54B1" w:rsidP="00867EA1">
      <w:pPr>
        <w:keepNext/>
        <w:keepLines/>
        <w:suppressLineNumbers/>
        <w:spacing w:line="240" w:lineRule="auto"/>
        <w:rPr>
          <w:noProof/>
        </w:rPr>
      </w:pPr>
      <w:r>
        <w:rPr>
          <w:noProof/>
        </w:rPr>
        <w:fldChar w:fldCharType="end"/>
      </w:r>
    </w:p>
    <w:p w14:paraId="1DCD24AB" w14:textId="77777777" w:rsidR="008A58DE" w:rsidRDefault="008A58DE" w:rsidP="00867EA1">
      <w:pPr>
        <w:keepNext/>
        <w:keepLines/>
        <w:suppressLineNumbers/>
        <w:spacing w:line="240" w:lineRule="auto"/>
        <w:rPr>
          <w:noProof/>
        </w:rPr>
        <w:sectPr w:rsidR="008A58DE" w:rsidSect="007F1AC2">
          <w:pgSz w:w="11906" w:h="16838"/>
          <w:pgMar w:top="1276" w:right="991" w:bottom="1276" w:left="1418" w:header="708" w:footer="588" w:gutter="0"/>
          <w:cols w:space="708"/>
          <w:docGrid w:linePitch="360"/>
        </w:sectPr>
      </w:pPr>
    </w:p>
    <w:p w14:paraId="45337EEA" w14:textId="3826FC9E" w:rsidR="006A3849" w:rsidRPr="00A9728B" w:rsidRDefault="006A3849" w:rsidP="00867EA1">
      <w:pPr>
        <w:spacing w:after="0" w:line="240" w:lineRule="auto"/>
        <w:rPr>
          <w:rFonts w:eastAsiaTheme="majorEastAsia" w:cstheme="majorBidi"/>
          <w:b/>
          <w:bCs/>
          <w:szCs w:val="44"/>
        </w:rPr>
      </w:pPr>
      <w:bookmarkStart w:id="4" w:name="_Toc427908772"/>
      <w:bookmarkStart w:id="5" w:name="_Toc427909005"/>
      <w:bookmarkStart w:id="6" w:name="_Toc427909230"/>
      <w:bookmarkStart w:id="7" w:name="_Toc427908783"/>
      <w:bookmarkStart w:id="8" w:name="_Toc427909016"/>
      <w:bookmarkStart w:id="9" w:name="_Toc427909241"/>
      <w:bookmarkStart w:id="10" w:name="_Toc427908784"/>
      <w:bookmarkStart w:id="11" w:name="_Toc427909017"/>
      <w:bookmarkStart w:id="12" w:name="_Toc427909242"/>
      <w:bookmarkStart w:id="13" w:name="_Toc489441990"/>
      <w:bookmarkStart w:id="14" w:name="_Toc489867344"/>
      <w:bookmarkStart w:id="15" w:name="_Toc489867407"/>
      <w:bookmarkStart w:id="16" w:name="_Toc489867433"/>
      <w:bookmarkStart w:id="17" w:name="_Toc489867453"/>
      <w:bookmarkStart w:id="18" w:name="_Toc463418889"/>
      <w:bookmarkEnd w:id="4"/>
      <w:bookmarkEnd w:id="5"/>
      <w:bookmarkEnd w:id="6"/>
      <w:bookmarkEnd w:id="7"/>
      <w:bookmarkEnd w:id="8"/>
      <w:bookmarkEnd w:id="9"/>
      <w:bookmarkEnd w:id="10"/>
      <w:bookmarkEnd w:id="11"/>
      <w:bookmarkEnd w:id="12"/>
    </w:p>
    <w:p w14:paraId="42D4D781" w14:textId="5F2C97AF" w:rsidR="006A3849" w:rsidRPr="000F1C01" w:rsidRDefault="00162426" w:rsidP="002C63AC">
      <w:pPr>
        <w:pStyle w:val="Heading1"/>
        <w:spacing w:before="240"/>
        <w:jc w:val="both"/>
      </w:pPr>
      <w:bookmarkStart w:id="19" w:name="_Toc495050823"/>
      <w:bookmarkStart w:id="20" w:name="_Toc532209091"/>
      <w:r w:rsidRPr="000F1C01">
        <w:lastRenderedPageBreak/>
        <w:t>Career Transition Assistance</w:t>
      </w:r>
      <w:r w:rsidR="006A3849" w:rsidRPr="000F1C01">
        <w:t xml:space="preserve"> </w:t>
      </w:r>
      <w:r w:rsidR="00C617C5">
        <w:t>(CTA)</w:t>
      </w:r>
      <w:bookmarkEnd w:id="19"/>
      <w:bookmarkEnd w:id="20"/>
    </w:p>
    <w:p w14:paraId="78FF8258" w14:textId="61328152" w:rsidR="00A93D1E" w:rsidRPr="00B002D7" w:rsidRDefault="00A93D1E" w:rsidP="002C63AC">
      <w:pPr>
        <w:pStyle w:val="Heading2"/>
        <w:keepNext/>
        <w:keepLines/>
        <w:spacing w:before="240" w:after="240"/>
        <w:ind w:left="567" w:hanging="567"/>
        <w:jc w:val="both"/>
      </w:pPr>
      <w:r w:rsidRPr="00B002D7">
        <w:t xml:space="preserve">Will </w:t>
      </w:r>
      <w:r w:rsidR="00D16954" w:rsidRPr="00B002D7">
        <w:t>CTA</w:t>
      </w:r>
      <w:r w:rsidRPr="00B002D7">
        <w:t xml:space="preserve"> operate </w:t>
      </w:r>
      <w:r w:rsidR="005754EB" w:rsidRPr="00B002D7">
        <w:t>as part of the Australian Government’s current employment services</w:t>
      </w:r>
      <w:r w:rsidRPr="00B002D7">
        <w:t>?</w:t>
      </w:r>
    </w:p>
    <w:p w14:paraId="2ED7C9BB" w14:textId="59A70F96" w:rsidR="001131DA" w:rsidRDefault="008A2408" w:rsidP="002C63AC">
      <w:pPr>
        <w:keepNext/>
        <w:keepLines/>
        <w:spacing w:before="240" w:after="240"/>
        <w:jc w:val="both"/>
        <w:rPr>
          <w:lang w:eastAsia="en-AU"/>
        </w:rPr>
      </w:pPr>
      <w:r>
        <w:rPr>
          <w:lang w:eastAsia="en-AU"/>
        </w:rPr>
        <w:t>No, it will operate separately.</w:t>
      </w:r>
    </w:p>
    <w:p w14:paraId="3DCA48CC" w14:textId="67ACE795" w:rsidR="0012140E" w:rsidRDefault="004C6E0D" w:rsidP="002C63AC">
      <w:pPr>
        <w:keepNext/>
        <w:keepLines/>
        <w:spacing w:before="240" w:after="240"/>
        <w:jc w:val="both"/>
      </w:pPr>
      <w:r w:rsidRPr="00B002D7">
        <w:rPr>
          <w:lang w:eastAsia="en-AU"/>
        </w:rPr>
        <w:t xml:space="preserve">Although </w:t>
      </w:r>
      <w:r w:rsidR="006B203A">
        <w:rPr>
          <w:lang w:eastAsia="en-AU"/>
        </w:rPr>
        <w:t>R</w:t>
      </w:r>
      <w:r w:rsidR="005754EB" w:rsidRPr="00B002D7">
        <w:rPr>
          <w:lang w:eastAsia="en-AU"/>
        </w:rPr>
        <w:t xml:space="preserve">eferrals to CTA </w:t>
      </w:r>
      <w:proofErr w:type="gramStart"/>
      <w:r w:rsidR="005754EB" w:rsidRPr="00B002D7">
        <w:rPr>
          <w:lang w:eastAsia="en-AU"/>
        </w:rPr>
        <w:t>will be facilitated</w:t>
      </w:r>
      <w:proofErr w:type="gramEnd"/>
      <w:r w:rsidR="005754EB" w:rsidRPr="00B002D7">
        <w:rPr>
          <w:lang w:eastAsia="en-AU"/>
        </w:rPr>
        <w:t xml:space="preserve"> through </w:t>
      </w:r>
      <w:r w:rsidR="006B2E40">
        <w:rPr>
          <w:lang w:eastAsia="en-AU"/>
        </w:rPr>
        <w:t xml:space="preserve">jobactive </w:t>
      </w:r>
      <w:r w:rsidR="0093336C">
        <w:rPr>
          <w:lang w:eastAsia="en-AU"/>
        </w:rPr>
        <w:t>p</w:t>
      </w:r>
      <w:r w:rsidR="005754EB" w:rsidRPr="00B002D7">
        <w:rPr>
          <w:lang w:eastAsia="en-AU"/>
        </w:rPr>
        <w:t xml:space="preserve">roviders, CTA is a distinct </w:t>
      </w:r>
      <w:r w:rsidR="001270EC">
        <w:rPr>
          <w:lang w:eastAsia="en-AU"/>
        </w:rPr>
        <w:t xml:space="preserve">and complementary </w:t>
      </w:r>
      <w:r w:rsidR="005754EB" w:rsidRPr="00B002D7">
        <w:rPr>
          <w:lang w:eastAsia="en-AU"/>
        </w:rPr>
        <w:t xml:space="preserve">program </w:t>
      </w:r>
      <w:r w:rsidR="001270EC">
        <w:rPr>
          <w:lang w:eastAsia="en-AU"/>
        </w:rPr>
        <w:t>to jobactive</w:t>
      </w:r>
      <w:r w:rsidR="005754EB" w:rsidRPr="00B002D7">
        <w:rPr>
          <w:lang w:eastAsia="en-AU"/>
        </w:rPr>
        <w:t>. It will operate separately from jobactive or other Australian Government employment services.</w:t>
      </w:r>
    </w:p>
    <w:p w14:paraId="0D9E849C" w14:textId="6D7B9683" w:rsidR="00D16954" w:rsidRPr="00B002D7" w:rsidRDefault="00D16954" w:rsidP="002C63AC">
      <w:pPr>
        <w:tabs>
          <w:tab w:val="left" w:pos="2410"/>
          <w:tab w:val="left" w:pos="2552"/>
        </w:tabs>
        <w:spacing w:before="240" w:after="240"/>
        <w:jc w:val="both"/>
        <w:rPr>
          <w:i/>
        </w:rPr>
      </w:pPr>
      <w:r w:rsidRPr="00B002D7">
        <w:rPr>
          <w:i/>
        </w:rPr>
        <w:t xml:space="preserve">Reference: </w:t>
      </w:r>
      <w:r w:rsidR="00A45149">
        <w:rPr>
          <w:i/>
        </w:rPr>
        <w:t>RFT</w:t>
      </w:r>
      <w:r w:rsidRPr="00B002D7">
        <w:rPr>
          <w:i/>
        </w:rPr>
        <w:t xml:space="preserve"> Section</w:t>
      </w:r>
      <w:r w:rsidR="00B6792B">
        <w:rPr>
          <w:i/>
        </w:rPr>
        <w:t>s</w:t>
      </w:r>
      <w:r w:rsidRPr="00B002D7">
        <w:rPr>
          <w:i/>
        </w:rPr>
        <w:t xml:space="preserve"> 2.5—Coverage</w:t>
      </w:r>
      <w:r w:rsidR="00B55F78">
        <w:rPr>
          <w:i/>
        </w:rPr>
        <w:t xml:space="preserve"> and 2.4.1.1</w:t>
      </w:r>
      <w:r w:rsidR="00B6792B" w:rsidRPr="00B002D7">
        <w:rPr>
          <w:i/>
        </w:rPr>
        <w:t>—</w:t>
      </w:r>
      <w:r w:rsidR="00B55F78">
        <w:rPr>
          <w:i/>
        </w:rPr>
        <w:t>Referral Process from jobactive</w:t>
      </w:r>
    </w:p>
    <w:p w14:paraId="7C5BE65A" w14:textId="18660640" w:rsidR="006A3849" w:rsidRPr="00B002D7" w:rsidRDefault="005754EB" w:rsidP="002C63AC">
      <w:pPr>
        <w:pStyle w:val="Heading2"/>
        <w:spacing w:before="240" w:after="240"/>
        <w:ind w:left="567" w:hanging="567"/>
        <w:jc w:val="both"/>
      </w:pPr>
      <w:r w:rsidRPr="00B002D7">
        <w:t xml:space="preserve">Will CTA </w:t>
      </w:r>
      <w:r w:rsidR="005721C6">
        <w:t>P</w:t>
      </w:r>
      <w:r w:rsidRPr="00B002D7">
        <w:t>roviders need to be familiar with Australian Government employment services</w:t>
      </w:r>
      <w:r w:rsidR="008A2408">
        <w:t>?</w:t>
      </w:r>
    </w:p>
    <w:p w14:paraId="3B2936A5" w14:textId="747C0B53" w:rsidR="001131DA" w:rsidRDefault="008A2408" w:rsidP="002C63AC">
      <w:pPr>
        <w:spacing w:before="240" w:after="240"/>
        <w:jc w:val="both"/>
        <w:rPr>
          <w:rFonts w:ascii="Calibri" w:hAnsi="Calibri" w:cs="Calibri"/>
          <w:color w:val="000000"/>
        </w:rPr>
      </w:pPr>
      <w:r>
        <w:rPr>
          <w:rFonts w:ascii="Calibri" w:hAnsi="Calibri" w:cs="Calibri"/>
          <w:color w:val="000000"/>
        </w:rPr>
        <w:t>Yes.</w:t>
      </w:r>
    </w:p>
    <w:p w14:paraId="79C9E538" w14:textId="613F6108" w:rsidR="007C6164" w:rsidRDefault="005754EB" w:rsidP="002C63AC">
      <w:pPr>
        <w:spacing w:before="240" w:after="240"/>
        <w:jc w:val="both"/>
        <w:rPr>
          <w:rFonts w:ascii="Calibri" w:hAnsi="Calibri" w:cs="Calibri"/>
          <w:color w:val="000000"/>
        </w:rPr>
      </w:pPr>
      <w:r>
        <w:t xml:space="preserve">CTA </w:t>
      </w:r>
      <w:r w:rsidR="005721C6">
        <w:rPr>
          <w:rFonts w:ascii="Calibri" w:hAnsi="Calibri" w:cs="Calibri"/>
          <w:color w:val="000000"/>
        </w:rPr>
        <w:t>P</w:t>
      </w:r>
      <w:r>
        <w:rPr>
          <w:rFonts w:ascii="Calibri" w:hAnsi="Calibri" w:cs="Calibri"/>
          <w:color w:val="000000"/>
        </w:rPr>
        <w:t xml:space="preserve">roviders </w:t>
      </w:r>
      <w:proofErr w:type="gramStart"/>
      <w:r>
        <w:rPr>
          <w:rFonts w:ascii="Calibri" w:hAnsi="Calibri" w:cs="Calibri"/>
          <w:color w:val="000000"/>
        </w:rPr>
        <w:t xml:space="preserve">will be </w:t>
      </w:r>
      <w:r>
        <w:t>expected</w:t>
      </w:r>
      <w:proofErr w:type="gramEnd"/>
      <w:r>
        <w:t xml:space="preserve"> to </w:t>
      </w:r>
      <w:r>
        <w:rPr>
          <w:rFonts w:ascii="Calibri" w:hAnsi="Calibri" w:cs="Calibri"/>
          <w:color w:val="000000"/>
        </w:rPr>
        <w:t xml:space="preserve">be familiar with different employment services programs available in their region. CTA </w:t>
      </w:r>
      <w:r w:rsidR="005721C6">
        <w:rPr>
          <w:rFonts w:ascii="Calibri" w:hAnsi="Calibri" w:cs="Calibri"/>
          <w:color w:val="000000"/>
        </w:rPr>
        <w:t>P</w:t>
      </w:r>
      <w:r>
        <w:rPr>
          <w:rFonts w:ascii="Calibri" w:hAnsi="Calibri" w:cs="Calibri"/>
          <w:color w:val="000000"/>
        </w:rPr>
        <w:t xml:space="preserve">roviders will be required to work closely with </w:t>
      </w:r>
      <w:r w:rsidR="002A063F">
        <w:rPr>
          <w:rFonts w:ascii="Calibri" w:hAnsi="Calibri" w:cs="Calibri"/>
          <w:color w:val="000000"/>
        </w:rPr>
        <w:t xml:space="preserve">jobactive </w:t>
      </w:r>
      <w:r w:rsidR="001131DA">
        <w:rPr>
          <w:rFonts w:ascii="Calibri" w:hAnsi="Calibri" w:cs="Calibri"/>
          <w:color w:val="000000"/>
        </w:rPr>
        <w:t>p</w:t>
      </w:r>
      <w:r w:rsidR="002A063F">
        <w:rPr>
          <w:rFonts w:ascii="Calibri" w:hAnsi="Calibri" w:cs="Calibri"/>
          <w:color w:val="000000"/>
        </w:rPr>
        <w:t>roviders</w:t>
      </w:r>
      <w:r w:rsidR="004D7F26">
        <w:rPr>
          <w:rFonts w:ascii="Calibri" w:hAnsi="Calibri" w:cs="Calibri"/>
          <w:color w:val="000000"/>
        </w:rPr>
        <w:t xml:space="preserve"> (and other local employment services)</w:t>
      </w:r>
      <w:r>
        <w:rPr>
          <w:rFonts w:ascii="Calibri" w:hAnsi="Calibri" w:cs="Calibri"/>
          <w:color w:val="000000"/>
        </w:rPr>
        <w:t xml:space="preserve">, to </w:t>
      </w:r>
      <w:r w:rsidR="007C6164">
        <w:rPr>
          <w:rFonts w:ascii="Calibri" w:hAnsi="Calibri" w:cs="Calibri"/>
          <w:color w:val="000000"/>
        </w:rPr>
        <w:t xml:space="preserve">actively encourage and </w:t>
      </w:r>
      <w:r>
        <w:rPr>
          <w:rFonts w:ascii="Calibri" w:hAnsi="Calibri" w:cs="Calibri"/>
          <w:color w:val="000000"/>
        </w:rPr>
        <w:t xml:space="preserve">facilitate </w:t>
      </w:r>
      <w:r w:rsidR="006B203A">
        <w:rPr>
          <w:rFonts w:ascii="Calibri" w:hAnsi="Calibri" w:cs="Calibri"/>
          <w:color w:val="000000"/>
        </w:rPr>
        <w:t>R</w:t>
      </w:r>
      <w:r>
        <w:rPr>
          <w:rFonts w:ascii="Calibri" w:hAnsi="Calibri" w:cs="Calibri"/>
          <w:color w:val="000000"/>
        </w:rPr>
        <w:t xml:space="preserve">eferrals </w:t>
      </w:r>
      <w:r w:rsidR="007C6164">
        <w:rPr>
          <w:rFonts w:ascii="Calibri" w:hAnsi="Calibri" w:cs="Calibri"/>
          <w:color w:val="000000"/>
        </w:rPr>
        <w:t>to the program.</w:t>
      </w:r>
      <w:bookmarkStart w:id="21" w:name="_Toc495050829"/>
    </w:p>
    <w:p w14:paraId="62C22DDC" w14:textId="70B491AC" w:rsidR="004D7F26" w:rsidRPr="004D7F26" w:rsidRDefault="004D7F26" w:rsidP="002C63AC">
      <w:pPr>
        <w:tabs>
          <w:tab w:val="left" w:pos="2410"/>
          <w:tab w:val="left" w:pos="2552"/>
        </w:tabs>
        <w:spacing w:before="240" w:after="240"/>
        <w:jc w:val="both"/>
        <w:rPr>
          <w:i/>
        </w:rPr>
      </w:pPr>
      <w:r w:rsidRPr="00B002D7">
        <w:rPr>
          <w:i/>
        </w:rPr>
        <w:t xml:space="preserve">Reference: </w:t>
      </w:r>
      <w:r>
        <w:rPr>
          <w:i/>
        </w:rPr>
        <w:t>RFT</w:t>
      </w:r>
      <w:r w:rsidRPr="00B002D7">
        <w:rPr>
          <w:i/>
        </w:rPr>
        <w:t xml:space="preserve"> Section </w:t>
      </w:r>
      <w:r>
        <w:rPr>
          <w:i/>
        </w:rPr>
        <w:t>2.3.2.2</w:t>
      </w:r>
      <w:r w:rsidR="00B6792B" w:rsidRPr="00B002D7">
        <w:rPr>
          <w:i/>
        </w:rPr>
        <w:t>—</w:t>
      </w:r>
      <w:r w:rsidR="008A2408">
        <w:rPr>
          <w:i/>
        </w:rPr>
        <w:t>General Delivery Requirements</w:t>
      </w:r>
    </w:p>
    <w:p w14:paraId="23B0117A" w14:textId="2DE5FB15" w:rsidR="00B845B8" w:rsidRPr="00B002D7" w:rsidRDefault="00B845B8" w:rsidP="002C63AC">
      <w:pPr>
        <w:pStyle w:val="Heading2"/>
        <w:spacing w:before="240" w:after="240"/>
        <w:ind w:left="567" w:hanging="567"/>
        <w:jc w:val="both"/>
      </w:pPr>
      <w:r w:rsidRPr="00B845B8">
        <w:t xml:space="preserve">How can a Respondent identify current </w:t>
      </w:r>
      <w:r w:rsidR="006B2E40">
        <w:t xml:space="preserve">jobactive </w:t>
      </w:r>
      <w:r w:rsidR="001131DA">
        <w:t>p</w:t>
      </w:r>
      <w:r>
        <w:t>roviders in the</w:t>
      </w:r>
      <w:r w:rsidR="008119FC">
        <w:t xml:space="preserve"> </w:t>
      </w:r>
      <w:r w:rsidR="0012140E">
        <w:t xml:space="preserve">Employment </w:t>
      </w:r>
      <w:r>
        <w:t>Regions</w:t>
      </w:r>
      <w:r w:rsidR="008A2408">
        <w:t>?</w:t>
      </w:r>
    </w:p>
    <w:p w14:paraId="26EE3FB7" w14:textId="752FA7BC" w:rsidR="0006497B" w:rsidRPr="00C01972" w:rsidRDefault="00B845B8" w:rsidP="002C63AC">
      <w:pPr>
        <w:spacing w:before="240" w:after="240"/>
        <w:jc w:val="both"/>
        <w:rPr>
          <w:rFonts w:ascii="Calibri" w:hAnsi="Calibri" w:cs="Calibri"/>
        </w:rPr>
      </w:pPr>
      <w:r w:rsidRPr="00B845B8">
        <w:rPr>
          <w:rFonts w:ascii="Calibri" w:hAnsi="Calibri" w:cs="Calibri"/>
          <w:color w:val="000000"/>
        </w:rPr>
        <w:t xml:space="preserve">Information on current </w:t>
      </w:r>
      <w:r w:rsidR="006B2E40">
        <w:rPr>
          <w:rFonts w:ascii="Calibri" w:hAnsi="Calibri" w:cs="Calibri"/>
          <w:color w:val="000000"/>
        </w:rPr>
        <w:t xml:space="preserve">jobactive </w:t>
      </w:r>
      <w:r w:rsidR="001131DA">
        <w:rPr>
          <w:rFonts w:ascii="Calibri" w:hAnsi="Calibri" w:cs="Calibri"/>
          <w:color w:val="000000"/>
        </w:rPr>
        <w:t>p</w:t>
      </w:r>
      <w:r w:rsidR="006B2E40">
        <w:rPr>
          <w:rFonts w:ascii="Calibri" w:hAnsi="Calibri" w:cs="Calibri"/>
          <w:color w:val="000000"/>
        </w:rPr>
        <w:t>rovider</w:t>
      </w:r>
      <w:r w:rsidRPr="00B845B8">
        <w:rPr>
          <w:rFonts w:ascii="Calibri" w:hAnsi="Calibri" w:cs="Calibri"/>
          <w:color w:val="000000"/>
        </w:rPr>
        <w:t>s</w:t>
      </w:r>
      <w:r>
        <w:rPr>
          <w:rFonts w:ascii="Calibri" w:hAnsi="Calibri" w:cs="Calibri"/>
          <w:color w:val="000000"/>
        </w:rPr>
        <w:t xml:space="preserve"> is available on the </w:t>
      </w:r>
      <w:r w:rsidR="0093336C" w:rsidRPr="0093336C">
        <w:rPr>
          <w:color w:val="000000"/>
        </w:rPr>
        <w:t xml:space="preserve">department’s </w:t>
      </w:r>
      <w:hyperlink r:id="rId18" w:history="1">
        <w:proofErr w:type="spellStart"/>
        <w:r w:rsidR="0093336C" w:rsidRPr="0093336C">
          <w:rPr>
            <w:rStyle w:val="Hyperlink"/>
          </w:rPr>
          <w:t>jobsearch</w:t>
        </w:r>
        <w:proofErr w:type="spellEnd"/>
        <w:r w:rsidR="0093336C" w:rsidRPr="0093336C">
          <w:rPr>
            <w:rStyle w:val="Hyperlink"/>
          </w:rPr>
          <w:t xml:space="preserve"> website</w:t>
        </w:r>
      </w:hyperlink>
      <w:r w:rsidRPr="00B845B8">
        <w:rPr>
          <w:rFonts w:ascii="Calibri" w:hAnsi="Calibri" w:cs="Calibri"/>
          <w:color w:val="000000"/>
        </w:rPr>
        <w:t xml:space="preserve"> (jobsearch.gov.au).</w:t>
      </w:r>
    </w:p>
    <w:p w14:paraId="3AA40268" w14:textId="5850FB6F" w:rsidR="00EF0509" w:rsidRDefault="0006497B" w:rsidP="008A7536">
      <w:pPr>
        <w:pStyle w:val="Heading1"/>
        <w:spacing w:before="240"/>
        <w:jc w:val="both"/>
      </w:pPr>
      <w:bookmarkStart w:id="22" w:name="_Toc532209092"/>
      <w:r>
        <w:lastRenderedPageBreak/>
        <w:t>P</w:t>
      </w:r>
      <w:r w:rsidR="00EF0509" w:rsidRPr="007B4A0D">
        <w:t>articipant Eligibility and Referral</w:t>
      </w:r>
      <w:r w:rsidR="00EF0509">
        <w:t>s</w:t>
      </w:r>
      <w:bookmarkEnd w:id="22"/>
    </w:p>
    <w:p w14:paraId="40FD2B1E" w14:textId="2DB743BD" w:rsidR="00EF0509" w:rsidRPr="00B002D7" w:rsidRDefault="00EF0509" w:rsidP="002C63AC">
      <w:pPr>
        <w:pStyle w:val="Heading2"/>
        <w:spacing w:before="100" w:beforeAutospacing="1" w:after="100" w:afterAutospacing="1"/>
        <w:ind w:left="567" w:hanging="567"/>
        <w:jc w:val="both"/>
      </w:pPr>
      <w:r w:rsidRPr="006A3849">
        <w:t>Who is</w:t>
      </w:r>
      <w:r>
        <w:t xml:space="preserve"> eligible to participate in CTA</w:t>
      </w:r>
      <w:r w:rsidRPr="00B002D7">
        <w:t>?</w:t>
      </w:r>
    </w:p>
    <w:p w14:paraId="226C8CD6" w14:textId="79110981" w:rsidR="009D6075" w:rsidRDefault="009D6075" w:rsidP="002C63AC">
      <w:pPr>
        <w:spacing w:before="100" w:beforeAutospacing="1" w:after="100" w:afterAutospacing="1"/>
        <w:jc w:val="both"/>
      </w:pPr>
      <w:r w:rsidRPr="00B002D7">
        <w:t xml:space="preserve">CTA </w:t>
      </w:r>
      <w:r w:rsidR="004D7F26">
        <w:t>will be</w:t>
      </w:r>
      <w:r w:rsidR="004D7F26" w:rsidRPr="00B002D7">
        <w:t xml:space="preserve"> </w:t>
      </w:r>
      <w:r w:rsidRPr="00B002D7">
        <w:t xml:space="preserve">open to all job seekers aged </w:t>
      </w:r>
      <w:r w:rsidR="00614195">
        <w:t>45</w:t>
      </w:r>
      <w:r w:rsidRPr="00B002D7">
        <w:t xml:space="preserve"> years and over who </w:t>
      </w:r>
      <w:proofErr w:type="gramStart"/>
      <w:r w:rsidRPr="00B002D7">
        <w:t>are registered</w:t>
      </w:r>
      <w:proofErr w:type="gramEnd"/>
      <w:r w:rsidRPr="00B002D7">
        <w:t xml:space="preserve"> with a</w:t>
      </w:r>
      <w:r w:rsidR="007C6164">
        <w:t xml:space="preserve"> </w:t>
      </w:r>
      <w:r w:rsidR="008B3EE5">
        <w:t xml:space="preserve">jobactive </w:t>
      </w:r>
      <w:r w:rsidR="00337088">
        <w:t>p</w:t>
      </w:r>
      <w:r w:rsidR="008B3EE5">
        <w:t>rovider</w:t>
      </w:r>
      <w:r w:rsidR="00614195">
        <w:t>.</w:t>
      </w:r>
      <w:r w:rsidRPr="00B002D7">
        <w:t xml:space="preserve"> This includes job seekers in all </w:t>
      </w:r>
      <w:r w:rsidR="004D7F26">
        <w:t xml:space="preserve">jobactive </w:t>
      </w:r>
      <w:r w:rsidR="00337088">
        <w:t>s</w:t>
      </w:r>
      <w:r w:rsidRPr="00B002D7">
        <w:t xml:space="preserve">treams </w:t>
      </w:r>
      <w:r w:rsidR="004D7F26">
        <w:t>including job</w:t>
      </w:r>
      <w:r w:rsidR="001F0715">
        <w:t xml:space="preserve"> </w:t>
      </w:r>
      <w:r w:rsidR="004D7F26">
        <w:t>seekers</w:t>
      </w:r>
      <w:r w:rsidRPr="00B002D7">
        <w:t xml:space="preserve"> not in receipt of an Income Support Payment.</w:t>
      </w:r>
    </w:p>
    <w:p w14:paraId="5959B019" w14:textId="4F946E4E" w:rsidR="00867EA1" w:rsidRPr="00B002D7" w:rsidRDefault="0012140E" w:rsidP="002C63AC">
      <w:pPr>
        <w:spacing w:before="100" w:beforeAutospacing="1" w:after="100" w:afterAutospacing="1"/>
        <w:jc w:val="both"/>
        <w:rPr>
          <w:i/>
        </w:rPr>
      </w:pPr>
      <w:r>
        <w:rPr>
          <w:i/>
        </w:rPr>
        <w:t>R</w:t>
      </w:r>
      <w:r w:rsidR="00EF0509" w:rsidRPr="00B002D7">
        <w:rPr>
          <w:i/>
        </w:rPr>
        <w:t xml:space="preserve">eference: </w:t>
      </w:r>
      <w:r w:rsidR="00A45149">
        <w:rPr>
          <w:i/>
        </w:rPr>
        <w:t>RFT</w:t>
      </w:r>
      <w:r w:rsidR="00EF0509" w:rsidRPr="00B002D7">
        <w:rPr>
          <w:i/>
        </w:rPr>
        <w:t xml:space="preserve"> Section 2.4—</w:t>
      </w:r>
      <w:r w:rsidR="005F0F0E" w:rsidRPr="00B002D7">
        <w:rPr>
          <w:i/>
        </w:rPr>
        <w:t>Participant</w:t>
      </w:r>
      <w:r w:rsidR="00EF0509" w:rsidRPr="00B002D7">
        <w:rPr>
          <w:i/>
        </w:rPr>
        <w:t xml:space="preserve"> Eligibility and Characteristics</w:t>
      </w:r>
    </w:p>
    <w:p w14:paraId="54CB63E5" w14:textId="0822C7B7" w:rsidR="009D6075" w:rsidRPr="00B002D7" w:rsidRDefault="009D6075" w:rsidP="002C63AC">
      <w:pPr>
        <w:pStyle w:val="Heading2"/>
        <w:spacing w:before="100" w:beforeAutospacing="1" w:after="100" w:afterAutospacing="1"/>
        <w:ind w:left="567" w:hanging="567"/>
        <w:jc w:val="both"/>
        <w:rPr>
          <w:i/>
          <w:sz w:val="18"/>
        </w:rPr>
      </w:pPr>
      <w:proofErr w:type="gramStart"/>
      <w:r w:rsidRPr="00B002D7">
        <w:t>Are people registered</w:t>
      </w:r>
      <w:proofErr w:type="gramEnd"/>
      <w:r w:rsidRPr="00B002D7">
        <w:t xml:space="preserve"> with other employment services (e.g. Disability Employment Services) eligible for CTA?</w:t>
      </w:r>
    </w:p>
    <w:p w14:paraId="1444047D" w14:textId="79B5766F" w:rsidR="00337088" w:rsidRDefault="008A2408" w:rsidP="002C63AC">
      <w:pPr>
        <w:spacing w:before="100" w:beforeAutospacing="1" w:after="100" w:afterAutospacing="1"/>
        <w:jc w:val="both"/>
      </w:pPr>
      <w:r>
        <w:t>No.</w:t>
      </w:r>
    </w:p>
    <w:p w14:paraId="70CC5B2E" w14:textId="557FB2EB" w:rsidR="009D6075" w:rsidRDefault="009D6075" w:rsidP="002C63AC">
      <w:pPr>
        <w:spacing w:before="100" w:beforeAutospacing="1" w:after="100" w:afterAutospacing="1"/>
        <w:jc w:val="both"/>
      </w:pPr>
      <w:r w:rsidRPr="00B002D7">
        <w:t xml:space="preserve">Only job seekers registered with </w:t>
      </w:r>
      <w:r w:rsidR="007C6164">
        <w:t xml:space="preserve">a jobactive </w:t>
      </w:r>
      <w:r w:rsidR="00337088">
        <w:t>p</w:t>
      </w:r>
      <w:r w:rsidRPr="00B002D7">
        <w:t>rovider are eligible to participate in CTA.</w:t>
      </w:r>
    </w:p>
    <w:p w14:paraId="1EFFD49D" w14:textId="578C4C72" w:rsidR="0029192F" w:rsidRPr="00B002D7" w:rsidRDefault="0029192F" w:rsidP="002C63AC">
      <w:pPr>
        <w:spacing w:before="100" w:beforeAutospacing="1" w:after="100" w:afterAutospacing="1"/>
        <w:jc w:val="both"/>
      </w:pPr>
      <w:r>
        <w:rPr>
          <w:i/>
        </w:rPr>
        <w:t>R</w:t>
      </w:r>
      <w:r w:rsidRPr="00B002D7">
        <w:rPr>
          <w:i/>
        </w:rPr>
        <w:t xml:space="preserve">eference: </w:t>
      </w:r>
      <w:r>
        <w:rPr>
          <w:i/>
        </w:rPr>
        <w:t>RFT</w:t>
      </w:r>
      <w:r w:rsidRPr="00B002D7">
        <w:rPr>
          <w:i/>
        </w:rPr>
        <w:t xml:space="preserve"> Section 2.4—Participant Eligibility and Characteristics</w:t>
      </w:r>
    </w:p>
    <w:p w14:paraId="67A687C2" w14:textId="3EE1C0B5" w:rsidR="00EF0509" w:rsidRPr="00595A13" w:rsidRDefault="00EF0509" w:rsidP="002C63AC">
      <w:pPr>
        <w:pStyle w:val="Heading2"/>
        <w:spacing w:before="100" w:beforeAutospacing="1" w:after="100" w:afterAutospacing="1"/>
        <w:ind w:left="567" w:hanging="567"/>
        <w:jc w:val="both"/>
      </w:pPr>
      <w:r w:rsidRPr="00595A13">
        <w:t>Ho</w:t>
      </w:r>
      <w:r w:rsidR="008A2408">
        <w:t>w will Participants access CTA?</w:t>
      </w:r>
    </w:p>
    <w:p w14:paraId="7083E056" w14:textId="06DB0CE9" w:rsidR="00756194" w:rsidRPr="00595A13" w:rsidRDefault="00756194" w:rsidP="002C63AC">
      <w:pPr>
        <w:spacing w:before="100" w:beforeAutospacing="1" w:after="100" w:afterAutospacing="1"/>
        <w:jc w:val="both"/>
      </w:pPr>
      <w:r w:rsidRPr="00595A13">
        <w:rPr>
          <w:lang w:eastAsia="en-AU"/>
        </w:rPr>
        <w:t xml:space="preserve">All Referrals to CTA </w:t>
      </w:r>
      <w:proofErr w:type="gramStart"/>
      <w:r w:rsidRPr="00595A13">
        <w:rPr>
          <w:lang w:eastAsia="en-AU"/>
        </w:rPr>
        <w:t>will be made</w:t>
      </w:r>
      <w:proofErr w:type="gramEnd"/>
      <w:r w:rsidRPr="00595A13">
        <w:rPr>
          <w:lang w:eastAsia="en-AU"/>
        </w:rPr>
        <w:t xml:space="preserve"> through </w:t>
      </w:r>
      <w:r w:rsidR="007C6164" w:rsidRPr="00595A13">
        <w:rPr>
          <w:lang w:eastAsia="en-AU"/>
        </w:rPr>
        <w:t>a jobactive</w:t>
      </w:r>
      <w:r w:rsidR="005721C6">
        <w:rPr>
          <w:lang w:eastAsia="en-AU"/>
        </w:rPr>
        <w:t xml:space="preserve"> p</w:t>
      </w:r>
      <w:r w:rsidRPr="00595A13">
        <w:rPr>
          <w:lang w:eastAsia="en-AU"/>
        </w:rPr>
        <w:t>rovider</w:t>
      </w:r>
      <w:r w:rsidRPr="00595A13">
        <w:t xml:space="preserve">. </w:t>
      </w:r>
      <w:proofErr w:type="gramStart"/>
      <w:r w:rsidR="007C6164" w:rsidRPr="00595A13">
        <w:t>jobactive</w:t>
      </w:r>
      <w:proofErr w:type="gramEnd"/>
      <w:r w:rsidR="007C6164" w:rsidRPr="00595A13">
        <w:t xml:space="preserve"> </w:t>
      </w:r>
      <w:r w:rsidR="00493A44">
        <w:t>p</w:t>
      </w:r>
      <w:r w:rsidR="00103446" w:rsidRPr="00595A13">
        <w:t>roviders will be able to make Referrals</w:t>
      </w:r>
      <w:r w:rsidRPr="00595A13">
        <w:t xml:space="preserve"> at any time and should do so when an eligible job seeker requests to be Referred to CTA. </w:t>
      </w:r>
      <w:proofErr w:type="gramStart"/>
      <w:r w:rsidR="007C6164" w:rsidRPr="00595A13">
        <w:t>jobactive</w:t>
      </w:r>
      <w:proofErr w:type="gramEnd"/>
      <w:r w:rsidR="007C6164" w:rsidRPr="00595A13">
        <w:t xml:space="preserve"> </w:t>
      </w:r>
      <w:r w:rsidR="005721C6">
        <w:t>p</w:t>
      </w:r>
      <w:r w:rsidRPr="00595A13">
        <w:t>roviders should discuss a Referral to CTA with those eligible job seekers who t</w:t>
      </w:r>
      <w:r w:rsidR="008A2408">
        <w:t>hey feel would benefit from it.</w:t>
      </w:r>
    </w:p>
    <w:p w14:paraId="225316A4" w14:textId="3D98A6B0" w:rsidR="009D6075" w:rsidRPr="00595A13" w:rsidRDefault="005721C6" w:rsidP="002C63AC">
      <w:pPr>
        <w:spacing w:before="100" w:beforeAutospacing="1" w:after="100" w:afterAutospacing="1"/>
        <w:jc w:val="both"/>
        <w:rPr>
          <w:lang w:eastAsia="en-AU"/>
        </w:rPr>
      </w:pPr>
      <w:r>
        <w:t>CTA P</w:t>
      </w:r>
      <w:r w:rsidR="00103446" w:rsidRPr="00595A13">
        <w:t xml:space="preserve">roviders must be in a position to receive Referrals </w:t>
      </w:r>
      <w:r w:rsidR="006B2E40" w:rsidRPr="00595A13">
        <w:t>at</w:t>
      </w:r>
      <w:r w:rsidR="00103446" w:rsidRPr="00595A13">
        <w:t xml:space="preserve"> any time, and</w:t>
      </w:r>
      <w:r w:rsidR="00756194" w:rsidRPr="00595A13">
        <w:t xml:space="preserve"> must be available to hold</w:t>
      </w:r>
      <w:r w:rsidR="007C6164" w:rsidRPr="00595A13">
        <w:t xml:space="preserve"> an</w:t>
      </w:r>
      <w:r w:rsidR="00756194" w:rsidRPr="00595A13">
        <w:t xml:space="preserve"> Initial Meeting within five Business Days of the Referral from the </w:t>
      </w:r>
      <w:r w:rsidR="007C6164" w:rsidRPr="00595A13">
        <w:t xml:space="preserve">jobactive </w:t>
      </w:r>
      <w:r>
        <w:t>p</w:t>
      </w:r>
      <w:r w:rsidR="00756194" w:rsidRPr="00595A13">
        <w:t>rovider.</w:t>
      </w:r>
    </w:p>
    <w:p w14:paraId="764BA94C" w14:textId="7E0DABB5" w:rsidR="00EF0509" w:rsidRPr="00595A13" w:rsidRDefault="00EF0509" w:rsidP="002C63AC">
      <w:pPr>
        <w:spacing w:before="100" w:beforeAutospacing="1" w:after="100" w:afterAutospacing="1"/>
        <w:jc w:val="both"/>
        <w:rPr>
          <w:i/>
        </w:rPr>
      </w:pPr>
      <w:r w:rsidRPr="00595A13">
        <w:rPr>
          <w:i/>
        </w:rPr>
        <w:t xml:space="preserve">Reference: </w:t>
      </w:r>
      <w:r w:rsidR="00A45149" w:rsidRPr="00595A13">
        <w:rPr>
          <w:i/>
        </w:rPr>
        <w:t>RFT</w:t>
      </w:r>
      <w:r w:rsidRPr="00595A13">
        <w:rPr>
          <w:i/>
        </w:rPr>
        <w:t xml:space="preserve"> Section 2.4.1</w:t>
      </w:r>
      <w:r w:rsidR="00756194" w:rsidRPr="00595A13">
        <w:rPr>
          <w:i/>
        </w:rPr>
        <w:t>.1</w:t>
      </w:r>
      <w:r w:rsidRPr="00595A13">
        <w:rPr>
          <w:i/>
        </w:rPr>
        <w:t>—Referral Process from jobactive</w:t>
      </w:r>
    </w:p>
    <w:p w14:paraId="46056CBF" w14:textId="1ACBAF4B" w:rsidR="00EF0509" w:rsidRPr="00B002D7" w:rsidRDefault="005F0F0E" w:rsidP="002C63AC">
      <w:pPr>
        <w:pStyle w:val="Heading2"/>
        <w:keepNext/>
        <w:keepLines/>
        <w:spacing w:before="100" w:beforeAutospacing="1" w:after="100" w:afterAutospacing="1"/>
        <w:ind w:left="567" w:hanging="567"/>
        <w:jc w:val="both"/>
      </w:pPr>
      <w:r w:rsidRPr="00B002D7">
        <w:t>Is</w:t>
      </w:r>
      <w:r w:rsidR="00EF0509" w:rsidRPr="00B002D7">
        <w:t xml:space="preserve"> </w:t>
      </w:r>
      <w:r w:rsidRPr="00B002D7">
        <w:t xml:space="preserve">it mandatory </w:t>
      </w:r>
      <w:r w:rsidR="004C6E0D" w:rsidRPr="00B002D7">
        <w:t xml:space="preserve">for </w:t>
      </w:r>
      <w:r w:rsidR="001270EC">
        <w:t xml:space="preserve">any </w:t>
      </w:r>
      <w:r w:rsidR="004C6E0D" w:rsidRPr="00B002D7">
        <w:t xml:space="preserve">eligible job seekers to be </w:t>
      </w:r>
      <w:proofErr w:type="gramStart"/>
      <w:r w:rsidR="003C2B81">
        <w:t>R</w:t>
      </w:r>
      <w:r w:rsidRPr="00B002D7">
        <w:t>eferred</w:t>
      </w:r>
      <w:proofErr w:type="gramEnd"/>
      <w:r w:rsidRPr="00B002D7">
        <w:t xml:space="preserve"> to CTA</w:t>
      </w:r>
      <w:r w:rsidR="00EF0509" w:rsidRPr="00B002D7">
        <w:t>?</w:t>
      </w:r>
    </w:p>
    <w:p w14:paraId="120A71D9" w14:textId="313958A6" w:rsidR="00D01631" w:rsidRDefault="005F0F0E" w:rsidP="002C63AC">
      <w:pPr>
        <w:spacing w:before="100" w:beforeAutospacing="1" w:after="100" w:afterAutospacing="1"/>
        <w:jc w:val="both"/>
      </w:pPr>
      <w:r>
        <w:t>No</w:t>
      </w:r>
      <w:r w:rsidR="00D01631">
        <w:t xml:space="preserve">, </w:t>
      </w:r>
      <w:r w:rsidR="008A2408">
        <w:t>CTA is a voluntary program.</w:t>
      </w:r>
    </w:p>
    <w:p w14:paraId="23B3D85A" w14:textId="0CF01531" w:rsidR="005F0F0E" w:rsidRDefault="005F0F0E" w:rsidP="002C63AC">
      <w:pPr>
        <w:spacing w:before="100" w:beforeAutospacing="1" w:after="100" w:afterAutospacing="1"/>
        <w:jc w:val="both"/>
      </w:pPr>
      <w:r>
        <w:t>Job seekers who want to pa</w:t>
      </w:r>
      <w:r w:rsidR="004C6E0D">
        <w:t xml:space="preserve">rticipate in CTA can request a </w:t>
      </w:r>
      <w:r w:rsidR="003C2B81">
        <w:t>R</w:t>
      </w:r>
      <w:r>
        <w:t xml:space="preserve">eferral from their </w:t>
      </w:r>
      <w:r w:rsidR="003455F6">
        <w:t xml:space="preserve">jobactive </w:t>
      </w:r>
      <w:r w:rsidR="00D01631">
        <w:t>p</w:t>
      </w:r>
      <w:r w:rsidR="00756194">
        <w:t>rovider</w:t>
      </w:r>
      <w:r>
        <w:t xml:space="preserve">. </w:t>
      </w:r>
      <w:r w:rsidR="006B2E40" w:rsidDel="003455F6">
        <w:t xml:space="preserve"> </w:t>
      </w:r>
    </w:p>
    <w:p w14:paraId="170EF0F7" w14:textId="77FE21EB" w:rsidR="008A2C7B" w:rsidRDefault="008A2C7B" w:rsidP="002C63AC">
      <w:pPr>
        <w:spacing w:before="100" w:beforeAutospacing="1" w:after="100" w:afterAutospacing="1"/>
        <w:jc w:val="both"/>
      </w:pPr>
      <w:r w:rsidRPr="00B002D7">
        <w:rPr>
          <w:i/>
        </w:rPr>
        <w:t xml:space="preserve">Reference: </w:t>
      </w:r>
      <w:r w:rsidR="00A45149">
        <w:rPr>
          <w:i/>
        </w:rPr>
        <w:t>RFT</w:t>
      </w:r>
      <w:r w:rsidRPr="00B002D7">
        <w:rPr>
          <w:i/>
        </w:rPr>
        <w:t xml:space="preserve"> Section 2.4</w:t>
      </w:r>
      <w:r>
        <w:rPr>
          <w:i/>
        </w:rPr>
        <w:t>.1</w:t>
      </w:r>
      <w:r w:rsidR="00756194">
        <w:rPr>
          <w:i/>
        </w:rPr>
        <w:t>.1</w:t>
      </w:r>
      <w:r w:rsidRPr="00B002D7">
        <w:rPr>
          <w:i/>
        </w:rPr>
        <w:t>—</w:t>
      </w:r>
      <w:r>
        <w:rPr>
          <w:i/>
        </w:rPr>
        <w:t>Referral Process from jobactive</w:t>
      </w:r>
    </w:p>
    <w:p w14:paraId="58C0F648" w14:textId="304F5919" w:rsidR="00247BA1" w:rsidRDefault="00247BA1" w:rsidP="002C63AC">
      <w:pPr>
        <w:pStyle w:val="Heading2"/>
        <w:spacing w:before="100" w:beforeAutospacing="1" w:after="100" w:afterAutospacing="1"/>
        <w:ind w:left="567" w:hanging="567"/>
        <w:jc w:val="both"/>
        <w:rPr>
          <w:i/>
          <w:sz w:val="18"/>
        </w:rPr>
      </w:pPr>
      <w:r w:rsidRPr="00247BA1">
        <w:t xml:space="preserve">Will </w:t>
      </w:r>
      <w:r w:rsidR="009F4661">
        <w:t>there be CTA R</w:t>
      </w:r>
      <w:r w:rsidR="00D01631">
        <w:t xml:space="preserve">eferral targets for </w:t>
      </w:r>
      <w:proofErr w:type="spellStart"/>
      <w:r w:rsidR="003455F6">
        <w:t>jobactive</w:t>
      </w:r>
      <w:proofErr w:type="spellEnd"/>
      <w:r w:rsidR="003455F6" w:rsidRPr="00247BA1">
        <w:t xml:space="preserve"> </w:t>
      </w:r>
      <w:r w:rsidR="00337088">
        <w:t>p</w:t>
      </w:r>
      <w:r w:rsidRPr="00247BA1">
        <w:t>roviders to achieve</w:t>
      </w:r>
      <w:r w:rsidR="008A2408">
        <w:t>?</w:t>
      </w:r>
    </w:p>
    <w:p w14:paraId="6D6E96E1" w14:textId="4EFDB0BD" w:rsidR="00337088" w:rsidRDefault="008A2408" w:rsidP="002C63AC">
      <w:pPr>
        <w:spacing w:before="100" w:beforeAutospacing="1" w:after="100" w:afterAutospacing="1"/>
        <w:jc w:val="both"/>
        <w:rPr>
          <w:rStyle w:val="Style1"/>
          <w:color w:val="000000" w:themeColor="text1"/>
        </w:rPr>
      </w:pPr>
      <w:r>
        <w:rPr>
          <w:rStyle w:val="Style1"/>
          <w:color w:val="000000" w:themeColor="text1"/>
        </w:rPr>
        <w:t>No.</w:t>
      </w:r>
    </w:p>
    <w:p w14:paraId="2344D881" w14:textId="3B47BCEA" w:rsidR="00247BA1" w:rsidRDefault="00247BA1" w:rsidP="002C63AC">
      <w:pPr>
        <w:spacing w:before="100" w:beforeAutospacing="1" w:after="100" w:afterAutospacing="1"/>
        <w:jc w:val="both"/>
        <w:rPr>
          <w:rStyle w:val="Style1"/>
          <w:color w:val="000000" w:themeColor="text1"/>
        </w:rPr>
      </w:pPr>
      <w:r>
        <w:rPr>
          <w:rStyle w:val="Style1"/>
          <w:color w:val="000000" w:themeColor="text1"/>
        </w:rPr>
        <w:t xml:space="preserve">There </w:t>
      </w:r>
      <w:r w:rsidR="008A2C7B">
        <w:rPr>
          <w:rStyle w:val="Style1"/>
          <w:color w:val="000000" w:themeColor="text1"/>
        </w:rPr>
        <w:t>are</w:t>
      </w:r>
      <w:r>
        <w:rPr>
          <w:rStyle w:val="Style1"/>
        </w:rPr>
        <w:t xml:space="preserve"> no targets set for </w:t>
      </w:r>
      <w:r w:rsidR="003455F6">
        <w:rPr>
          <w:rStyle w:val="Style1"/>
        </w:rPr>
        <w:t xml:space="preserve">jobactive </w:t>
      </w:r>
      <w:r w:rsidR="00337088">
        <w:rPr>
          <w:rStyle w:val="Style1"/>
        </w:rPr>
        <w:t>p</w:t>
      </w:r>
      <w:r w:rsidR="009F4661">
        <w:rPr>
          <w:rStyle w:val="Style1"/>
        </w:rPr>
        <w:t>roviders to R</w:t>
      </w:r>
      <w:r>
        <w:rPr>
          <w:rStyle w:val="Style1"/>
        </w:rPr>
        <w:t>efer</w:t>
      </w:r>
      <w:r w:rsidR="00337088">
        <w:rPr>
          <w:rStyle w:val="Style1"/>
        </w:rPr>
        <w:t xml:space="preserve"> job seekers</w:t>
      </w:r>
      <w:r>
        <w:rPr>
          <w:rStyle w:val="Style1"/>
        </w:rPr>
        <w:t xml:space="preserve"> to CTA</w:t>
      </w:r>
      <w:r>
        <w:rPr>
          <w:rStyle w:val="Style1"/>
          <w:color w:val="000000" w:themeColor="text1"/>
        </w:rPr>
        <w:t>.</w:t>
      </w:r>
    </w:p>
    <w:p w14:paraId="27184C8D" w14:textId="2DF2419D" w:rsidR="00001539" w:rsidRDefault="00001539" w:rsidP="002C63AC">
      <w:pPr>
        <w:pStyle w:val="Heading2"/>
        <w:spacing w:before="100" w:beforeAutospacing="1" w:after="100" w:afterAutospacing="1"/>
        <w:ind w:left="567" w:hanging="567"/>
        <w:jc w:val="both"/>
        <w:rPr>
          <w:i/>
          <w:sz w:val="18"/>
        </w:rPr>
      </w:pPr>
      <w:r w:rsidRPr="00001539">
        <w:t xml:space="preserve">If a CTA </w:t>
      </w:r>
      <w:r w:rsidR="005721C6">
        <w:t>P</w:t>
      </w:r>
      <w:r w:rsidRPr="00001539">
        <w:t xml:space="preserve">rovider is also </w:t>
      </w:r>
      <w:r w:rsidR="003455F6">
        <w:t>a jobactive</w:t>
      </w:r>
      <w:r w:rsidR="00C42240">
        <w:t xml:space="preserve"> </w:t>
      </w:r>
      <w:r w:rsidR="00337088">
        <w:t>p</w:t>
      </w:r>
      <w:r w:rsidRPr="00001539">
        <w:t>rovider within the same</w:t>
      </w:r>
      <w:r w:rsidR="0021681E">
        <w:t xml:space="preserve"> Employment Region</w:t>
      </w:r>
      <w:r w:rsidRPr="00001539">
        <w:t xml:space="preserve">, can the organisation receive CTA </w:t>
      </w:r>
      <w:r w:rsidR="006B203A">
        <w:t>R</w:t>
      </w:r>
      <w:r w:rsidRPr="00001539">
        <w:t xml:space="preserve">eferrals from itself? </w:t>
      </w:r>
    </w:p>
    <w:p w14:paraId="2ABD3422" w14:textId="77777777" w:rsidR="00337088" w:rsidRDefault="00001539" w:rsidP="002C63AC">
      <w:pPr>
        <w:spacing w:before="100" w:beforeAutospacing="1" w:after="100" w:afterAutospacing="1"/>
        <w:jc w:val="both"/>
        <w:rPr>
          <w:lang w:eastAsia="en-AU"/>
        </w:rPr>
      </w:pPr>
      <w:r>
        <w:rPr>
          <w:lang w:eastAsia="en-AU"/>
        </w:rPr>
        <w:lastRenderedPageBreak/>
        <w:t>Yes</w:t>
      </w:r>
      <w:r w:rsidR="008B3EE5">
        <w:rPr>
          <w:lang w:eastAsia="en-AU"/>
        </w:rPr>
        <w:t>.</w:t>
      </w:r>
      <w:r>
        <w:rPr>
          <w:lang w:eastAsia="en-AU"/>
        </w:rPr>
        <w:t xml:space="preserve"> </w:t>
      </w:r>
    </w:p>
    <w:p w14:paraId="50666C67" w14:textId="63C23953" w:rsidR="00001539" w:rsidRDefault="003455F6" w:rsidP="002C63AC">
      <w:pPr>
        <w:spacing w:before="100" w:beforeAutospacing="1" w:after="100" w:afterAutospacing="1"/>
        <w:jc w:val="both"/>
        <w:rPr>
          <w:lang w:eastAsia="en-AU"/>
        </w:rPr>
      </w:pPr>
      <w:proofErr w:type="gramStart"/>
      <w:r>
        <w:rPr>
          <w:lang w:eastAsia="en-AU"/>
        </w:rPr>
        <w:t>jobactive</w:t>
      </w:r>
      <w:proofErr w:type="gramEnd"/>
      <w:r>
        <w:rPr>
          <w:lang w:eastAsia="en-AU"/>
        </w:rPr>
        <w:t xml:space="preserve"> </w:t>
      </w:r>
      <w:r w:rsidR="00337088">
        <w:rPr>
          <w:lang w:eastAsia="en-AU"/>
        </w:rPr>
        <w:t>p</w:t>
      </w:r>
      <w:r w:rsidR="00C42240">
        <w:rPr>
          <w:lang w:eastAsia="en-AU"/>
        </w:rPr>
        <w:t>roviders</w:t>
      </w:r>
      <w:r w:rsidR="00001539">
        <w:rPr>
          <w:lang w:eastAsia="en-AU"/>
        </w:rPr>
        <w:t xml:space="preserve"> can deliver CTA to their own job seekers</w:t>
      </w:r>
      <w:r w:rsidR="00D01631">
        <w:rPr>
          <w:lang w:eastAsia="en-AU"/>
        </w:rPr>
        <w:t>, h</w:t>
      </w:r>
      <w:r w:rsidR="00001539">
        <w:rPr>
          <w:lang w:eastAsia="en-AU"/>
        </w:rPr>
        <w:t xml:space="preserve">owever, job seekers must be </w:t>
      </w:r>
      <w:r w:rsidR="003C2B81">
        <w:rPr>
          <w:lang w:eastAsia="en-AU"/>
        </w:rPr>
        <w:t>R</w:t>
      </w:r>
      <w:r w:rsidR="00001539">
        <w:rPr>
          <w:lang w:eastAsia="en-AU"/>
        </w:rPr>
        <w:t xml:space="preserve">eferred to the CTA </w:t>
      </w:r>
      <w:r w:rsidR="005721C6">
        <w:rPr>
          <w:lang w:eastAsia="en-AU"/>
        </w:rPr>
        <w:t>P</w:t>
      </w:r>
      <w:r w:rsidR="00001539">
        <w:rPr>
          <w:lang w:eastAsia="en-AU"/>
        </w:rPr>
        <w:t>rovider of the job seeker's choice.</w:t>
      </w:r>
    </w:p>
    <w:p w14:paraId="09E92F84" w14:textId="187F6407" w:rsidR="00001539" w:rsidRDefault="00001539" w:rsidP="002C63AC">
      <w:pPr>
        <w:spacing w:before="100" w:beforeAutospacing="1" w:after="100" w:afterAutospacing="1"/>
        <w:jc w:val="both"/>
        <w:rPr>
          <w:i/>
          <w:lang w:eastAsia="en-AU"/>
        </w:rPr>
      </w:pPr>
      <w:r w:rsidRPr="00001539">
        <w:rPr>
          <w:i/>
          <w:lang w:eastAsia="en-AU"/>
        </w:rPr>
        <w:t xml:space="preserve">Reference: </w:t>
      </w:r>
      <w:r w:rsidR="00A45149">
        <w:rPr>
          <w:i/>
          <w:lang w:eastAsia="en-AU"/>
        </w:rPr>
        <w:t>RFT</w:t>
      </w:r>
      <w:r w:rsidRPr="00001539">
        <w:rPr>
          <w:i/>
          <w:lang w:eastAsia="en-AU"/>
        </w:rPr>
        <w:t xml:space="preserve"> Section </w:t>
      </w:r>
      <w:r w:rsidR="008F3AE1">
        <w:rPr>
          <w:i/>
          <w:lang w:eastAsia="en-AU"/>
        </w:rPr>
        <w:t>3.1 –</w:t>
      </w:r>
      <w:r w:rsidR="00C42240">
        <w:rPr>
          <w:i/>
          <w:lang w:eastAsia="en-AU"/>
        </w:rPr>
        <w:t xml:space="preserve"> </w:t>
      </w:r>
      <w:r w:rsidR="008F3AE1">
        <w:rPr>
          <w:i/>
          <w:lang w:eastAsia="en-AU"/>
        </w:rPr>
        <w:t>Panel Composition</w:t>
      </w:r>
    </w:p>
    <w:p w14:paraId="63CEEDFD" w14:textId="45561D5E" w:rsidR="00FF5B98" w:rsidRPr="00FF5B98" w:rsidRDefault="00FF5B98" w:rsidP="002C63AC">
      <w:pPr>
        <w:pStyle w:val="Heading2"/>
        <w:spacing w:before="100" w:beforeAutospacing="1" w:after="100" w:afterAutospacing="1"/>
        <w:ind w:left="567" w:hanging="567"/>
        <w:jc w:val="both"/>
      </w:pPr>
      <w:r w:rsidRPr="00FF5B98">
        <w:t xml:space="preserve">Can the department </w:t>
      </w:r>
      <w:r>
        <w:t xml:space="preserve">confirm </w:t>
      </w:r>
      <w:r w:rsidR="00361B71">
        <w:t xml:space="preserve">if </w:t>
      </w:r>
      <w:r>
        <w:t>a jobactive provider must refer job seekers who request to undertake CTA?</w:t>
      </w:r>
    </w:p>
    <w:p w14:paraId="5D048090" w14:textId="13B1777E" w:rsidR="00FF5B98" w:rsidRDefault="00FF5B98" w:rsidP="00FF5B98">
      <w:pPr>
        <w:rPr>
          <w:lang w:eastAsia="en-AU"/>
        </w:rPr>
      </w:pPr>
      <w:r w:rsidRPr="00FF5B98">
        <w:rPr>
          <w:lang w:eastAsia="en-AU"/>
        </w:rPr>
        <w:t xml:space="preserve">From 1 July 2019, jobactive </w:t>
      </w:r>
      <w:r>
        <w:rPr>
          <w:lang w:eastAsia="en-AU"/>
        </w:rPr>
        <w:t>p</w:t>
      </w:r>
      <w:r w:rsidRPr="00FF5B98">
        <w:rPr>
          <w:lang w:eastAsia="en-AU"/>
        </w:rPr>
        <w:t>roviders will have a discretionary obligation to consider referring eligible job seekers to one of the CTA Providers in their Employment Region. Job seekers will have a choice of CTA Provider in thei</w:t>
      </w:r>
      <w:r>
        <w:rPr>
          <w:lang w:eastAsia="en-AU"/>
        </w:rPr>
        <w:t xml:space="preserve">r Employment Region. </w:t>
      </w:r>
      <w:proofErr w:type="gramStart"/>
      <w:r>
        <w:rPr>
          <w:lang w:eastAsia="en-AU"/>
        </w:rPr>
        <w:t>jobactive</w:t>
      </w:r>
      <w:proofErr w:type="gramEnd"/>
      <w:r>
        <w:rPr>
          <w:lang w:eastAsia="en-AU"/>
        </w:rPr>
        <w:t xml:space="preserve"> p</w:t>
      </w:r>
      <w:r w:rsidRPr="00FF5B98">
        <w:rPr>
          <w:lang w:eastAsia="en-AU"/>
        </w:rPr>
        <w:t xml:space="preserve">roviders will be required to apply the Employment Fund principles when referring a person to CTA. These principles include that such purchases provide the job seeker with the skills and experience that correspond with their difficulties in finding and keeping a job in the relevant labour market. As per current arrangements, where a job seeker is not </w:t>
      </w:r>
      <w:r w:rsidR="006C6A58">
        <w:rPr>
          <w:lang w:eastAsia="en-AU"/>
        </w:rPr>
        <w:t xml:space="preserve">satisfied </w:t>
      </w:r>
      <w:r w:rsidRPr="00FF5B98">
        <w:rPr>
          <w:lang w:eastAsia="en-AU"/>
        </w:rPr>
        <w:t>with the service they have received from their jobactive provider, they may decide to transfer to a new provider if their current provider and their proposed provider both agree to the transfer.</w:t>
      </w:r>
    </w:p>
    <w:p w14:paraId="3C514ADC" w14:textId="0E620A47" w:rsidR="00FF5B98" w:rsidRPr="00B40CB2" w:rsidRDefault="00FF5B98" w:rsidP="00B40CB2">
      <w:pPr>
        <w:spacing w:before="100" w:beforeAutospacing="1" w:after="100" w:afterAutospacing="1"/>
        <w:jc w:val="both"/>
        <w:rPr>
          <w:i/>
          <w:lang w:eastAsia="en-AU"/>
        </w:rPr>
      </w:pPr>
      <w:r w:rsidRPr="00FF5B98">
        <w:rPr>
          <w:i/>
          <w:lang w:eastAsia="en-AU"/>
        </w:rPr>
        <w:t>Reference: RFT Section 2.</w:t>
      </w:r>
      <w:r>
        <w:rPr>
          <w:i/>
          <w:lang w:eastAsia="en-AU"/>
        </w:rPr>
        <w:t>2</w:t>
      </w:r>
      <w:r w:rsidRPr="00FF5B98">
        <w:rPr>
          <w:i/>
          <w:lang w:eastAsia="en-AU"/>
        </w:rPr>
        <w:t>.1—</w:t>
      </w:r>
      <w:r>
        <w:rPr>
          <w:i/>
          <w:lang w:eastAsia="en-AU"/>
        </w:rPr>
        <w:t>Key Features of CTA</w:t>
      </w:r>
    </w:p>
    <w:p w14:paraId="1503DEBB" w14:textId="2053BBA0" w:rsidR="00B40CB2" w:rsidRPr="00B40CB2" w:rsidRDefault="00B40CB2" w:rsidP="002C63AC">
      <w:pPr>
        <w:pStyle w:val="Heading2"/>
        <w:spacing w:before="100" w:beforeAutospacing="1" w:after="100" w:afterAutospacing="1"/>
        <w:ind w:left="567" w:hanging="567"/>
        <w:jc w:val="both"/>
      </w:pPr>
      <w:r>
        <w:t xml:space="preserve">What is the procedure if a job seeker is already on an activity listed on their Job Plan and they request to be </w:t>
      </w:r>
      <w:proofErr w:type="gramStart"/>
      <w:r>
        <w:t>Referred</w:t>
      </w:r>
      <w:proofErr w:type="gramEnd"/>
      <w:r>
        <w:t xml:space="preserve"> to CTA?</w:t>
      </w:r>
    </w:p>
    <w:p w14:paraId="356D9F7A" w14:textId="2F8F823E" w:rsidR="00B40CB2" w:rsidRDefault="00B40CB2" w:rsidP="00B40CB2">
      <w:pPr>
        <w:rPr>
          <w:lang w:eastAsia="en-AU"/>
        </w:rPr>
      </w:pPr>
      <w:proofErr w:type="gramStart"/>
      <w:r w:rsidRPr="00B40CB2">
        <w:rPr>
          <w:lang w:eastAsia="en-AU"/>
        </w:rPr>
        <w:t>jobactive</w:t>
      </w:r>
      <w:proofErr w:type="gramEnd"/>
      <w:r w:rsidRPr="00B40CB2">
        <w:rPr>
          <w:lang w:eastAsia="en-AU"/>
        </w:rPr>
        <w:t xml:space="preserve"> Providers will need to negotiate activities and updates to the Job Plan with each job seeker. Where deemed appropriate, a jobactive provider can remove an activity from a Job Plan and replace it with CTA. </w:t>
      </w:r>
      <w:proofErr w:type="gramStart"/>
      <w:r w:rsidRPr="00B40CB2">
        <w:rPr>
          <w:lang w:eastAsia="en-AU"/>
        </w:rPr>
        <w:t>Or</w:t>
      </w:r>
      <w:proofErr w:type="gramEnd"/>
      <w:r w:rsidRPr="00B40CB2">
        <w:rPr>
          <w:lang w:eastAsia="en-AU"/>
        </w:rPr>
        <w:t>, a job seeker can complete an activity they are already participating in and then be referred to CTA. The rolling start model enables a person to commence in, and participate in CTA at any stage of their servicing once eligible</w:t>
      </w:r>
      <w:r>
        <w:rPr>
          <w:lang w:eastAsia="en-AU"/>
        </w:rPr>
        <w:t>.</w:t>
      </w:r>
    </w:p>
    <w:p w14:paraId="40D51466" w14:textId="1307CBF7" w:rsidR="00B40CB2" w:rsidRPr="00B40CB2" w:rsidRDefault="005E04B8" w:rsidP="00B40CB2">
      <w:pPr>
        <w:spacing w:before="100" w:beforeAutospacing="1" w:after="100" w:afterAutospacing="1"/>
        <w:jc w:val="both"/>
        <w:rPr>
          <w:i/>
          <w:lang w:eastAsia="en-AU"/>
        </w:rPr>
      </w:pPr>
      <w:r w:rsidRPr="005E04B8">
        <w:rPr>
          <w:i/>
          <w:lang w:eastAsia="en-AU"/>
        </w:rPr>
        <w:t>Reference: RFT Section</w:t>
      </w:r>
      <w:r>
        <w:rPr>
          <w:i/>
          <w:lang w:eastAsia="en-AU"/>
        </w:rPr>
        <w:t xml:space="preserve"> </w:t>
      </w:r>
      <w:r w:rsidRPr="005E04B8">
        <w:rPr>
          <w:i/>
          <w:lang w:eastAsia="en-AU"/>
        </w:rPr>
        <w:t>2.4.1.1—Referral Process from jobactive</w:t>
      </w:r>
    </w:p>
    <w:p w14:paraId="365E4BC5" w14:textId="3446A3BA" w:rsidR="00BC3A1A" w:rsidRPr="00595A13" w:rsidRDefault="00BC3A1A" w:rsidP="002C63AC">
      <w:pPr>
        <w:pStyle w:val="Heading2"/>
        <w:spacing w:before="100" w:beforeAutospacing="1" w:after="100" w:afterAutospacing="1"/>
        <w:ind w:left="567" w:hanging="567"/>
        <w:jc w:val="both"/>
        <w:rPr>
          <w:i/>
          <w:sz w:val="18"/>
        </w:rPr>
      </w:pPr>
      <w:r w:rsidRPr="00595A13">
        <w:t xml:space="preserve">Does the </w:t>
      </w:r>
      <w:r w:rsidR="009F44FC" w:rsidRPr="00595A13">
        <w:t>department</w:t>
      </w:r>
      <w:r w:rsidRPr="00595A13">
        <w:t xml:space="preserve"> have data</w:t>
      </w:r>
      <w:r w:rsidR="006B203A">
        <w:t xml:space="preserve"> on the number of expected CTA R</w:t>
      </w:r>
      <w:r w:rsidRPr="00595A13">
        <w:t xml:space="preserve">eferrals? </w:t>
      </w:r>
    </w:p>
    <w:p w14:paraId="4930CE98" w14:textId="6A5537DD" w:rsidR="00BC3A1A" w:rsidRPr="00595A13" w:rsidRDefault="009F44FC" w:rsidP="002C63AC">
      <w:pPr>
        <w:spacing w:before="100" w:beforeAutospacing="1" w:after="100" w:afterAutospacing="1"/>
        <w:jc w:val="both"/>
        <w:rPr>
          <w:lang w:eastAsia="en-AU"/>
        </w:rPr>
      </w:pPr>
      <w:r>
        <w:rPr>
          <w:lang w:eastAsia="en-AU"/>
        </w:rPr>
        <w:t xml:space="preserve">The </w:t>
      </w:r>
      <w:r w:rsidR="00531BBE" w:rsidRPr="00595A13">
        <w:rPr>
          <w:lang w:eastAsia="en-AU"/>
        </w:rPr>
        <w:t>d</w:t>
      </w:r>
      <w:r w:rsidR="00BC3A1A" w:rsidRPr="00595A13">
        <w:rPr>
          <w:lang w:eastAsia="en-AU"/>
        </w:rPr>
        <w:t xml:space="preserve">epartment will not guarantee a minimum or expected number of CTA </w:t>
      </w:r>
      <w:r w:rsidR="003C2B81">
        <w:rPr>
          <w:lang w:eastAsia="en-AU"/>
        </w:rPr>
        <w:t>R</w:t>
      </w:r>
      <w:r w:rsidR="00BC3A1A" w:rsidRPr="00595A13">
        <w:rPr>
          <w:lang w:eastAsia="en-AU"/>
        </w:rPr>
        <w:t>eferrals.</w:t>
      </w:r>
      <w:r w:rsidR="006B2E40" w:rsidRPr="00595A13">
        <w:rPr>
          <w:lang w:eastAsia="en-AU"/>
        </w:rPr>
        <w:t xml:space="preserve"> Details on the eligible caseload in each Employment Region are in the RFT.</w:t>
      </w:r>
    </w:p>
    <w:p w14:paraId="730EDC95" w14:textId="5D34B3D8" w:rsidR="002B5C0C" w:rsidRDefault="002B5C0C" w:rsidP="002C63AC">
      <w:pPr>
        <w:spacing w:before="100" w:beforeAutospacing="1" w:after="100" w:afterAutospacing="1"/>
        <w:jc w:val="both"/>
        <w:rPr>
          <w:i/>
          <w:lang w:eastAsia="en-AU"/>
        </w:rPr>
      </w:pPr>
      <w:r w:rsidRPr="00595A13">
        <w:rPr>
          <w:i/>
          <w:lang w:eastAsia="en-AU"/>
        </w:rPr>
        <w:t xml:space="preserve">Reference: </w:t>
      </w:r>
      <w:r w:rsidR="00B07E4F" w:rsidRPr="00595A13">
        <w:rPr>
          <w:i/>
          <w:lang w:eastAsia="en-AU"/>
        </w:rPr>
        <w:t>RFT 3.1</w:t>
      </w:r>
      <w:r w:rsidR="00B6792B" w:rsidRPr="00B002D7">
        <w:rPr>
          <w:i/>
        </w:rPr>
        <w:t>—</w:t>
      </w:r>
      <w:r w:rsidR="00B07E4F" w:rsidRPr="00595A13">
        <w:rPr>
          <w:i/>
          <w:lang w:eastAsia="en-AU"/>
        </w:rPr>
        <w:t>Panel Composition,</w:t>
      </w:r>
      <w:r w:rsidR="0029192F">
        <w:rPr>
          <w:i/>
          <w:lang w:eastAsia="en-AU"/>
        </w:rPr>
        <w:t xml:space="preserve"> Appendix D</w:t>
      </w:r>
      <w:r w:rsidR="00B6792B" w:rsidRPr="00B002D7">
        <w:rPr>
          <w:i/>
        </w:rPr>
        <w:t>—</w:t>
      </w:r>
      <w:r w:rsidR="0029192F">
        <w:rPr>
          <w:i/>
          <w:lang w:eastAsia="en-AU"/>
        </w:rPr>
        <w:t>Maps and Job Seeker Data</w:t>
      </w:r>
      <w:r w:rsidR="00B6792B">
        <w:rPr>
          <w:i/>
          <w:lang w:eastAsia="en-AU"/>
        </w:rPr>
        <w:t xml:space="preserve"> and </w:t>
      </w:r>
      <w:r w:rsidRPr="00595A13">
        <w:rPr>
          <w:i/>
          <w:lang w:eastAsia="en-AU"/>
        </w:rPr>
        <w:t xml:space="preserve">Draft Deed </w:t>
      </w:r>
      <w:r w:rsidR="00636DBB" w:rsidRPr="00595A13">
        <w:rPr>
          <w:i/>
          <w:lang w:eastAsia="en-AU"/>
        </w:rPr>
        <w:t xml:space="preserve">Clause </w:t>
      </w:r>
      <w:r w:rsidRPr="00595A13">
        <w:rPr>
          <w:i/>
          <w:lang w:eastAsia="en-AU"/>
        </w:rPr>
        <w:t>3.2(a)</w:t>
      </w:r>
    </w:p>
    <w:p w14:paraId="49E446BA" w14:textId="0056327A" w:rsidR="006C22ED" w:rsidRDefault="006C22ED" w:rsidP="002C63AC">
      <w:pPr>
        <w:pStyle w:val="Heading2"/>
        <w:spacing w:before="100" w:beforeAutospacing="1" w:after="100" w:afterAutospacing="1"/>
        <w:ind w:left="567" w:hanging="567"/>
        <w:jc w:val="both"/>
      </w:pPr>
      <w:r>
        <w:t>Are suspended job seekers included in the total number of eligible job seekers (indicative data as at 31 August 2018)</w:t>
      </w:r>
      <w:r w:rsidR="00E52E25">
        <w:t>?</w:t>
      </w:r>
      <w:r>
        <w:t xml:space="preserve"> </w:t>
      </w:r>
    </w:p>
    <w:p w14:paraId="38074A60" w14:textId="52A60A05" w:rsidR="00F812AE" w:rsidRDefault="00A4079D" w:rsidP="002C63AC">
      <w:pPr>
        <w:spacing w:before="100" w:beforeAutospacing="1" w:after="100" w:afterAutospacing="1"/>
        <w:jc w:val="both"/>
        <w:rPr>
          <w:lang w:eastAsia="en-AU"/>
        </w:rPr>
      </w:pPr>
      <w:r>
        <w:rPr>
          <w:lang w:eastAsia="en-AU"/>
        </w:rPr>
        <w:t>Yes</w:t>
      </w:r>
      <w:r w:rsidR="008A2408">
        <w:rPr>
          <w:lang w:eastAsia="en-AU"/>
        </w:rPr>
        <w:t>.</w:t>
      </w:r>
    </w:p>
    <w:p w14:paraId="1B61F592" w14:textId="2052BA06" w:rsidR="00A4079D" w:rsidRPr="00595A13" w:rsidRDefault="006C22ED" w:rsidP="002C63AC">
      <w:pPr>
        <w:spacing w:before="100" w:beforeAutospacing="1" w:after="100" w:afterAutospacing="1"/>
        <w:jc w:val="both"/>
        <w:rPr>
          <w:lang w:eastAsia="en-AU"/>
        </w:rPr>
      </w:pPr>
      <w:r>
        <w:rPr>
          <w:lang w:eastAsia="en-AU"/>
        </w:rPr>
        <w:t xml:space="preserve">The total number of eligible job seekers </w:t>
      </w:r>
      <w:r w:rsidR="004D597C">
        <w:rPr>
          <w:lang w:eastAsia="en-AU"/>
        </w:rPr>
        <w:t>identified in the RFT are indicative only</w:t>
      </w:r>
      <w:r w:rsidR="00E52E25">
        <w:rPr>
          <w:lang w:eastAsia="en-AU"/>
        </w:rPr>
        <w:t>,</w:t>
      </w:r>
      <w:r w:rsidR="004D597C">
        <w:rPr>
          <w:lang w:eastAsia="en-AU"/>
        </w:rPr>
        <w:t xml:space="preserve"> and </w:t>
      </w:r>
      <w:r>
        <w:rPr>
          <w:lang w:eastAsia="en-AU"/>
        </w:rPr>
        <w:t xml:space="preserve">include those job seekers </w:t>
      </w:r>
      <w:r w:rsidR="008A2408">
        <w:rPr>
          <w:lang w:eastAsia="en-AU"/>
        </w:rPr>
        <w:t>suspended as at 31 August 2018.</w:t>
      </w:r>
    </w:p>
    <w:p w14:paraId="1816AD1F" w14:textId="1111EA3F" w:rsidR="00A4079D" w:rsidRDefault="00A4079D" w:rsidP="002C63AC">
      <w:pPr>
        <w:spacing w:before="100" w:beforeAutospacing="1" w:after="100" w:afterAutospacing="1"/>
        <w:jc w:val="both"/>
        <w:rPr>
          <w:i/>
          <w:lang w:eastAsia="en-AU"/>
        </w:rPr>
      </w:pPr>
      <w:r w:rsidRPr="00595A13">
        <w:rPr>
          <w:i/>
          <w:lang w:eastAsia="en-AU"/>
        </w:rPr>
        <w:lastRenderedPageBreak/>
        <w:t xml:space="preserve">Reference: </w:t>
      </w:r>
      <w:r w:rsidR="00B03DD1">
        <w:rPr>
          <w:i/>
          <w:lang w:eastAsia="en-AU"/>
        </w:rPr>
        <w:t>Appendix D – Maps and Job seeker data</w:t>
      </w:r>
    </w:p>
    <w:p w14:paraId="4FEEB419" w14:textId="77777777" w:rsidR="00500A96" w:rsidRDefault="00500A96" w:rsidP="00500A96">
      <w:pPr>
        <w:pStyle w:val="Heading2"/>
        <w:spacing w:before="100" w:beforeAutospacing="1" w:after="100" w:afterAutospacing="1"/>
        <w:ind w:left="567" w:hanging="567"/>
        <w:jc w:val="both"/>
        <w:rPr>
          <w:b w:val="0"/>
          <w:bCs w:val="0"/>
          <w:color w:val="000000" w:themeColor="text1"/>
          <w:sz w:val="24"/>
          <w:szCs w:val="24"/>
        </w:rPr>
      </w:pPr>
      <w:r>
        <w:rPr>
          <w:sz w:val="24"/>
          <w:szCs w:val="24"/>
        </w:rPr>
        <w:t>What is the uptake of CTA in the trial regions?</w:t>
      </w:r>
      <w:r>
        <w:rPr>
          <w:color w:val="000000" w:themeColor="text1"/>
          <w:sz w:val="24"/>
          <w:szCs w:val="24"/>
        </w:rPr>
        <w:t xml:space="preserve"> </w:t>
      </w:r>
    </w:p>
    <w:p w14:paraId="3FBF2F18" w14:textId="6C7F4A74" w:rsidR="00925742" w:rsidRDefault="00F84097" w:rsidP="00F84097">
      <w:pPr>
        <w:rPr>
          <w:lang w:eastAsia="en-AU"/>
        </w:rPr>
      </w:pPr>
      <w:r w:rsidRPr="00F84097">
        <w:rPr>
          <w:lang w:eastAsia="en-AU"/>
        </w:rPr>
        <w:t>As at 25 November 2018, there were approximately 10,954 job seekers in the department’s IT System eligible to participate in the CTA Trial</w:t>
      </w:r>
      <w:r w:rsidR="00500A96">
        <w:rPr>
          <w:lang w:eastAsia="en-AU"/>
        </w:rPr>
        <w:t xml:space="preserve"> across the five trial regions</w:t>
      </w:r>
      <w:r w:rsidRPr="00F84097">
        <w:rPr>
          <w:lang w:eastAsia="en-AU"/>
        </w:rPr>
        <w:t xml:space="preserve">, excluding suspended job seekers. Of that </w:t>
      </w:r>
      <w:proofErr w:type="gramStart"/>
      <w:r w:rsidRPr="00F84097">
        <w:rPr>
          <w:lang w:eastAsia="en-AU"/>
        </w:rPr>
        <w:t>number</w:t>
      </w:r>
      <w:proofErr w:type="gramEnd"/>
      <w:r w:rsidRPr="00F84097">
        <w:rPr>
          <w:lang w:eastAsia="en-AU"/>
        </w:rPr>
        <w:t xml:space="preserve"> only 5,406</w:t>
      </w:r>
      <w:r w:rsidR="00500A96">
        <w:rPr>
          <w:lang w:eastAsia="en-AU"/>
        </w:rPr>
        <w:t xml:space="preserve"> have</w:t>
      </w:r>
      <w:r w:rsidRPr="00F84097">
        <w:rPr>
          <w:lang w:eastAsia="en-AU"/>
        </w:rPr>
        <w:t xml:space="preserve"> not commenced in an activity</w:t>
      </w:r>
      <w:r w:rsidR="00500A96">
        <w:rPr>
          <w:lang w:eastAsia="en-AU"/>
        </w:rPr>
        <w:t xml:space="preserve"> (that is in CTA or in any other activity)</w:t>
      </w:r>
      <w:r w:rsidRPr="00F84097">
        <w:rPr>
          <w:lang w:eastAsia="en-AU"/>
        </w:rPr>
        <w:t>. Since 2 July</w:t>
      </w:r>
      <w:r w:rsidR="00500A96">
        <w:rPr>
          <w:lang w:eastAsia="en-AU"/>
        </w:rPr>
        <w:t xml:space="preserve"> 2018</w:t>
      </w:r>
      <w:r w:rsidRPr="00F84097">
        <w:rPr>
          <w:lang w:eastAsia="en-AU"/>
        </w:rPr>
        <w:t>, there have been 560 Referrals and 471 Commencements</w:t>
      </w:r>
      <w:r w:rsidR="00500A96">
        <w:rPr>
          <w:lang w:eastAsia="en-AU"/>
        </w:rPr>
        <w:t xml:space="preserve"> in the trial regions.</w:t>
      </w:r>
    </w:p>
    <w:p w14:paraId="5FDD6431" w14:textId="4272A5AF" w:rsidR="00F84097" w:rsidRPr="00210726" w:rsidRDefault="00500A96" w:rsidP="00410FEF">
      <w:pPr>
        <w:spacing w:after="0"/>
        <w:rPr>
          <w:bCs/>
          <w:lang w:eastAsia="en-AU"/>
        </w:rPr>
      </w:pPr>
      <w:r w:rsidRPr="00210726">
        <w:rPr>
          <w:bCs/>
          <w:lang w:eastAsia="en-AU"/>
        </w:rPr>
        <w:t>Respondents should note that:</w:t>
      </w:r>
    </w:p>
    <w:p w14:paraId="4B599F44" w14:textId="239A17B5" w:rsidR="00F84097" w:rsidRPr="00F84097" w:rsidRDefault="00410FEF" w:rsidP="00410FEF">
      <w:pPr>
        <w:pStyle w:val="ListParagraph"/>
        <w:numPr>
          <w:ilvl w:val="0"/>
          <w:numId w:val="15"/>
        </w:numPr>
        <w:spacing w:after="0" w:line="276" w:lineRule="auto"/>
        <w:contextualSpacing w:val="0"/>
        <w:jc w:val="both"/>
      </w:pPr>
      <w:r>
        <w:t>D</w:t>
      </w:r>
      <w:r w:rsidR="00F84097" w:rsidRPr="00F84097">
        <w:t xml:space="preserve">ue to the manual referral process of the CTA Trial, </w:t>
      </w:r>
      <w:proofErr w:type="gramStart"/>
      <w:r w:rsidR="00500A96">
        <w:t xml:space="preserve">all </w:t>
      </w:r>
      <w:r w:rsidR="00F84097" w:rsidRPr="00F84097">
        <w:t>referrals and commencements</w:t>
      </w:r>
      <w:r w:rsidR="00500A96">
        <w:t xml:space="preserve"> may </w:t>
      </w:r>
      <w:r w:rsidR="00F84097" w:rsidRPr="00F84097">
        <w:t>not</w:t>
      </w:r>
      <w:proofErr w:type="gramEnd"/>
      <w:r w:rsidR="00500A96">
        <w:t xml:space="preserve"> have been</w:t>
      </w:r>
      <w:r w:rsidR="00F84097" w:rsidRPr="00F84097">
        <w:t xml:space="preserve"> captured</w:t>
      </w:r>
      <w:r w:rsidR="008A2408">
        <w:t xml:space="preserve"> in the department’s IT System.</w:t>
      </w:r>
    </w:p>
    <w:p w14:paraId="483FCA05" w14:textId="3E7B8919" w:rsidR="00F84097" w:rsidRPr="00F84097" w:rsidRDefault="00410FEF" w:rsidP="005E04B8">
      <w:pPr>
        <w:pStyle w:val="ListParagraph"/>
        <w:numPr>
          <w:ilvl w:val="0"/>
          <w:numId w:val="15"/>
        </w:numPr>
        <w:spacing w:before="100" w:beforeAutospacing="1" w:after="0" w:line="276" w:lineRule="auto"/>
        <w:contextualSpacing w:val="0"/>
        <w:jc w:val="both"/>
      </w:pPr>
      <w:r>
        <w:t xml:space="preserve">The extent to which the figures for the CTA Trial </w:t>
      </w:r>
      <w:proofErr w:type="gramStart"/>
      <w:r>
        <w:t>can be extrapolated</w:t>
      </w:r>
      <w:proofErr w:type="gramEnd"/>
      <w:r>
        <w:t xml:space="preserve"> nationally may be limited, given the program design for the national rollout, including</w:t>
      </w:r>
      <w:r w:rsidRPr="00F84097">
        <w:t xml:space="preserve"> lowering</w:t>
      </w:r>
      <w:r w:rsidR="00F84097" w:rsidRPr="00F84097">
        <w:t xml:space="preserve"> the age of eligibility to 45 years</w:t>
      </w:r>
      <w:r>
        <w:t>.</w:t>
      </w:r>
    </w:p>
    <w:p w14:paraId="2905CB45" w14:textId="62216A70" w:rsidR="00F84097" w:rsidRPr="00F84097" w:rsidRDefault="00410FEF" w:rsidP="005E04B8">
      <w:pPr>
        <w:pStyle w:val="ListParagraph"/>
        <w:numPr>
          <w:ilvl w:val="0"/>
          <w:numId w:val="15"/>
        </w:numPr>
        <w:spacing w:before="100" w:beforeAutospacing="1" w:after="0" w:line="276" w:lineRule="auto"/>
        <w:contextualSpacing w:val="0"/>
        <w:jc w:val="both"/>
      </w:pPr>
      <w:r>
        <w:t xml:space="preserve">CTA </w:t>
      </w:r>
      <w:proofErr w:type="gramStart"/>
      <w:r>
        <w:t>will be funded</w:t>
      </w:r>
      <w:proofErr w:type="gramEnd"/>
      <w:r>
        <w:t xml:space="preserve"> through the </w:t>
      </w:r>
      <w:r w:rsidRPr="00F84097">
        <w:t>Employment</w:t>
      </w:r>
      <w:r w:rsidR="00F84097" w:rsidRPr="00F84097">
        <w:t xml:space="preserve"> Fund</w:t>
      </w:r>
      <w:r>
        <w:t xml:space="preserve">. </w:t>
      </w:r>
      <w:proofErr w:type="gramStart"/>
      <w:r>
        <w:t>jobactive</w:t>
      </w:r>
      <w:proofErr w:type="gramEnd"/>
      <w:r>
        <w:t xml:space="preserve"> providers have discretion in how they use the Employment Fund to fund activities for job seekers.</w:t>
      </w:r>
    </w:p>
    <w:p w14:paraId="590013FE" w14:textId="4245B3CD" w:rsidR="00BC3A1A" w:rsidRDefault="00BC3A1A" w:rsidP="002C63AC">
      <w:pPr>
        <w:pStyle w:val="Heading2"/>
        <w:spacing w:before="100" w:beforeAutospacing="1" w:after="100" w:afterAutospacing="1"/>
        <w:ind w:left="567" w:hanging="567"/>
        <w:jc w:val="both"/>
        <w:rPr>
          <w:i/>
          <w:sz w:val="18"/>
        </w:rPr>
      </w:pPr>
      <w:r w:rsidRPr="00BC3A1A">
        <w:t xml:space="preserve">Will the </w:t>
      </w:r>
      <w:r w:rsidR="00531BBE">
        <w:t>d</w:t>
      </w:r>
      <w:r w:rsidRPr="00BC3A1A">
        <w:t>epartment be releasing publications or promotional material on CTA t</w:t>
      </w:r>
      <w:r>
        <w:t xml:space="preserve">o encourage </w:t>
      </w:r>
      <w:r w:rsidR="006B203A">
        <w:t>R</w:t>
      </w:r>
      <w:r w:rsidR="00C42240">
        <w:t>eferrals</w:t>
      </w:r>
      <w:r w:rsidR="008A2408">
        <w:t>?</w:t>
      </w:r>
    </w:p>
    <w:p w14:paraId="63395A89" w14:textId="1DC13C22" w:rsidR="00BC3A1A" w:rsidRDefault="00BC3A1A" w:rsidP="002C63AC">
      <w:pPr>
        <w:spacing w:before="100" w:beforeAutospacing="1" w:after="100" w:afterAutospacing="1"/>
        <w:jc w:val="both"/>
        <w:rPr>
          <w:lang w:eastAsia="en-AU"/>
        </w:rPr>
      </w:pPr>
      <w:r w:rsidRPr="00BC3A1A">
        <w:rPr>
          <w:lang w:eastAsia="en-AU"/>
        </w:rPr>
        <w:t xml:space="preserve">As with all complementary employment services programs, the </w:t>
      </w:r>
      <w:r w:rsidR="00531BBE">
        <w:rPr>
          <w:lang w:eastAsia="en-AU"/>
        </w:rPr>
        <w:t>d</w:t>
      </w:r>
      <w:r w:rsidRPr="00BC3A1A">
        <w:rPr>
          <w:lang w:eastAsia="en-AU"/>
        </w:rPr>
        <w:t xml:space="preserve">epartment will ensure </w:t>
      </w:r>
      <w:r w:rsidR="000A4604">
        <w:rPr>
          <w:lang w:eastAsia="en-AU"/>
        </w:rPr>
        <w:t xml:space="preserve">jobactive </w:t>
      </w:r>
      <w:r w:rsidR="00531BBE">
        <w:rPr>
          <w:lang w:eastAsia="en-AU"/>
        </w:rPr>
        <w:t>p</w:t>
      </w:r>
      <w:r w:rsidR="00C42240">
        <w:rPr>
          <w:lang w:eastAsia="en-AU"/>
        </w:rPr>
        <w:t>roviders</w:t>
      </w:r>
      <w:r w:rsidRPr="00BC3A1A">
        <w:rPr>
          <w:lang w:eastAsia="en-AU"/>
        </w:rPr>
        <w:t xml:space="preserve"> are aware of the program and the benefits of </w:t>
      </w:r>
      <w:r w:rsidR="006B203A">
        <w:rPr>
          <w:lang w:eastAsia="en-AU"/>
        </w:rPr>
        <w:t>R</w:t>
      </w:r>
      <w:r w:rsidRPr="00BC3A1A">
        <w:rPr>
          <w:lang w:eastAsia="en-AU"/>
        </w:rPr>
        <w:t xml:space="preserve">eferrals for their job seekers. CTA </w:t>
      </w:r>
      <w:r w:rsidR="005721C6">
        <w:rPr>
          <w:lang w:eastAsia="en-AU"/>
        </w:rPr>
        <w:t>P</w:t>
      </w:r>
      <w:r w:rsidRPr="00BC3A1A">
        <w:rPr>
          <w:lang w:eastAsia="en-AU"/>
        </w:rPr>
        <w:t>roviders are also</w:t>
      </w:r>
      <w:r w:rsidR="000A4604">
        <w:rPr>
          <w:lang w:eastAsia="en-AU"/>
        </w:rPr>
        <w:t xml:space="preserve"> required, under the Deed,</w:t>
      </w:r>
      <w:r w:rsidRPr="00BC3A1A">
        <w:rPr>
          <w:lang w:eastAsia="en-AU"/>
        </w:rPr>
        <w:t xml:space="preserve"> to promote their services to both </w:t>
      </w:r>
      <w:r w:rsidR="000A4604">
        <w:rPr>
          <w:lang w:eastAsia="en-AU"/>
        </w:rPr>
        <w:t xml:space="preserve">jobactive </w:t>
      </w:r>
      <w:r w:rsidR="00531BBE">
        <w:rPr>
          <w:lang w:eastAsia="en-AU"/>
        </w:rPr>
        <w:t>p</w:t>
      </w:r>
      <w:r w:rsidR="00C42240">
        <w:rPr>
          <w:lang w:eastAsia="en-AU"/>
        </w:rPr>
        <w:t>roviders</w:t>
      </w:r>
      <w:r w:rsidRPr="00BC3A1A">
        <w:rPr>
          <w:lang w:eastAsia="en-AU"/>
        </w:rPr>
        <w:t xml:space="preserve"> and job seekers in their region.</w:t>
      </w:r>
    </w:p>
    <w:p w14:paraId="5DAAA15C" w14:textId="64895FC3" w:rsidR="00446472" w:rsidRDefault="001B7C9B" w:rsidP="002C63AC">
      <w:pPr>
        <w:spacing w:before="100" w:beforeAutospacing="1" w:after="100" w:afterAutospacing="1"/>
        <w:jc w:val="both"/>
      </w:pPr>
      <w:r w:rsidRPr="002B5C0C">
        <w:rPr>
          <w:i/>
          <w:lang w:eastAsia="en-AU"/>
        </w:rPr>
        <w:t xml:space="preserve">Reference: Draft Deed </w:t>
      </w:r>
      <w:r>
        <w:rPr>
          <w:i/>
          <w:lang w:eastAsia="en-AU"/>
        </w:rPr>
        <w:t xml:space="preserve">Clause </w:t>
      </w:r>
      <w:r w:rsidRPr="002B5C0C">
        <w:rPr>
          <w:i/>
          <w:lang w:eastAsia="en-AU"/>
        </w:rPr>
        <w:t>3</w:t>
      </w:r>
      <w:r>
        <w:rPr>
          <w:i/>
          <w:lang w:eastAsia="en-AU"/>
        </w:rPr>
        <w:t>2</w:t>
      </w:r>
      <w:r w:rsidRPr="002B5C0C">
        <w:rPr>
          <w:i/>
          <w:lang w:eastAsia="en-AU"/>
        </w:rPr>
        <w:t>.2</w:t>
      </w:r>
    </w:p>
    <w:p w14:paraId="7B678422" w14:textId="441917B9" w:rsidR="008C63E5" w:rsidRDefault="008C63E5" w:rsidP="002C63AC">
      <w:pPr>
        <w:pStyle w:val="Heading2"/>
        <w:spacing w:before="100" w:beforeAutospacing="1" w:after="100" w:afterAutospacing="1"/>
        <w:ind w:left="567" w:hanging="567"/>
        <w:jc w:val="both"/>
        <w:rPr>
          <w:i/>
          <w:sz w:val="18"/>
        </w:rPr>
      </w:pPr>
      <w:r w:rsidRPr="008C63E5">
        <w:t xml:space="preserve">Is there a requirement on the </w:t>
      </w:r>
      <w:proofErr w:type="gramStart"/>
      <w:r w:rsidRPr="008C63E5">
        <w:t>period of time</w:t>
      </w:r>
      <w:proofErr w:type="gramEnd"/>
      <w:r w:rsidRPr="008C63E5">
        <w:t xml:space="preserve"> a job seeker must be registered with </w:t>
      </w:r>
      <w:r w:rsidR="00597565">
        <w:t>a jobactive</w:t>
      </w:r>
      <w:r w:rsidR="00C42240">
        <w:t xml:space="preserve"> </w:t>
      </w:r>
      <w:r w:rsidR="00531BBE">
        <w:t>p</w:t>
      </w:r>
      <w:r w:rsidR="00C42240">
        <w:t>rovider</w:t>
      </w:r>
      <w:r w:rsidRPr="008C63E5" w:rsidDel="00C42240">
        <w:t xml:space="preserve"> </w:t>
      </w:r>
      <w:r w:rsidRPr="008C63E5">
        <w:t xml:space="preserve">before becoming </w:t>
      </w:r>
      <w:r w:rsidR="008A2408">
        <w:t>eligible to participate in CTA?</w:t>
      </w:r>
    </w:p>
    <w:p w14:paraId="36D5266E" w14:textId="5B5D6E97" w:rsidR="00F812AE" w:rsidRDefault="00BE54B1" w:rsidP="002C63AC">
      <w:pPr>
        <w:spacing w:before="100" w:beforeAutospacing="1" w:after="100" w:afterAutospacing="1"/>
        <w:jc w:val="both"/>
        <w:rPr>
          <w:lang w:eastAsia="en-AU"/>
        </w:rPr>
      </w:pPr>
      <w:r>
        <w:rPr>
          <w:lang w:eastAsia="en-AU"/>
        </w:rPr>
        <w:t>No.</w:t>
      </w:r>
    </w:p>
    <w:p w14:paraId="0FF89599" w14:textId="6206F09B" w:rsidR="00B07E4F" w:rsidRDefault="008C63E5" w:rsidP="002C63AC">
      <w:pPr>
        <w:spacing w:before="100" w:beforeAutospacing="1" w:after="100" w:afterAutospacing="1"/>
        <w:jc w:val="both"/>
        <w:rPr>
          <w:lang w:eastAsia="en-AU"/>
        </w:rPr>
      </w:pPr>
      <w:r w:rsidRPr="008C63E5">
        <w:rPr>
          <w:lang w:eastAsia="en-AU"/>
        </w:rPr>
        <w:t xml:space="preserve">There is no minimum period that a </w:t>
      </w:r>
      <w:r w:rsidR="00922538">
        <w:rPr>
          <w:lang w:eastAsia="en-AU"/>
        </w:rPr>
        <w:t>job seeker</w:t>
      </w:r>
      <w:r w:rsidRPr="008C63E5">
        <w:rPr>
          <w:lang w:eastAsia="en-AU"/>
        </w:rPr>
        <w:t xml:space="preserve"> needs to </w:t>
      </w:r>
      <w:proofErr w:type="gramStart"/>
      <w:r w:rsidRPr="008C63E5">
        <w:rPr>
          <w:lang w:eastAsia="en-AU"/>
        </w:rPr>
        <w:t>be registered</w:t>
      </w:r>
      <w:proofErr w:type="gramEnd"/>
      <w:r w:rsidRPr="008C63E5">
        <w:rPr>
          <w:lang w:eastAsia="en-AU"/>
        </w:rPr>
        <w:t xml:space="preserve"> with a</w:t>
      </w:r>
      <w:r w:rsidR="00597565">
        <w:rPr>
          <w:lang w:eastAsia="en-AU"/>
        </w:rPr>
        <w:t xml:space="preserve"> jobactive </w:t>
      </w:r>
      <w:r w:rsidR="00531BBE">
        <w:rPr>
          <w:lang w:eastAsia="en-AU"/>
        </w:rPr>
        <w:t>p</w:t>
      </w:r>
      <w:r w:rsidR="006B2E40">
        <w:rPr>
          <w:lang w:eastAsia="en-AU"/>
        </w:rPr>
        <w:t>rovider</w:t>
      </w:r>
      <w:r w:rsidRPr="008C63E5">
        <w:rPr>
          <w:lang w:eastAsia="en-AU"/>
        </w:rPr>
        <w:t xml:space="preserve"> be</w:t>
      </w:r>
      <w:r w:rsidR="00BE54B1">
        <w:rPr>
          <w:lang w:eastAsia="en-AU"/>
        </w:rPr>
        <w:t>fore they are eligible for CTA.</w:t>
      </w:r>
    </w:p>
    <w:p w14:paraId="0AC1DE2C" w14:textId="458052E0" w:rsidR="002C63AC" w:rsidRDefault="00E06C7F" w:rsidP="002C63AC">
      <w:pPr>
        <w:spacing w:before="100" w:beforeAutospacing="1" w:after="100" w:afterAutospacing="1"/>
        <w:jc w:val="both"/>
      </w:pPr>
      <w:r>
        <w:rPr>
          <w:i/>
        </w:rPr>
        <w:t>R</w:t>
      </w:r>
      <w:r w:rsidRPr="00B002D7">
        <w:rPr>
          <w:i/>
        </w:rPr>
        <w:t xml:space="preserve">eference: </w:t>
      </w:r>
      <w:r>
        <w:rPr>
          <w:i/>
        </w:rPr>
        <w:t>RFT</w:t>
      </w:r>
      <w:r w:rsidRPr="00B002D7">
        <w:rPr>
          <w:i/>
        </w:rPr>
        <w:t xml:space="preserve"> Section 2.4—Participant Eligibility and Characteristics</w:t>
      </w:r>
    </w:p>
    <w:p w14:paraId="66F83B82" w14:textId="77777777" w:rsidR="002C63AC" w:rsidRDefault="002C63AC">
      <w:pPr>
        <w:spacing w:after="0" w:line="240" w:lineRule="auto"/>
      </w:pPr>
      <w:r>
        <w:br w:type="page"/>
      </w:r>
    </w:p>
    <w:p w14:paraId="69D0B36F" w14:textId="012E6F3D" w:rsidR="009465A2" w:rsidRDefault="009465A2" w:rsidP="002C63AC">
      <w:pPr>
        <w:pStyle w:val="Heading2"/>
        <w:spacing w:before="100" w:beforeAutospacing="1" w:after="100" w:afterAutospacing="1"/>
        <w:ind w:left="567" w:hanging="567"/>
        <w:jc w:val="both"/>
      </w:pPr>
      <w:proofErr w:type="gramStart"/>
      <w:r>
        <w:t>Can a job seeker not in receipt of an income support payment be referred</w:t>
      </w:r>
      <w:proofErr w:type="gramEnd"/>
      <w:r>
        <w:t xml:space="preserve"> to CTA?</w:t>
      </w:r>
    </w:p>
    <w:p w14:paraId="592E7B22" w14:textId="20EB24FF" w:rsidR="00F812AE" w:rsidRDefault="00BE54B1" w:rsidP="002C63AC">
      <w:pPr>
        <w:spacing w:before="100" w:beforeAutospacing="1" w:after="100" w:afterAutospacing="1"/>
        <w:jc w:val="both"/>
        <w:rPr>
          <w:rFonts w:ascii="Calibri" w:hAnsi="Calibri" w:cs="Calibri"/>
          <w:lang w:val="en-US"/>
        </w:rPr>
      </w:pPr>
      <w:r>
        <w:rPr>
          <w:rFonts w:ascii="Calibri" w:hAnsi="Calibri" w:cs="Calibri"/>
          <w:lang w:val="en-US"/>
        </w:rPr>
        <w:t>Yes.</w:t>
      </w:r>
    </w:p>
    <w:p w14:paraId="789825B2" w14:textId="04BCA61A" w:rsidR="009465A2" w:rsidRDefault="00554E46" w:rsidP="002C63AC">
      <w:pPr>
        <w:spacing w:before="100" w:beforeAutospacing="1" w:after="100" w:afterAutospacing="1"/>
        <w:jc w:val="both"/>
        <w:rPr>
          <w:rFonts w:ascii="Calibri" w:hAnsi="Calibri" w:cs="Calibri"/>
        </w:rPr>
      </w:pPr>
      <w:r>
        <w:rPr>
          <w:rFonts w:ascii="Calibri" w:hAnsi="Calibri" w:cs="Calibri"/>
        </w:rPr>
        <w:t>Job seekers</w:t>
      </w:r>
      <w:r w:rsidR="00E52E25">
        <w:rPr>
          <w:rFonts w:ascii="Calibri" w:hAnsi="Calibri" w:cs="Calibri"/>
        </w:rPr>
        <w:t xml:space="preserve"> registering for jobactive services either directly or through Department of Human Services or Centrelink,</w:t>
      </w:r>
      <w:r w:rsidR="00B61EA1">
        <w:rPr>
          <w:rFonts w:ascii="Calibri" w:hAnsi="Calibri" w:cs="Calibri"/>
        </w:rPr>
        <w:t xml:space="preserve"> a</w:t>
      </w:r>
      <w:r w:rsidR="00E52E25">
        <w:rPr>
          <w:rFonts w:ascii="Calibri" w:hAnsi="Calibri" w:cs="Calibri"/>
        </w:rPr>
        <w:t xml:space="preserve">s a Volunteer (Stream A) can be </w:t>
      </w:r>
      <w:r w:rsidR="00B61EA1">
        <w:rPr>
          <w:rFonts w:ascii="Calibri" w:hAnsi="Calibri" w:cs="Calibri"/>
        </w:rPr>
        <w:t>referred</w:t>
      </w:r>
      <w:r w:rsidR="00E52E25">
        <w:rPr>
          <w:rFonts w:ascii="Calibri" w:hAnsi="Calibri" w:cs="Calibri"/>
        </w:rPr>
        <w:t xml:space="preserve"> to CTA. </w:t>
      </w:r>
      <w:proofErr w:type="gramStart"/>
      <w:r w:rsidR="009465A2" w:rsidRPr="000D17B1">
        <w:rPr>
          <w:rFonts w:ascii="Calibri" w:hAnsi="Calibri" w:cs="Calibri"/>
        </w:rPr>
        <w:t>jobactive</w:t>
      </w:r>
      <w:proofErr w:type="gramEnd"/>
      <w:r w:rsidR="009465A2" w:rsidRPr="000D17B1">
        <w:rPr>
          <w:rFonts w:ascii="Calibri" w:hAnsi="Calibri" w:cs="Calibri"/>
        </w:rPr>
        <w:t xml:space="preserve"> </w:t>
      </w:r>
      <w:r>
        <w:rPr>
          <w:rFonts w:ascii="Calibri" w:hAnsi="Calibri" w:cs="Calibri"/>
        </w:rPr>
        <w:t>p</w:t>
      </w:r>
      <w:r w:rsidR="009465A2" w:rsidRPr="000D17B1">
        <w:rPr>
          <w:rFonts w:ascii="Calibri" w:hAnsi="Calibri" w:cs="Calibri"/>
        </w:rPr>
        <w:t xml:space="preserve">roviders can access the Employment Fund to refer </w:t>
      </w:r>
      <w:r w:rsidR="00E52E25">
        <w:rPr>
          <w:rFonts w:ascii="Calibri" w:hAnsi="Calibri" w:cs="Calibri"/>
        </w:rPr>
        <w:t>Volunteer</w:t>
      </w:r>
      <w:r w:rsidR="009465A2" w:rsidRPr="000D17B1">
        <w:rPr>
          <w:rFonts w:ascii="Calibri" w:hAnsi="Calibri" w:cs="Calibri"/>
        </w:rPr>
        <w:t xml:space="preserve"> job seekers </w:t>
      </w:r>
      <w:r w:rsidR="00BE54B1">
        <w:rPr>
          <w:rFonts w:ascii="Calibri" w:hAnsi="Calibri" w:cs="Calibri"/>
        </w:rPr>
        <w:t>to CTA.</w:t>
      </w:r>
    </w:p>
    <w:p w14:paraId="23DCAEB9" w14:textId="732FB1E4" w:rsidR="00B40CB2" w:rsidRDefault="00B40CB2" w:rsidP="002C63AC">
      <w:pPr>
        <w:spacing w:before="100" w:beforeAutospacing="1" w:after="100" w:afterAutospacing="1"/>
        <w:jc w:val="both"/>
        <w:rPr>
          <w:rFonts w:ascii="Calibri" w:hAnsi="Calibri" w:cs="Calibri"/>
          <w:i/>
        </w:rPr>
      </w:pPr>
      <w:r w:rsidRPr="00B40CB2">
        <w:rPr>
          <w:rFonts w:ascii="Calibri" w:hAnsi="Calibri" w:cs="Calibri"/>
          <w:i/>
        </w:rPr>
        <w:t>Reference: RFT Section 2.2.1—Key Features of CTA</w:t>
      </w:r>
    </w:p>
    <w:p w14:paraId="08B63F9B" w14:textId="119A5222" w:rsidR="008A7536" w:rsidRDefault="008A7536" w:rsidP="008A7536">
      <w:pPr>
        <w:pStyle w:val="Heading2"/>
        <w:spacing w:before="100" w:beforeAutospacing="1" w:after="100" w:afterAutospacing="1"/>
        <w:ind w:left="567" w:hanging="567"/>
        <w:jc w:val="both"/>
      </w:pPr>
      <w:r>
        <w:t>Would the job seekers period of service be paused once the job seeker commences the CTA program?</w:t>
      </w:r>
    </w:p>
    <w:p w14:paraId="07C8623B" w14:textId="2C900BA8" w:rsidR="008A7536" w:rsidRDefault="00BE54B1" w:rsidP="002C63AC">
      <w:pPr>
        <w:spacing w:before="100" w:beforeAutospacing="1" w:after="100" w:afterAutospacing="1"/>
        <w:jc w:val="both"/>
        <w:rPr>
          <w:rFonts w:ascii="Calibri" w:hAnsi="Calibri" w:cs="Calibri"/>
        </w:rPr>
      </w:pPr>
      <w:r>
        <w:rPr>
          <w:rFonts w:ascii="Calibri" w:hAnsi="Calibri" w:cs="Calibri"/>
        </w:rPr>
        <w:t>No.</w:t>
      </w:r>
    </w:p>
    <w:p w14:paraId="37ACE88B" w14:textId="2182C605" w:rsidR="008A7536" w:rsidRPr="000D17B1" w:rsidRDefault="008A7536" w:rsidP="002C63AC">
      <w:pPr>
        <w:spacing w:before="100" w:beforeAutospacing="1" w:after="100" w:afterAutospacing="1"/>
        <w:jc w:val="both"/>
        <w:rPr>
          <w:rFonts w:ascii="Calibri" w:hAnsi="Calibri" w:cs="Calibri"/>
        </w:rPr>
      </w:pPr>
      <w:r>
        <w:rPr>
          <w:rFonts w:ascii="Calibri" w:hAnsi="Calibri" w:cs="Calibri"/>
        </w:rPr>
        <w:t xml:space="preserve">Participation in CTA will not </w:t>
      </w:r>
      <w:proofErr w:type="gramStart"/>
      <w:r>
        <w:rPr>
          <w:rFonts w:ascii="Calibri" w:hAnsi="Calibri" w:cs="Calibri"/>
        </w:rPr>
        <w:t>impact</w:t>
      </w:r>
      <w:proofErr w:type="gramEnd"/>
      <w:r>
        <w:rPr>
          <w:rFonts w:ascii="Calibri" w:hAnsi="Calibri" w:cs="Calibri"/>
        </w:rPr>
        <w:t xml:space="preserve"> a job seekers Period of Service. As such, jobactive providers must continue to service the job seek</w:t>
      </w:r>
      <w:r w:rsidR="00BE54B1">
        <w:rPr>
          <w:rFonts w:ascii="Calibri" w:hAnsi="Calibri" w:cs="Calibri"/>
        </w:rPr>
        <w:t>er during participation in CTA.</w:t>
      </w:r>
    </w:p>
    <w:p w14:paraId="19FCA609" w14:textId="0F98B59A" w:rsidR="006C0B0B" w:rsidRPr="00A67CF9" w:rsidRDefault="006116C2" w:rsidP="002C63AC">
      <w:pPr>
        <w:pStyle w:val="Heading1"/>
        <w:spacing w:before="240" w:after="0"/>
        <w:jc w:val="both"/>
      </w:pPr>
      <w:bookmarkStart w:id="23" w:name="_Toc531258015"/>
      <w:bookmarkStart w:id="24" w:name="_Toc529799548"/>
      <w:bookmarkStart w:id="25" w:name="_Toc532209093"/>
      <w:bookmarkEnd w:id="23"/>
      <w:bookmarkEnd w:id="24"/>
      <w:r>
        <w:t>Delivery of CTA</w:t>
      </w:r>
      <w:bookmarkEnd w:id="25"/>
    </w:p>
    <w:p w14:paraId="73A78BFD" w14:textId="45941F6C" w:rsidR="006116C2" w:rsidRPr="00B002D7" w:rsidRDefault="006116C2" w:rsidP="002C63AC">
      <w:pPr>
        <w:pStyle w:val="Heading2"/>
        <w:spacing w:before="100" w:beforeAutospacing="1" w:after="0"/>
        <w:ind w:left="567" w:hanging="567"/>
        <w:jc w:val="both"/>
      </w:pPr>
      <w:r>
        <w:t xml:space="preserve">What </w:t>
      </w:r>
      <w:r w:rsidRPr="00B002D7">
        <w:t xml:space="preserve">qualifications, qualities or experience </w:t>
      </w:r>
      <w:r w:rsidR="007E06DA">
        <w:t>are</w:t>
      </w:r>
      <w:r w:rsidRPr="00B002D7">
        <w:t xml:space="preserve"> required of the </w:t>
      </w:r>
      <w:r w:rsidR="00A62953">
        <w:t>CTA Coordinator</w:t>
      </w:r>
      <w:r w:rsidRPr="00B002D7">
        <w:t xml:space="preserve">? </w:t>
      </w:r>
    </w:p>
    <w:p w14:paraId="5661EE63" w14:textId="34FD2A98" w:rsidR="00E856B2" w:rsidRDefault="006116C2" w:rsidP="002C63AC">
      <w:pPr>
        <w:spacing w:before="100" w:beforeAutospacing="1" w:after="0"/>
        <w:jc w:val="both"/>
      </w:pPr>
      <w:r w:rsidRPr="00B002D7">
        <w:t xml:space="preserve">The person engaged by the CTA </w:t>
      </w:r>
      <w:r w:rsidR="005721C6">
        <w:t>P</w:t>
      </w:r>
      <w:r w:rsidRPr="00B002D7">
        <w:t xml:space="preserve">rovider </w:t>
      </w:r>
      <w:r w:rsidR="007E06DA">
        <w:t>in the role of CTA Coordinator will be a person who</w:t>
      </w:r>
      <w:r w:rsidR="006B2E40">
        <w:t xml:space="preserve"> h</w:t>
      </w:r>
      <w:r w:rsidR="007E06DA">
        <w:t>olds</w:t>
      </w:r>
      <w:r w:rsidR="00CD6C21">
        <w:t xml:space="preserve"> an endorsed</w:t>
      </w:r>
      <w:r w:rsidR="00762FD0">
        <w:t xml:space="preserve"> </w:t>
      </w:r>
      <w:r w:rsidR="007E06DA">
        <w:t xml:space="preserve">qualification in professional career development, </w:t>
      </w:r>
      <w:r w:rsidR="00837629">
        <w:t xml:space="preserve">or </w:t>
      </w:r>
      <w:r w:rsidR="00EA32E1">
        <w:t xml:space="preserve">who </w:t>
      </w:r>
      <w:r w:rsidR="00E856B2">
        <w:t>is a member of a Career Industry Council of Australia (CICA)</w:t>
      </w:r>
      <w:r w:rsidR="00837629">
        <w:t xml:space="preserve"> </w:t>
      </w:r>
      <w:r w:rsidR="00E06C7F">
        <w:t>Member Association</w:t>
      </w:r>
      <w:r w:rsidR="006B2E40">
        <w:t>.</w:t>
      </w:r>
    </w:p>
    <w:p w14:paraId="590BFB9A" w14:textId="77777777" w:rsidR="006901E4" w:rsidRPr="00B002D7" w:rsidRDefault="006901E4" w:rsidP="002C63AC">
      <w:pPr>
        <w:spacing w:before="100" w:beforeAutospacing="1" w:after="0"/>
        <w:jc w:val="both"/>
        <w:rPr>
          <w:i/>
        </w:rPr>
      </w:pPr>
      <w:r w:rsidRPr="006901E4">
        <w:rPr>
          <w:i/>
          <w:lang w:eastAsia="en-AU"/>
        </w:rPr>
        <w:t>References</w:t>
      </w:r>
      <w:r w:rsidRPr="00B002D7">
        <w:rPr>
          <w:i/>
        </w:rPr>
        <w:t xml:space="preserve">: </w:t>
      </w:r>
      <w:r>
        <w:rPr>
          <w:i/>
        </w:rPr>
        <w:t>RFT</w:t>
      </w:r>
      <w:r w:rsidRPr="00B002D7">
        <w:rPr>
          <w:i/>
        </w:rPr>
        <w:t xml:space="preserve"> Section 2.</w:t>
      </w:r>
      <w:r>
        <w:rPr>
          <w:i/>
        </w:rPr>
        <w:t>3.2.2 – General Delivery Requirements</w:t>
      </w:r>
    </w:p>
    <w:p w14:paraId="324120F6" w14:textId="24EFBFAB" w:rsidR="006901E4" w:rsidRPr="00BE54B1" w:rsidRDefault="006901E4" w:rsidP="00BE54B1">
      <w:pPr>
        <w:pStyle w:val="Heading3"/>
      </w:pPr>
      <w:r w:rsidRPr="00BE54B1">
        <w:t>Guide to</w:t>
      </w:r>
      <w:r w:rsidR="008B3EE5" w:rsidRPr="00BE54B1">
        <w:t xml:space="preserve"> th</w:t>
      </w:r>
      <w:bookmarkStart w:id="26" w:name="_GoBack"/>
      <w:bookmarkEnd w:id="26"/>
      <w:r w:rsidR="008B3EE5" w:rsidRPr="00BE54B1">
        <w:t>e</w:t>
      </w:r>
      <w:r w:rsidRPr="00BE54B1">
        <w:t xml:space="preserve"> Career Industry Council of Australia (CICA)</w:t>
      </w:r>
    </w:p>
    <w:p w14:paraId="190E9170" w14:textId="7C39663B" w:rsidR="00817170" w:rsidRDefault="00F64601" w:rsidP="002C63AC">
      <w:pPr>
        <w:spacing w:before="100" w:beforeAutospacing="1" w:after="0"/>
        <w:jc w:val="both"/>
        <w:rPr>
          <w:rStyle w:val="Hyperlink"/>
          <w:bCs/>
          <w:lang w:val="en-US"/>
        </w:rPr>
      </w:pPr>
      <w:r>
        <w:t>E</w:t>
      </w:r>
      <w:r w:rsidRPr="00F64601">
        <w:t>ndorsed qualification</w:t>
      </w:r>
      <w:r>
        <w:t>s</w:t>
      </w:r>
      <w:r w:rsidRPr="00F64601">
        <w:t xml:space="preserve"> in professional career development</w:t>
      </w:r>
      <w:r w:rsidRPr="00F64601">
        <w:rPr>
          <w:bCs/>
          <w:lang w:val="en-US"/>
        </w:rPr>
        <w:t xml:space="preserve"> </w:t>
      </w:r>
      <w:proofErr w:type="gramStart"/>
      <w:r>
        <w:rPr>
          <w:bCs/>
          <w:lang w:val="en-US"/>
        </w:rPr>
        <w:t>are governed</w:t>
      </w:r>
      <w:proofErr w:type="gramEnd"/>
      <w:r>
        <w:rPr>
          <w:bCs/>
          <w:lang w:val="en-US"/>
        </w:rPr>
        <w:t xml:space="preserve"> by </w:t>
      </w:r>
      <w:r w:rsidRPr="00F64601">
        <w:rPr>
          <w:bCs/>
          <w:lang w:val="en-US"/>
        </w:rPr>
        <w:t>CICA</w:t>
      </w:r>
      <w:r>
        <w:rPr>
          <w:bCs/>
          <w:lang w:val="en-US"/>
        </w:rPr>
        <w:t xml:space="preserve">. </w:t>
      </w:r>
      <w:r w:rsidR="006901E4">
        <w:rPr>
          <w:bCs/>
          <w:lang w:val="en-US"/>
        </w:rPr>
        <w:t xml:space="preserve">CICA </w:t>
      </w:r>
      <w:r>
        <w:rPr>
          <w:bCs/>
          <w:lang w:val="en-US"/>
        </w:rPr>
        <w:t xml:space="preserve">has </w:t>
      </w:r>
      <w:r w:rsidRPr="00F64601">
        <w:rPr>
          <w:bCs/>
          <w:lang w:val="en-US"/>
        </w:rPr>
        <w:t xml:space="preserve">endorsed </w:t>
      </w:r>
      <w:r>
        <w:rPr>
          <w:bCs/>
          <w:lang w:val="en-US"/>
        </w:rPr>
        <w:t xml:space="preserve">a number of </w:t>
      </w:r>
      <w:r w:rsidRPr="00F64601">
        <w:rPr>
          <w:bCs/>
          <w:lang w:val="en-US"/>
        </w:rPr>
        <w:t xml:space="preserve">programs </w:t>
      </w:r>
      <w:r>
        <w:rPr>
          <w:bCs/>
          <w:lang w:val="en-US"/>
        </w:rPr>
        <w:t xml:space="preserve">at various institutions that </w:t>
      </w:r>
      <w:r w:rsidRPr="00F64601">
        <w:rPr>
          <w:bCs/>
          <w:lang w:val="en-US"/>
        </w:rPr>
        <w:t>meet the Professional Standards for Australian Career Practitioners</w:t>
      </w:r>
      <w:r w:rsidR="005A4AE4">
        <w:rPr>
          <w:bCs/>
          <w:lang w:val="en-US"/>
        </w:rPr>
        <w:t xml:space="preserve">. For more </w:t>
      </w:r>
      <w:proofErr w:type="gramStart"/>
      <w:r w:rsidR="005A4AE4">
        <w:rPr>
          <w:bCs/>
          <w:lang w:val="en-US"/>
        </w:rPr>
        <w:t>information</w:t>
      </w:r>
      <w:proofErr w:type="gramEnd"/>
      <w:r w:rsidR="005A4AE4">
        <w:rPr>
          <w:bCs/>
          <w:lang w:val="en-US"/>
        </w:rPr>
        <w:t xml:space="preserve"> visit </w:t>
      </w:r>
      <w:hyperlink r:id="rId19" w:history="1">
        <w:r w:rsidR="005A4AE4" w:rsidRPr="00BE54B1">
          <w:rPr>
            <w:rStyle w:val="Hyperlink"/>
            <w:bCs/>
            <w:lang w:val="en-US"/>
          </w:rPr>
          <w:t>their website</w:t>
        </w:r>
      </w:hyperlink>
      <w:r w:rsidR="005A4AE4">
        <w:rPr>
          <w:bCs/>
          <w:lang w:val="en-US"/>
        </w:rPr>
        <w:t xml:space="preserve"> </w:t>
      </w:r>
      <w:r w:rsidR="00BE54B1">
        <w:rPr>
          <w:bCs/>
          <w:lang w:val="en-US"/>
        </w:rPr>
        <w:t>(</w:t>
      </w:r>
      <w:r w:rsidR="005A4AE4" w:rsidRPr="00BE54B1">
        <w:rPr>
          <w:rStyle w:val="Hyperlink"/>
          <w:bCs/>
          <w:color w:val="auto"/>
          <w:u w:val="none"/>
          <w:lang w:val="en-US"/>
        </w:rPr>
        <w:t>https://cica.org.au/</w:t>
      </w:r>
      <w:r w:rsidR="00BE54B1">
        <w:rPr>
          <w:rStyle w:val="Hyperlink"/>
          <w:bCs/>
          <w:color w:val="auto"/>
          <w:u w:val="none"/>
          <w:lang w:val="en-US"/>
        </w:rPr>
        <w:t>)</w:t>
      </w:r>
      <w:r w:rsidR="006C22ED" w:rsidRPr="00BE54B1">
        <w:rPr>
          <w:rStyle w:val="Hyperlink"/>
          <w:bCs/>
          <w:color w:val="auto"/>
          <w:u w:val="none"/>
          <w:lang w:val="en-US"/>
        </w:rPr>
        <w:t>.</w:t>
      </w:r>
    </w:p>
    <w:p w14:paraId="187C0EEC" w14:textId="10D69D7F" w:rsidR="006C22ED" w:rsidRDefault="006C22ED" w:rsidP="002C63AC">
      <w:pPr>
        <w:spacing w:before="100" w:beforeAutospacing="1" w:after="0"/>
        <w:jc w:val="both"/>
        <w:rPr>
          <w:rFonts w:ascii="Calibri" w:hAnsi="Calibri" w:cs="Calibri"/>
        </w:rPr>
      </w:pPr>
      <w:proofErr w:type="gramStart"/>
      <w:r>
        <w:t>As a guide,</w:t>
      </w:r>
      <w:proofErr w:type="gramEnd"/>
      <w:r>
        <w:t xml:space="preserve"> </w:t>
      </w:r>
      <w:proofErr w:type="gramStart"/>
      <w:r>
        <w:t>the following list</w:t>
      </w:r>
      <w:proofErr w:type="gramEnd"/>
      <w:r>
        <w:t xml:space="preserve"> provides current examples of </w:t>
      </w:r>
      <w:r w:rsidR="005E1524">
        <w:t>q</w:t>
      </w:r>
      <w:r w:rsidR="00EB5089">
        <w:t>ualifications</w:t>
      </w:r>
      <w:r>
        <w:t xml:space="preserve"> </w:t>
      </w:r>
      <w:r w:rsidR="00AA7875">
        <w:t xml:space="preserve">that </w:t>
      </w:r>
      <w:r w:rsidR="005E1524">
        <w:t xml:space="preserve">meet </w:t>
      </w:r>
      <w:r>
        <w:t>the Professional Standards for A</w:t>
      </w:r>
      <w:r w:rsidR="00BE54B1">
        <w:t>ustralian Career Practitioners:</w:t>
      </w:r>
    </w:p>
    <w:p w14:paraId="6A554315" w14:textId="77777777" w:rsidR="006C22ED" w:rsidRDefault="006C22ED" w:rsidP="005E04B8">
      <w:pPr>
        <w:pStyle w:val="ListParagraph"/>
        <w:numPr>
          <w:ilvl w:val="0"/>
          <w:numId w:val="15"/>
        </w:numPr>
        <w:spacing w:before="100" w:beforeAutospacing="1" w:after="0" w:line="276" w:lineRule="auto"/>
        <w:contextualSpacing w:val="0"/>
        <w:jc w:val="both"/>
      </w:pPr>
      <w:r>
        <w:t>Postgraduate Certificate in Education</w:t>
      </w:r>
    </w:p>
    <w:p w14:paraId="63FB642E" w14:textId="77777777" w:rsidR="006C22ED" w:rsidRDefault="006C22ED" w:rsidP="005E04B8">
      <w:pPr>
        <w:pStyle w:val="ListParagraph"/>
        <w:numPr>
          <w:ilvl w:val="0"/>
          <w:numId w:val="15"/>
        </w:numPr>
        <w:spacing w:before="100" w:beforeAutospacing="1" w:after="0" w:line="276" w:lineRule="auto"/>
        <w:contextualSpacing w:val="0"/>
        <w:jc w:val="both"/>
      </w:pPr>
      <w:r>
        <w:t xml:space="preserve">Master of Education  </w:t>
      </w:r>
    </w:p>
    <w:p w14:paraId="3E3F1399" w14:textId="77777777" w:rsidR="006C22ED" w:rsidRDefault="006C22ED" w:rsidP="005E04B8">
      <w:pPr>
        <w:pStyle w:val="ListParagraph"/>
        <w:numPr>
          <w:ilvl w:val="0"/>
          <w:numId w:val="15"/>
        </w:numPr>
        <w:spacing w:before="100" w:beforeAutospacing="1" w:after="0" w:line="276" w:lineRule="auto"/>
        <w:contextualSpacing w:val="0"/>
        <w:jc w:val="both"/>
      </w:pPr>
      <w:r>
        <w:t xml:space="preserve">Graduate Certificate of Career Development  </w:t>
      </w:r>
    </w:p>
    <w:p w14:paraId="14DFBB16" w14:textId="77777777" w:rsidR="006C22ED" w:rsidRDefault="006C22ED" w:rsidP="005E04B8">
      <w:pPr>
        <w:pStyle w:val="ListParagraph"/>
        <w:numPr>
          <w:ilvl w:val="0"/>
          <w:numId w:val="15"/>
        </w:numPr>
        <w:spacing w:before="100" w:beforeAutospacing="1" w:after="0" w:line="276" w:lineRule="auto"/>
        <w:contextualSpacing w:val="0"/>
        <w:jc w:val="both"/>
      </w:pPr>
      <w:r>
        <w:t>Postgraduate Certificate in Educational Studies (Career Development)</w:t>
      </w:r>
    </w:p>
    <w:p w14:paraId="6619010C" w14:textId="77777777" w:rsidR="006C22ED" w:rsidRDefault="006C22ED" w:rsidP="005E04B8">
      <w:pPr>
        <w:pStyle w:val="ListParagraph"/>
        <w:numPr>
          <w:ilvl w:val="0"/>
          <w:numId w:val="15"/>
        </w:numPr>
        <w:spacing w:before="100" w:beforeAutospacing="1" w:after="0" w:line="276" w:lineRule="auto"/>
        <w:contextualSpacing w:val="0"/>
        <w:jc w:val="both"/>
      </w:pPr>
      <w:r>
        <w:t xml:space="preserve">Graduate Diploma in Career Education and Development  </w:t>
      </w:r>
    </w:p>
    <w:p w14:paraId="684A2331" w14:textId="77777777" w:rsidR="006C22ED" w:rsidRDefault="006C22ED" w:rsidP="005E04B8">
      <w:pPr>
        <w:pStyle w:val="ListParagraph"/>
        <w:numPr>
          <w:ilvl w:val="0"/>
          <w:numId w:val="15"/>
        </w:numPr>
        <w:spacing w:before="100" w:beforeAutospacing="1" w:after="0" w:line="276" w:lineRule="auto"/>
        <w:contextualSpacing w:val="0"/>
        <w:jc w:val="both"/>
      </w:pPr>
      <w:r>
        <w:t xml:space="preserve">Certificate IV in Career Development  </w:t>
      </w:r>
    </w:p>
    <w:p w14:paraId="7F34F5F9" w14:textId="77777777" w:rsidR="006C22ED" w:rsidRDefault="006C22ED" w:rsidP="005E04B8">
      <w:pPr>
        <w:pStyle w:val="ListParagraph"/>
        <w:numPr>
          <w:ilvl w:val="0"/>
          <w:numId w:val="15"/>
        </w:numPr>
        <w:spacing w:before="100" w:beforeAutospacing="1" w:after="0" w:line="276" w:lineRule="auto"/>
        <w:contextualSpacing w:val="0"/>
        <w:jc w:val="both"/>
      </w:pPr>
      <w:r>
        <w:t>Specialist Diploma in Career Counselling.</w:t>
      </w:r>
    </w:p>
    <w:p w14:paraId="4F3DB5B0" w14:textId="07817A74" w:rsidR="00D219E5" w:rsidRDefault="00817170" w:rsidP="00BE54B1">
      <w:pPr>
        <w:spacing w:before="100" w:beforeAutospacing="1" w:after="240"/>
        <w:jc w:val="both"/>
        <w:rPr>
          <w:rFonts w:ascii="Calibri" w:eastAsia="Calibri" w:hAnsi="Calibri" w:cs="Times New Roman"/>
          <w:bCs/>
          <w:lang w:val="en-US"/>
        </w:rPr>
      </w:pPr>
      <w:proofErr w:type="gramStart"/>
      <w:r>
        <w:rPr>
          <w:rFonts w:ascii="Calibri" w:eastAsia="Calibri" w:hAnsi="Calibri" w:cs="Times New Roman"/>
          <w:bCs/>
          <w:lang w:val="en-US"/>
        </w:rPr>
        <w:t xml:space="preserve">CICA </w:t>
      </w:r>
      <w:r w:rsidRPr="00817170">
        <w:rPr>
          <w:rFonts w:ascii="Calibri" w:eastAsia="Calibri" w:hAnsi="Calibri" w:cs="Times New Roman"/>
          <w:bCs/>
          <w:lang w:val="en-US"/>
        </w:rPr>
        <w:t xml:space="preserve">is comprised of </w:t>
      </w:r>
      <w:r>
        <w:rPr>
          <w:rFonts w:ascii="Calibri" w:eastAsia="Calibri" w:hAnsi="Calibri" w:cs="Times New Roman"/>
          <w:bCs/>
          <w:lang w:val="en-US"/>
        </w:rPr>
        <w:t>ten (</w:t>
      </w:r>
      <w:r w:rsidRPr="00817170">
        <w:rPr>
          <w:rFonts w:ascii="Calibri" w:eastAsia="Calibri" w:hAnsi="Calibri" w:cs="Times New Roman"/>
          <w:bCs/>
          <w:lang w:val="en-US"/>
        </w:rPr>
        <w:t>10</w:t>
      </w:r>
      <w:r>
        <w:rPr>
          <w:rFonts w:ascii="Calibri" w:eastAsia="Calibri" w:hAnsi="Calibri" w:cs="Times New Roman"/>
          <w:bCs/>
          <w:lang w:val="en-US"/>
        </w:rPr>
        <w:t>)</w:t>
      </w:r>
      <w:r w:rsidRPr="00817170">
        <w:rPr>
          <w:rFonts w:ascii="Calibri" w:eastAsia="Calibri" w:hAnsi="Calibri" w:cs="Times New Roman"/>
          <w:bCs/>
          <w:lang w:val="en-US"/>
        </w:rPr>
        <w:t xml:space="preserve"> </w:t>
      </w:r>
      <w:r w:rsidR="00F64601">
        <w:rPr>
          <w:rFonts w:ascii="Calibri" w:eastAsia="Calibri" w:hAnsi="Calibri" w:cs="Times New Roman"/>
          <w:bCs/>
          <w:lang w:val="en-US"/>
        </w:rPr>
        <w:t>m</w:t>
      </w:r>
      <w:r>
        <w:rPr>
          <w:rFonts w:ascii="Calibri" w:eastAsia="Calibri" w:hAnsi="Calibri" w:cs="Times New Roman"/>
          <w:bCs/>
          <w:lang w:val="en-US"/>
        </w:rPr>
        <w:t xml:space="preserve">ember </w:t>
      </w:r>
      <w:r w:rsidR="00F64601">
        <w:rPr>
          <w:rFonts w:ascii="Calibri" w:eastAsia="Calibri" w:hAnsi="Calibri" w:cs="Times New Roman"/>
          <w:bCs/>
          <w:lang w:val="en-US"/>
        </w:rPr>
        <w:t>a</w:t>
      </w:r>
      <w:r w:rsidRPr="00817170">
        <w:rPr>
          <w:rFonts w:ascii="Calibri" w:eastAsia="Calibri" w:hAnsi="Calibri" w:cs="Times New Roman"/>
          <w:bCs/>
          <w:lang w:val="en-US"/>
        </w:rPr>
        <w:t>ssociations</w:t>
      </w:r>
      <w:proofErr w:type="gramEnd"/>
      <w:r>
        <w:rPr>
          <w:rFonts w:ascii="Calibri" w:eastAsia="Calibri" w:hAnsi="Calibri" w:cs="Times New Roman"/>
          <w:bCs/>
          <w:lang w:val="en-US"/>
        </w:rPr>
        <w:t xml:space="preserve">, </w:t>
      </w:r>
      <w:proofErr w:type="gramStart"/>
      <w:r>
        <w:rPr>
          <w:rFonts w:ascii="Calibri" w:eastAsia="Calibri" w:hAnsi="Calibri" w:cs="Times New Roman"/>
          <w:bCs/>
          <w:lang w:val="en-US"/>
        </w:rPr>
        <w:t xml:space="preserve">these are </w:t>
      </w:r>
      <w:r w:rsidR="00F64601">
        <w:rPr>
          <w:rFonts w:ascii="Calibri" w:eastAsia="Calibri" w:hAnsi="Calibri" w:cs="Times New Roman"/>
          <w:bCs/>
          <w:lang w:val="en-US"/>
        </w:rPr>
        <w:t>listed</w:t>
      </w:r>
      <w:r>
        <w:rPr>
          <w:rFonts w:ascii="Calibri" w:eastAsia="Calibri" w:hAnsi="Calibri" w:cs="Times New Roman"/>
          <w:bCs/>
          <w:lang w:val="en-US"/>
        </w:rPr>
        <w:t xml:space="preserve"> below</w:t>
      </w:r>
      <w:proofErr w:type="gramEnd"/>
      <w:r w:rsidR="00BE54B1">
        <w:rPr>
          <w:rFonts w:ascii="Calibri" w:eastAsia="Calibri" w:hAnsi="Calibri" w:cs="Times New Roman"/>
          <w:bCs/>
          <w:lang w:val="en-US"/>
        </w:rPr>
        <w:t>.</w:t>
      </w:r>
    </w:p>
    <w:p w14:paraId="742C2537" w14:textId="6EC323B4" w:rsidR="00817170" w:rsidRPr="006901E4" w:rsidRDefault="00817170" w:rsidP="00D219E5">
      <w:pPr>
        <w:spacing w:after="0"/>
        <w:jc w:val="both"/>
        <w:rPr>
          <w:rFonts w:ascii="Calibri" w:eastAsia="Calibri" w:hAnsi="Calibri" w:cs="Times New Roman"/>
          <w:bCs/>
          <w:lang w:val="en-US"/>
        </w:rPr>
      </w:pPr>
      <w:r w:rsidRPr="006901E4">
        <w:rPr>
          <w:rFonts w:ascii="Calibri" w:eastAsia="Calibri" w:hAnsi="Calibri" w:cs="Times New Roman"/>
          <w:bCs/>
          <w:lang w:val="en-US"/>
        </w:rPr>
        <w:t>National Associations:</w:t>
      </w:r>
    </w:p>
    <w:p w14:paraId="5C9CB494" w14:textId="7F026418" w:rsidR="00817170" w:rsidRPr="00817170" w:rsidRDefault="00817170" w:rsidP="00D219E5">
      <w:pPr>
        <w:numPr>
          <w:ilvl w:val="0"/>
          <w:numId w:val="13"/>
        </w:numPr>
        <w:spacing w:after="0"/>
        <w:ind w:left="714" w:hanging="357"/>
        <w:jc w:val="both"/>
        <w:rPr>
          <w:rFonts w:ascii="Calibri" w:eastAsia="Calibri" w:hAnsi="Calibri" w:cs="Times New Roman"/>
          <w:bCs/>
          <w:lang w:val="en-US"/>
        </w:rPr>
      </w:pPr>
      <w:r w:rsidRPr="00817170">
        <w:rPr>
          <w:rFonts w:ascii="Calibri" w:eastAsia="Calibri" w:hAnsi="Calibri" w:cs="Times New Roman"/>
          <w:bCs/>
          <w:lang w:val="en-US"/>
        </w:rPr>
        <w:t>Australian Centre for Career Education (ACCE)/(CEAV)</w:t>
      </w:r>
    </w:p>
    <w:p w14:paraId="02C86683" w14:textId="51BD79AD" w:rsidR="00817170" w:rsidRPr="00817170" w:rsidRDefault="00817170" w:rsidP="005E04B8">
      <w:pPr>
        <w:numPr>
          <w:ilvl w:val="0"/>
          <w:numId w:val="13"/>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Australian Institute of Sport: Athlete Wellbeing and Engagement (AIS)</w:t>
      </w:r>
    </w:p>
    <w:p w14:paraId="5D1173C6" w14:textId="2BBAC7B4" w:rsidR="00817170" w:rsidRPr="00817170" w:rsidRDefault="00817170" w:rsidP="005E04B8">
      <w:pPr>
        <w:numPr>
          <w:ilvl w:val="0"/>
          <w:numId w:val="13"/>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Career Development Association of Australia Inc</w:t>
      </w:r>
      <w:r w:rsidR="00F656E6">
        <w:rPr>
          <w:rFonts w:ascii="Calibri" w:eastAsia="Calibri" w:hAnsi="Calibri" w:cs="Times New Roman"/>
          <w:bCs/>
          <w:lang w:val="en-US"/>
        </w:rPr>
        <w:t>.</w:t>
      </w:r>
      <w:r w:rsidRPr="00817170">
        <w:rPr>
          <w:rFonts w:ascii="Calibri" w:eastAsia="Calibri" w:hAnsi="Calibri" w:cs="Times New Roman"/>
          <w:bCs/>
          <w:lang w:val="en-US"/>
        </w:rPr>
        <w:t xml:space="preserve"> (CDAA)</w:t>
      </w:r>
    </w:p>
    <w:p w14:paraId="01935804" w14:textId="7323B800" w:rsidR="00817170" w:rsidRPr="00817170" w:rsidRDefault="00817170" w:rsidP="005E04B8">
      <w:pPr>
        <w:numPr>
          <w:ilvl w:val="0"/>
          <w:numId w:val="13"/>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National Association of Graduat</w:t>
      </w:r>
      <w:r w:rsidR="009F44FC">
        <w:rPr>
          <w:rFonts w:ascii="Calibri" w:eastAsia="Calibri" w:hAnsi="Calibri" w:cs="Times New Roman"/>
          <w:bCs/>
          <w:lang w:val="en-US"/>
        </w:rPr>
        <w:t>e Career Advisory Services (</w:t>
      </w:r>
      <w:proofErr w:type="spellStart"/>
      <w:r w:rsidR="009F44FC">
        <w:rPr>
          <w:rFonts w:ascii="Calibri" w:eastAsia="Calibri" w:hAnsi="Calibri" w:cs="Times New Roman"/>
          <w:bCs/>
          <w:lang w:val="en-US"/>
        </w:rPr>
        <w:t>Aus</w:t>
      </w:r>
      <w:proofErr w:type="spellEnd"/>
      <w:r w:rsidRPr="00817170">
        <w:rPr>
          <w:rFonts w:ascii="Calibri" w:eastAsia="Calibri" w:hAnsi="Calibri" w:cs="Times New Roman"/>
          <w:bCs/>
          <w:lang w:val="en-US"/>
        </w:rPr>
        <w:t>) Inc</w:t>
      </w:r>
      <w:r w:rsidR="00F656E6">
        <w:rPr>
          <w:rFonts w:ascii="Calibri" w:eastAsia="Calibri" w:hAnsi="Calibri" w:cs="Times New Roman"/>
          <w:bCs/>
          <w:lang w:val="en-US"/>
        </w:rPr>
        <w:t>.</w:t>
      </w:r>
      <w:r w:rsidRPr="00817170">
        <w:rPr>
          <w:rFonts w:ascii="Calibri" w:eastAsia="Calibri" w:hAnsi="Calibri" w:cs="Times New Roman"/>
          <w:bCs/>
          <w:lang w:val="en-US"/>
        </w:rPr>
        <w:t xml:space="preserve"> (NAGCAS)</w:t>
      </w:r>
    </w:p>
    <w:p w14:paraId="7395EA47" w14:textId="74E4C2DD" w:rsidR="00D219E5" w:rsidRPr="00BE54B1" w:rsidRDefault="00817170" w:rsidP="00D219E5">
      <w:pPr>
        <w:numPr>
          <w:ilvl w:val="0"/>
          <w:numId w:val="13"/>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Rehabilitation Counselling Association of Australasia Inc</w:t>
      </w:r>
      <w:r w:rsidR="00F656E6">
        <w:rPr>
          <w:rFonts w:ascii="Calibri" w:eastAsia="Calibri" w:hAnsi="Calibri" w:cs="Times New Roman"/>
          <w:bCs/>
          <w:lang w:val="en-US"/>
        </w:rPr>
        <w:t>.</w:t>
      </w:r>
      <w:r w:rsidRPr="00817170">
        <w:rPr>
          <w:rFonts w:ascii="Calibri" w:eastAsia="Calibri" w:hAnsi="Calibri" w:cs="Times New Roman"/>
          <w:bCs/>
          <w:lang w:val="en-US"/>
        </w:rPr>
        <w:t xml:space="preserve"> (RCAA)</w:t>
      </w:r>
    </w:p>
    <w:p w14:paraId="12D8C873" w14:textId="08926769" w:rsidR="00817170" w:rsidRPr="006901E4" w:rsidRDefault="00817170" w:rsidP="00BE54B1">
      <w:pPr>
        <w:spacing w:before="240" w:after="0"/>
        <w:jc w:val="both"/>
        <w:rPr>
          <w:rFonts w:ascii="Calibri" w:eastAsia="Calibri" w:hAnsi="Calibri" w:cs="Times New Roman"/>
          <w:bCs/>
          <w:lang w:val="en-US"/>
        </w:rPr>
      </w:pPr>
      <w:r w:rsidRPr="006901E4">
        <w:rPr>
          <w:rFonts w:ascii="Calibri" w:eastAsia="Calibri" w:hAnsi="Calibri" w:cs="Times New Roman"/>
          <w:bCs/>
          <w:lang w:val="en-US"/>
        </w:rPr>
        <w:t>State and Territory Associations:</w:t>
      </w:r>
    </w:p>
    <w:p w14:paraId="218EA9CD" w14:textId="2EB29762" w:rsidR="00817170" w:rsidRPr="00817170" w:rsidRDefault="00817170" w:rsidP="00D219E5">
      <w:pPr>
        <w:numPr>
          <w:ilvl w:val="0"/>
          <w:numId w:val="14"/>
        </w:numPr>
        <w:spacing w:after="0"/>
        <w:ind w:left="714" w:hanging="357"/>
        <w:jc w:val="both"/>
        <w:rPr>
          <w:rFonts w:ascii="Calibri" w:eastAsia="Calibri" w:hAnsi="Calibri" w:cs="Times New Roman"/>
          <w:bCs/>
          <w:lang w:val="en-US"/>
        </w:rPr>
      </w:pPr>
      <w:r w:rsidRPr="00817170">
        <w:rPr>
          <w:rFonts w:ascii="Calibri" w:eastAsia="Calibri" w:hAnsi="Calibri" w:cs="Times New Roman"/>
          <w:bCs/>
          <w:lang w:val="en-US"/>
        </w:rPr>
        <w:t>Career Advisers Association of New South Wales and Australian Capital Territory (CAA) Inc</w:t>
      </w:r>
      <w:r w:rsidR="00F656E6">
        <w:rPr>
          <w:rFonts w:ascii="Calibri" w:eastAsia="Calibri" w:hAnsi="Calibri" w:cs="Times New Roman"/>
          <w:bCs/>
          <w:lang w:val="en-US"/>
        </w:rPr>
        <w:t>.</w:t>
      </w:r>
      <w:r w:rsidRPr="00817170">
        <w:rPr>
          <w:rFonts w:ascii="Calibri" w:eastAsia="Calibri" w:hAnsi="Calibri" w:cs="Times New Roman"/>
          <w:bCs/>
          <w:lang w:val="en-US"/>
        </w:rPr>
        <w:t> (CAANSW/ACT)</w:t>
      </w:r>
    </w:p>
    <w:p w14:paraId="7914DA46" w14:textId="4109BD24" w:rsidR="00817170" w:rsidRPr="00817170" w:rsidRDefault="00817170" w:rsidP="005E04B8">
      <w:pPr>
        <w:numPr>
          <w:ilvl w:val="0"/>
          <w:numId w:val="14"/>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Career Education Asso</w:t>
      </w:r>
      <w:r w:rsidR="00F656E6">
        <w:rPr>
          <w:rFonts w:ascii="Calibri" w:eastAsia="Calibri" w:hAnsi="Calibri" w:cs="Times New Roman"/>
          <w:bCs/>
          <w:lang w:val="en-US"/>
        </w:rPr>
        <w:t>ciation of Western Australia Inc.</w:t>
      </w:r>
      <w:r w:rsidRPr="00817170">
        <w:rPr>
          <w:rFonts w:ascii="Calibri" w:eastAsia="Calibri" w:hAnsi="Calibri" w:cs="Times New Roman"/>
          <w:bCs/>
          <w:lang w:val="en-US"/>
        </w:rPr>
        <w:t xml:space="preserve"> (CEAWA)</w:t>
      </w:r>
    </w:p>
    <w:p w14:paraId="3006ABD9" w14:textId="502B5D6A" w:rsidR="00817170" w:rsidRPr="00817170" w:rsidRDefault="00817170" w:rsidP="005E04B8">
      <w:pPr>
        <w:numPr>
          <w:ilvl w:val="0"/>
          <w:numId w:val="14"/>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Career Educators Association of Northern Territory Inc</w:t>
      </w:r>
      <w:r w:rsidR="00F656E6">
        <w:rPr>
          <w:rFonts w:ascii="Calibri" w:eastAsia="Calibri" w:hAnsi="Calibri" w:cs="Times New Roman"/>
          <w:bCs/>
          <w:lang w:val="en-US"/>
        </w:rPr>
        <w:t>.</w:t>
      </w:r>
      <w:r w:rsidRPr="00817170">
        <w:rPr>
          <w:rFonts w:ascii="Calibri" w:eastAsia="Calibri" w:hAnsi="Calibri" w:cs="Times New Roman"/>
          <w:bCs/>
          <w:lang w:val="en-US"/>
        </w:rPr>
        <w:t xml:space="preserve"> (CEANT)</w:t>
      </w:r>
    </w:p>
    <w:p w14:paraId="0AFB822C" w14:textId="121ACEA9" w:rsidR="00817170" w:rsidRPr="00817170" w:rsidRDefault="00817170" w:rsidP="005E04B8">
      <w:pPr>
        <w:numPr>
          <w:ilvl w:val="0"/>
          <w:numId w:val="14"/>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 xml:space="preserve">Queensland Association of Student Advisors </w:t>
      </w:r>
      <w:proofErr w:type="spellStart"/>
      <w:r w:rsidRPr="00817170">
        <w:rPr>
          <w:rFonts w:ascii="Calibri" w:eastAsia="Calibri" w:hAnsi="Calibri" w:cs="Times New Roman"/>
          <w:bCs/>
          <w:lang w:val="en-US"/>
        </w:rPr>
        <w:t>Inc</w:t>
      </w:r>
      <w:proofErr w:type="spellEnd"/>
      <w:r w:rsidRPr="00817170">
        <w:rPr>
          <w:rFonts w:ascii="Calibri" w:eastAsia="Calibri" w:hAnsi="Calibri" w:cs="Times New Roman"/>
          <w:bCs/>
          <w:lang w:val="en-US"/>
        </w:rPr>
        <w:t xml:space="preserve"> (QASA)</w:t>
      </w:r>
    </w:p>
    <w:p w14:paraId="6DBD7965" w14:textId="1294BB5A" w:rsidR="00817170" w:rsidRDefault="00817170" w:rsidP="005E04B8">
      <w:pPr>
        <w:numPr>
          <w:ilvl w:val="0"/>
          <w:numId w:val="14"/>
        </w:numPr>
        <w:spacing w:before="100" w:beforeAutospacing="1" w:after="0"/>
        <w:ind w:left="714" w:hanging="357"/>
        <w:jc w:val="both"/>
        <w:rPr>
          <w:rFonts w:ascii="Calibri" w:eastAsia="Calibri" w:hAnsi="Calibri" w:cs="Times New Roman"/>
          <w:bCs/>
          <w:lang w:val="en-US"/>
        </w:rPr>
      </w:pPr>
      <w:r w:rsidRPr="00817170">
        <w:rPr>
          <w:rFonts w:ascii="Calibri" w:eastAsia="Calibri" w:hAnsi="Calibri" w:cs="Times New Roman"/>
          <w:bCs/>
          <w:lang w:val="en-US"/>
        </w:rPr>
        <w:t>Queensland Guidance and Counselling Association Inc</w:t>
      </w:r>
      <w:r w:rsidR="00F656E6">
        <w:rPr>
          <w:rFonts w:ascii="Calibri" w:eastAsia="Calibri" w:hAnsi="Calibri" w:cs="Times New Roman"/>
          <w:bCs/>
          <w:lang w:val="en-US"/>
        </w:rPr>
        <w:t>.</w:t>
      </w:r>
      <w:r w:rsidRPr="00817170">
        <w:rPr>
          <w:rFonts w:ascii="Calibri" w:eastAsia="Calibri" w:hAnsi="Calibri" w:cs="Times New Roman"/>
          <w:bCs/>
          <w:lang w:val="en-US"/>
        </w:rPr>
        <w:t xml:space="preserve"> (QGCA)</w:t>
      </w:r>
    </w:p>
    <w:p w14:paraId="6EE426D0" w14:textId="31616876" w:rsidR="00BB2E11" w:rsidRDefault="00BB2E11">
      <w:pPr>
        <w:spacing w:after="0" w:line="240" w:lineRule="auto"/>
        <w:rPr>
          <w:rFonts w:ascii="Calibri" w:eastAsia="Calibri" w:hAnsi="Calibri" w:cs="Times New Roman"/>
          <w:bCs/>
          <w:lang w:val="en-US"/>
        </w:rPr>
      </w:pPr>
      <w:r>
        <w:rPr>
          <w:rFonts w:ascii="Calibri" w:eastAsia="Calibri" w:hAnsi="Calibri" w:cs="Times New Roman"/>
          <w:bCs/>
          <w:lang w:val="en-US"/>
        </w:rPr>
        <w:br w:type="page"/>
      </w:r>
    </w:p>
    <w:p w14:paraId="1AE66A6C" w14:textId="7B68B5DF" w:rsidR="002A2044" w:rsidRPr="002A2044" w:rsidRDefault="002A2044" w:rsidP="002C63AC">
      <w:pPr>
        <w:pStyle w:val="Heading2"/>
        <w:spacing w:before="100" w:beforeAutospacing="1" w:after="0"/>
        <w:ind w:left="567" w:hanging="567"/>
        <w:jc w:val="both"/>
      </w:pPr>
      <w:r>
        <w:t>Can the department clarify the</w:t>
      </w:r>
      <w:r w:rsidRPr="002A2044">
        <w:t xml:space="preserve"> meaning </w:t>
      </w:r>
      <w:r>
        <w:t>of</w:t>
      </w:r>
      <w:r w:rsidRPr="002A2044">
        <w:t xml:space="preserve"> </w:t>
      </w:r>
      <w:r>
        <w:t>f</w:t>
      </w:r>
      <w:r w:rsidRPr="002A2044">
        <w:t>acilitator?</w:t>
      </w:r>
    </w:p>
    <w:p w14:paraId="5104D8C8" w14:textId="2FF5DA2B" w:rsidR="002A2044" w:rsidRDefault="002A2044" w:rsidP="002A2044">
      <w:pPr>
        <w:spacing w:before="100" w:beforeAutospacing="1" w:after="0"/>
        <w:jc w:val="both"/>
        <w:rPr>
          <w:lang w:eastAsia="en-AU"/>
        </w:rPr>
      </w:pPr>
      <w:r w:rsidRPr="002A2044">
        <w:rPr>
          <w:lang w:eastAsia="en-AU"/>
        </w:rPr>
        <w:t>A facilitator is a person who delivers CTA Course components to a Participant</w:t>
      </w:r>
      <w:r>
        <w:rPr>
          <w:lang w:eastAsia="en-AU"/>
        </w:rPr>
        <w:t>.</w:t>
      </w:r>
    </w:p>
    <w:p w14:paraId="7610812B" w14:textId="37AA2490" w:rsidR="002A2044" w:rsidRPr="002A2044" w:rsidRDefault="002A2044" w:rsidP="002A2044">
      <w:pPr>
        <w:spacing w:before="100" w:beforeAutospacing="1" w:after="0"/>
        <w:jc w:val="both"/>
        <w:rPr>
          <w:i/>
          <w:lang w:eastAsia="en-AU"/>
        </w:rPr>
      </w:pPr>
      <w:r w:rsidRPr="002A2044">
        <w:rPr>
          <w:i/>
          <w:lang w:eastAsia="en-AU"/>
        </w:rPr>
        <w:t>Reference: RFT Section 2.</w:t>
      </w:r>
      <w:r>
        <w:rPr>
          <w:i/>
          <w:lang w:eastAsia="en-AU"/>
        </w:rPr>
        <w:t>2</w:t>
      </w:r>
      <w:r w:rsidRPr="002A2044">
        <w:rPr>
          <w:i/>
          <w:lang w:eastAsia="en-AU"/>
        </w:rPr>
        <w:t xml:space="preserve">.1 – </w:t>
      </w:r>
      <w:r>
        <w:rPr>
          <w:i/>
          <w:lang w:eastAsia="en-AU"/>
        </w:rPr>
        <w:t>Key Features of CTA</w:t>
      </w:r>
    </w:p>
    <w:p w14:paraId="1FAA0255" w14:textId="7FE54DCB" w:rsidR="006116C2" w:rsidRPr="00B002D7" w:rsidRDefault="006116C2" w:rsidP="002C63AC">
      <w:pPr>
        <w:pStyle w:val="Heading2"/>
        <w:spacing w:before="100" w:beforeAutospacing="1" w:after="0"/>
        <w:ind w:left="567" w:hanging="567"/>
        <w:jc w:val="both"/>
        <w:rPr>
          <w:i/>
          <w:sz w:val="18"/>
        </w:rPr>
      </w:pPr>
      <w:r w:rsidRPr="00B002D7">
        <w:t xml:space="preserve">Will CTA </w:t>
      </w:r>
      <w:r w:rsidR="005721C6">
        <w:t>P</w:t>
      </w:r>
      <w:r w:rsidRPr="00B002D7">
        <w:t xml:space="preserve">roviders be required to use the </w:t>
      </w:r>
      <w:r w:rsidR="00115A85">
        <w:t>d</w:t>
      </w:r>
      <w:r w:rsidRPr="00B002D7">
        <w:t xml:space="preserve">epartment’s IT Systems? </w:t>
      </w:r>
    </w:p>
    <w:p w14:paraId="6750D502" w14:textId="4D82B056" w:rsidR="00115A85" w:rsidRDefault="00BE54B1" w:rsidP="002C63AC">
      <w:pPr>
        <w:spacing w:before="100" w:beforeAutospacing="1" w:after="0"/>
        <w:jc w:val="both"/>
        <w:rPr>
          <w:lang w:eastAsia="en-AU"/>
        </w:rPr>
      </w:pPr>
      <w:r>
        <w:rPr>
          <w:lang w:eastAsia="en-AU"/>
        </w:rPr>
        <w:t>Yes.</w:t>
      </w:r>
    </w:p>
    <w:p w14:paraId="1F035639" w14:textId="54B6E277" w:rsidR="00867EA1" w:rsidRDefault="006116C2" w:rsidP="002C63AC">
      <w:pPr>
        <w:spacing w:before="100" w:beforeAutospacing="1" w:after="0"/>
        <w:jc w:val="both"/>
        <w:rPr>
          <w:lang w:eastAsia="en-AU"/>
        </w:rPr>
      </w:pPr>
      <w:r>
        <w:rPr>
          <w:lang w:eastAsia="en-AU"/>
        </w:rPr>
        <w:t xml:space="preserve">CTA </w:t>
      </w:r>
      <w:r w:rsidR="005721C6">
        <w:rPr>
          <w:lang w:eastAsia="en-AU"/>
        </w:rPr>
        <w:t>P</w:t>
      </w:r>
      <w:r w:rsidRPr="007E1ED8">
        <w:rPr>
          <w:lang w:eastAsia="en-AU"/>
        </w:rPr>
        <w:t xml:space="preserve">roviders will </w:t>
      </w:r>
      <w:r w:rsidR="00764669">
        <w:rPr>
          <w:lang w:eastAsia="en-AU"/>
        </w:rPr>
        <w:t xml:space="preserve">be required to use </w:t>
      </w:r>
      <w:r>
        <w:rPr>
          <w:lang w:eastAsia="en-AU"/>
        </w:rPr>
        <w:t xml:space="preserve">the </w:t>
      </w:r>
      <w:r w:rsidR="00115A85">
        <w:rPr>
          <w:lang w:eastAsia="en-AU"/>
        </w:rPr>
        <w:t xml:space="preserve">department’s </w:t>
      </w:r>
      <w:r>
        <w:rPr>
          <w:lang w:eastAsia="en-AU"/>
        </w:rPr>
        <w:t>IT System</w:t>
      </w:r>
      <w:r w:rsidR="00154500">
        <w:rPr>
          <w:lang w:eastAsia="en-AU"/>
        </w:rPr>
        <w:t xml:space="preserve">s </w:t>
      </w:r>
      <w:r w:rsidR="00F17156">
        <w:rPr>
          <w:lang w:eastAsia="en-AU"/>
        </w:rPr>
        <w:t xml:space="preserve">to </w:t>
      </w:r>
      <w:r w:rsidR="00764669">
        <w:rPr>
          <w:lang w:eastAsia="en-AU"/>
        </w:rPr>
        <w:t>establish</w:t>
      </w:r>
      <w:r w:rsidR="00A06E43">
        <w:rPr>
          <w:lang w:eastAsia="en-AU"/>
        </w:rPr>
        <w:t xml:space="preserve"> </w:t>
      </w:r>
      <w:r w:rsidR="001D35FB">
        <w:rPr>
          <w:lang w:eastAsia="en-AU"/>
        </w:rPr>
        <w:t xml:space="preserve">and manage </w:t>
      </w:r>
      <w:r w:rsidR="00A06E43">
        <w:rPr>
          <w:lang w:eastAsia="en-AU"/>
        </w:rPr>
        <w:t>CTA Activities</w:t>
      </w:r>
      <w:r w:rsidR="00FC2746">
        <w:rPr>
          <w:lang w:eastAsia="en-AU"/>
        </w:rPr>
        <w:t>.</w:t>
      </w:r>
    </w:p>
    <w:p w14:paraId="069DCE08" w14:textId="36FD335D" w:rsidR="009465A2" w:rsidRDefault="00E06C7F" w:rsidP="002C63AC">
      <w:pPr>
        <w:spacing w:before="100" w:beforeAutospacing="1" w:after="0"/>
        <w:jc w:val="both"/>
        <w:rPr>
          <w:i/>
        </w:rPr>
      </w:pPr>
      <w:r w:rsidRPr="006901E4">
        <w:rPr>
          <w:i/>
          <w:lang w:eastAsia="en-AU"/>
        </w:rPr>
        <w:t>Reference</w:t>
      </w:r>
      <w:r w:rsidRPr="00B002D7">
        <w:rPr>
          <w:i/>
        </w:rPr>
        <w:t xml:space="preserve">: </w:t>
      </w:r>
      <w:r>
        <w:rPr>
          <w:i/>
        </w:rPr>
        <w:t>RFT</w:t>
      </w:r>
      <w:r w:rsidRPr="00B002D7">
        <w:rPr>
          <w:i/>
        </w:rPr>
        <w:t xml:space="preserve"> Section 2.</w:t>
      </w:r>
      <w:r>
        <w:rPr>
          <w:i/>
        </w:rPr>
        <w:t>4.1 – Use of the Department’s IT Systems</w:t>
      </w:r>
    </w:p>
    <w:p w14:paraId="5DE2AD24" w14:textId="130ADFA5" w:rsidR="004A619B" w:rsidRPr="00EE0714" w:rsidRDefault="004A619B" w:rsidP="006C6A58">
      <w:pPr>
        <w:pStyle w:val="Heading2"/>
        <w:spacing w:before="100" w:beforeAutospacing="1" w:after="0"/>
        <w:ind w:left="567" w:hanging="567"/>
        <w:jc w:val="both"/>
      </w:pPr>
      <w:proofErr w:type="gramStart"/>
      <w:r w:rsidRPr="00EE0714">
        <w:t>Can a</w:t>
      </w:r>
      <w:r w:rsidR="009465A2" w:rsidRPr="00EE0714">
        <w:t xml:space="preserve"> jobseeker </w:t>
      </w:r>
      <w:r w:rsidR="000D17B1" w:rsidRPr="00EE0714">
        <w:t xml:space="preserve">who </w:t>
      </w:r>
      <w:r w:rsidR="009465A2" w:rsidRPr="00EE0714">
        <w:t xml:space="preserve">is </w:t>
      </w:r>
      <w:r w:rsidR="000D17B1" w:rsidRPr="00EE0714">
        <w:t>participating in</w:t>
      </w:r>
      <w:r w:rsidR="003A3791" w:rsidRPr="00EE0714">
        <w:t xml:space="preserve"> an activity listed i</w:t>
      </w:r>
      <w:r w:rsidR="009465A2" w:rsidRPr="00EE0714">
        <w:t>n their job plan</w:t>
      </w:r>
      <w:r w:rsidR="003A3791" w:rsidRPr="00EE0714">
        <w:t xml:space="preserve"> also</w:t>
      </w:r>
      <w:r w:rsidR="009465A2" w:rsidRPr="00EE0714">
        <w:t xml:space="preserve"> </w:t>
      </w:r>
      <w:r w:rsidR="003A3791" w:rsidRPr="00EE0714">
        <w:t>be referred</w:t>
      </w:r>
      <w:proofErr w:type="gramEnd"/>
      <w:r w:rsidR="003A3791" w:rsidRPr="00EE0714">
        <w:t xml:space="preserve"> to</w:t>
      </w:r>
      <w:r w:rsidR="009465A2" w:rsidRPr="00EE0714">
        <w:t xml:space="preserve"> CTA? </w:t>
      </w:r>
    </w:p>
    <w:p w14:paraId="2E581203" w14:textId="2C17EFC3" w:rsidR="009465A2" w:rsidRPr="004A619B" w:rsidRDefault="00AA7875" w:rsidP="002C63AC">
      <w:pPr>
        <w:spacing w:before="100" w:beforeAutospacing="1" w:after="0"/>
        <w:jc w:val="both"/>
        <w:rPr>
          <w:lang w:eastAsia="en-AU"/>
        </w:rPr>
      </w:pPr>
      <w:r>
        <w:rPr>
          <w:lang w:eastAsia="en-AU"/>
        </w:rPr>
        <w:t xml:space="preserve">Yes. </w:t>
      </w:r>
      <w:r w:rsidR="00210726">
        <w:rPr>
          <w:lang w:eastAsia="en-AU"/>
        </w:rPr>
        <w:t xml:space="preserve"> </w:t>
      </w:r>
      <w:proofErr w:type="gramStart"/>
      <w:r w:rsidR="009465A2" w:rsidRPr="004A619B">
        <w:rPr>
          <w:lang w:eastAsia="en-AU"/>
        </w:rPr>
        <w:t>jobactive</w:t>
      </w:r>
      <w:proofErr w:type="gramEnd"/>
      <w:r w:rsidR="009465A2" w:rsidRPr="004A619B">
        <w:rPr>
          <w:lang w:eastAsia="en-AU"/>
        </w:rPr>
        <w:t xml:space="preserve"> </w:t>
      </w:r>
      <w:r w:rsidR="004A619B" w:rsidRPr="004A619B">
        <w:rPr>
          <w:lang w:eastAsia="en-AU"/>
        </w:rPr>
        <w:t>p</w:t>
      </w:r>
      <w:r w:rsidR="009465A2" w:rsidRPr="004A619B">
        <w:rPr>
          <w:lang w:eastAsia="en-AU"/>
        </w:rPr>
        <w:t xml:space="preserve">roviders will need to negotiate activities and updates to the Job Plan with each job seeker. Where deemed appropriate, a jobactive provider can remove an activity from a Job Plan and replace it with CTA. </w:t>
      </w:r>
      <w:proofErr w:type="gramStart"/>
      <w:r w:rsidR="009465A2" w:rsidRPr="004A619B">
        <w:rPr>
          <w:lang w:eastAsia="en-AU"/>
        </w:rPr>
        <w:t>Or</w:t>
      </w:r>
      <w:proofErr w:type="gramEnd"/>
      <w:r w:rsidR="009465A2" w:rsidRPr="004A619B">
        <w:rPr>
          <w:lang w:eastAsia="en-AU"/>
        </w:rPr>
        <w:t xml:space="preserve">, a job seeker can complete an activity they are already participating in and then be referred to CTA. The ‘rolling start’ model enables a person to commence in, and participate in CTA at any stage of their </w:t>
      </w:r>
      <w:proofErr w:type="spellStart"/>
      <w:r w:rsidR="00BE54B1">
        <w:rPr>
          <w:lang w:eastAsia="en-AU"/>
        </w:rPr>
        <w:t>jobactive</w:t>
      </w:r>
      <w:proofErr w:type="spellEnd"/>
      <w:r w:rsidR="00BE54B1">
        <w:rPr>
          <w:lang w:eastAsia="en-AU"/>
        </w:rPr>
        <w:t xml:space="preserve"> service period.</w:t>
      </w:r>
    </w:p>
    <w:p w14:paraId="74EA06FC" w14:textId="1741C43B" w:rsidR="00561002" w:rsidRPr="00B002D7" w:rsidRDefault="00561002" w:rsidP="002C63AC">
      <w:pPr>
        <w:pStyle w:val="Heading2"/>
        <w:spacing w:before="100" w:beforeAutospacing="1" w:after="0"/>
        <w:ind w:left="567" w:hanging="567"/>
        <w:jc w:val="both"/>
        <w:rPr>
          <w:i/>
          <w:sz w:val="18"/>
        </w:rPr>
      </w:pPr>
      <w:proofErr w:type="gramStart"/>
      <w:r w:rsidRPr="00B002D7">
        <w:t xml:space="preserve">Will </w:t>
      </w:r>
      <w:r w:rsidR="00154500">
        <w:t xml:space="preserve">the </w:t>
      </w:r>
      <w:r w:rsidR="00115A85">
        <w:t>d</w:t>
      </w:r>
      <w:r w:rsidR="00154500">
        <w:t>epartment’s IT Systems</w:t>
      </w:r>
      <w:r w:rsidR="006B203A">
        <w:t xml:space="preserve"> be used</w:t>
      </w:r>
      <w:proofErr w:type="gramEnd"/>
      <w:r w:rsidR="006B203A">
        <w:t xml:space="preserve"> to manage R</w:t>
      </w:r>
      <w:r>
        <w:t>eferrals to CTA</w:t>
      </w:r>
      <w:r w:rsidR="00BE54B1">
        <w:t>?</w:t>
      </w:r>
    </w:p>
    <w:p w14:paraId="514BF71E" w14:textId="74336C12" w:rsidR="00115A85" w:rsidRDefault="00BE54B1" w:rsidP="002C63AC">
      <w:pPr>
        <w:spacing w:before="100" w:beforeAutospacing="1" w:after="0"/>
        <w:jc w:val="both"/>
        <w:rPr>
          <w:lang w:eastAsia="en-AU"/>
        </w:rPr>
      </w:pPr>
      <w:r>
        <w:rPr>
          <w:lang w:eastAsia="en-AU"/>
        </w:rPr>
        <w:t>Yes.</w:t>
      </w:r>
    </w:p>
    <w:p w14:paraId="2DCF15F3" w14:textId="2ED536C7" w:rsidR="00561002" w:rsidRDefault="00A06E43" w:rsidP="002C63AC">
      <w:pPr>
        <w:spacing w:before="100" w:beforeAutospacing="1" w:after="0"/>
        <w:jc w:val="both"/>
        <w:rPr>
          <w:lang w:eastAsia="en-AU"/>
        </w:rPr>
      </w:pPr>
      <w:r>
        <w:rPr>
          <w:lang w:eastAsia="en-AU"/>
        </w:rPr>
        <w:t xml:space="preserve">CTA </w:t>
      </w:r>
      <w:r w:rsidR="005721C6">
        <w:rPr>
          <w:lang w:eastAsia="en-AU"/>
        </w:rPr>
        <w:t>P</w:t>
      </w:r>
      <w:r>
        <w:rPr>
          <w:lang w:eastAsia="en-AU"/>
        </w:rPr>
        <w:t xml:space="preserve">roviders will receive </w:t>
      </w:r>
      <w:r w:rsidR="006B203A">
        <w:rPr>
          <w:lang w:eastAsia="en-AU"/>
        </w:rPr>
        <w:t>R</w:t>
      </w:r>
      <w:r>
        <w:rPr>
          <w:lang w:eastAsia="en-AU"/>
        </w:rPr>
        <w:t xml:space="preserve">eferrals from </w:t>
      </w:r>
      <w:r w:rsidR="006B2E40">
        <w:rPr>
          <w:lang w:eastAsia="en-AU"/>
        </w:rPr>
        <w:t xml:space="preserve">jobactive </w:t>
      </w:r>
      <w:r w:rsidR="00115A85">
        <w:rPr>
          <w:lang w:eastAsia="en-AU"/>
        </w:rPr>
        <w:t>p</w:t>
      </w:r>
      <w:r w:rsidR="006B2E40">
        <w:rPr>
          <w:lang w:eastAsia="en-AU"/>
        </w:rPr>
        <w:t>rovider</w:t>
      </w:r>
      <w:r w:rsidR="005A270B">
        <w:rPr>
          <w:lang w:eastAsia="en-AU"/>
        </w:rPr>
        <w:t>s</w:t>
      </w:r>
      <w:r>
        <w:rPr>
          <w:lang w:eastAsia="en-AU"/>
        </w:rPr>
        <w:t xml:space="preserve"> via the </w:t>
      </w:r>
      <w:r w:rsidR="00115A85">
        <w:rPr>
          <w:lang w:eastAsia="en-AU"/>
        </w:rPr>
        <w:t>d</w:t>
      </w:r>
      <w:r>
        <w:rPr>
          <w:lang w:eastAsia="en-AU"/>
        </w:rPr>
        <w:t>epartment’s IT Systems</w:t>
      </w:r>
      <w:r w:rsidR="00154500">
        <w:rPr>
          <w:lang w:eastAsia="en-AU"/>
        </w:rPr>
        <w:t xml:space="preserve"> (ESS web)</w:t>
      </w:r>
      <w:r>
        <w:rPr>
          <w:lang w:eastAsia="en-AU"/>
        </w:rPr>
        <w:t>.</w:t>
      </w:r>
    </w:p>
    <w:p w14:paraId="3ADF1570" w14:textId="6586AEE6" w:rsidR="00E06C7F" w:rsidRPr="00E06C7F" w:rsidRDefault="00E06C7F" w:rsidP="002C63AC">
      <w:pPr>
        <w:spacing w:before="100" w:beforeAutospacing="1" w:after="0"/>
        <w:jc w:val="both"/>
        <w:rPr>
          <w:i/>
        </w:rPr>
      </w:pPr>
      <w:r w:rsidRPr="006901E4">
        <w:rPr>
          <w:i/>
          <w:lang w:eastAsia="en-AU"/>
        </w:rPr>
        <w:t>References</w:t>
      </w:r>
      <w:r w:rsidRPr="00B002D7">
        <w:rPr>
          <w:i/>
        </w:rPr>
        <w:t xml:space="preserve">: </w:t>
      </w:r>
      <w:r>
        <w:rPr>
          <w:i/>
        </w:rPr>
        <w:t>RFT</w:t>
      </w:r>
      <w:r w:rsidRPr="00B002D7">
        <w:rPr>
          <w:i/>
        </w:rPr>
        <w:t xml:space="preserve"> Section 2.</w:t>
      </w:r>
      <w:r>
        <w:rPr>
          <w:i/>
        </w:rPr>
        <w:t>4.1 – Use of the Department’s IT Systems</w:t>
      </w:r>
    </w:p>
    <w:p w14:paraId="17057AE5" w14:textId="5DF51A5C" w:rsidR="00E278AA" w:rsidRPr="00B002D7" w:rsidRDefault="00E278AA" w:rsidP="002C63AC">
      <w:pPr>
        <w:pStyle w:val="Heading2"/>
        <w:spacing w:before="100" w:beforeAutospacing="1" w:after="0"/>
        <w:ind w:left="567" w:hanging="567"/>
        <w:jc w:val="both"/>
        <w:rPr>
          <w:i/>
          <w:sz w:val="18"/>
        </w:rPr>
      </w:pPr>
      <w:r w:rsidRPr="00E278AA">
        <w:t xml:space="preserve">Is the </w:t>
      </w:r>
      <w:r w:rsidR="00115A85">
        <w:t>o</w:t>
      </w:r>
      <w:r w:rsidRPr="00E278AA">
        <w:t xml:space="preserve">ngoing </w:t>
      </w:r>
      <w:r w:rsidR="00115A85">
        <w:t>s</w:t>
      </w:r>
      <w:r w:rsidRPr="00E278AA">
        <w:t xml:space="preserve">upport (within three months following the end of </w:t>
      </w:r>
      <w:r w:rsidR="00A06E43">
        <w:t>C</w:t>
      </w:r>
      <w:r w:rsidR="00E856B2">
        <w:t>TA</w:t>
      </w:r>
      <w:r w:rsidRPr="00E278AA">
        <w:t>) included in t</w:t>
      </w:r>
      <w:r w:rsidR="00BE54B1">
        <w:t>he 75 hours, or in addition to?</w:t>
      </w:r>
    </w:p>
    <w:p w14:paraId="727113FC" w14:textId="2F53916D" w:rsidR="00E278AA" w:rsidRDefault="00E278AA" w:rsidP="002C63AC">
      <w:pPr>
        <w:spacing w:before="100" w:beforeAutospacing="1" w:after="0"/>
        <w:jc w:val="both"/>
        <w:rPr>
          <w:lang w:eastAsia="en-AU"/>
        </w:rPr>
      </w:pPr>
      <w:r>
        <w:rPr>
          <w:lang w:eastAsia="en-AU"/>
        </w:rPr>
        <w:t xml:space="preserve">The </w:t>
      </w:r>
      <w:r w:rsidR="00115A85">
        <w:rPr>
          <w:lang w:eastAsia="en-AU"/>
        </w:rPr>
        <w:t>o</w:t>
      </w:r>
      <w:r>
        <w:rPr>
          <w:lang w:eastAsia="en-AU"/>
        </w:rPr>
        <w:t xml:space="preserve">ngoing </w:t>
      </w:r>
      <w:r w:rsidR="00115A85">
        <w:rPr>
          <w:lang w:eastAsia="en-AU"/>
        </w:rPr>
        <w:t>s</w:t>
      </w:r>
      <w:r>
        <w:rPr>
          <w:lang w:eastAsia="en-AU"/>
        </w:rPr>
        <w:t>upport is in addition to the minimum</w:t>
      </w:r>
      <w:r w:rsidR="00DE234A">
        <w:rPr>
          <w:lang w:eastAsia="en-AU"/>
        </w:rPr>
        <w:t xml:space="preserve"> </w:t>
      </w:r>
      <w:r w:rsidR="00DE234A">
        <w:t>service requirement of</w:t>
      </w:r>
      <w:r w:rsidR="00DE234A" w:rsidRPr="0013672F">
        <w:t xml:space="preserve"> 75 hours face-to-face over eight weeks</w:t>
      </w:r>
      <w:r w:rsidR="006B2E40">
        <w:t>.</w:t>
      </w:r>
    </w:p>
    <w:p w14:paraId="69DACE4F" w14:textId="0ECA882E" w:rsidR="00E278AA" w:rsidRDefault="00E278AA" w:rsidP="002C63AC">
      <w:pPr>
        <w:spacing w:before="100" w:beforeAutospacing="1" w:after="0"/>
        <w:jc w:val="both"/>
        <w:rPr>
          <w:i/>
          <w:lang w:eastAsia="en-AU"/>
        </w:rPr>
      </w:pPr>
      <w:r w:rsidRPr="00E278AA">
        <w:rPr>
          <w:i/>
          <w:lang w:eastAsia="en-AU"/>
        </w:rPr>
        <w:t>Reference</w:t>
      </w:r>
      <w:r w:rsidR="00424B1D">
        <w:rPr>
          <w:i/>
          <w:lang w:eastAsia="en-AU"/>
        </w:rPr>
        <w:t>s</w:t>
      </w:r>
      <w:r w:rsidRPr="00E278AA">
        <w:rPr>
          <w:i/>
          <w:lang w:eastAsia="en-AU"/>
        </w:rPr>
        <w:t xml:space="preserve">: </w:t>
      </w:r>
      <w:r w:rsidR="00A45149">
        <w:rPr>
          <w:i/>
          <w:lang w:eastAsia="en-AU"/>
        </w:rPr>
        <w:t>RFT</w:t>
      </w:r>
      <w:r w:rsidRPr="00E278AA">
        <w:rPr>
          <w:i/>
          <w:lang w:eastAsia="en-AU"/>
        </w:rPr>
        <w:t xml:space="preserve"> Section</w:t>
      </w:r>
      <w:r w:rsidR="00B6792B">
        <w:rPr>
          <w:i/>
          <w:lang w:eastAsia="en-AU"/>
        </w:rPr>
        <w:t>s</w:t>
      </w:r>
      <w:r w:rsidRPr="00E278AA">
        <w:rPr>
          <w:i/>
          <w:lang w:eastAsia="en-AU"/>
        </w:rPr>
        <w:t xml:space="preserve"> 2.3.</w:t>
      </w:r>
      <w:r w:rsidR="00B409DA">
        <w:rPr>
          <w:i/>
          <w:lang w:eastAsia="en-AU"/>
        </w:rPr>
        <w:t>2.3</w:t>
      </w:r>
      <w:r w:rsidRPr="00E278AA">
        <w:rPr>
          <w:i/>
          <w:lang w:eastAsia="en-AU"/>
        </w:rPr>
        <w:t>—</w:t>
      </w:r>
      <w:r w:rsidR="00B409DA">
        <w:rPr>
          <w:i/>
          <w:lang w:eastAsia="en-AU"/>
        </w:rPr>
        <w:t>Minimum Hour Requirements</w:t>
      </w:r>
      <w:r w:rsidR="006843B4">
        <w:rPr>
          <w:i/>
          <w:lang w:eastAsia="en-AU"/>
        </w:rPr>
        <w:t xml:space="preserve"> and 2.3.3</w:t>
      </w:r>
      <w:r w:rsidR="00595A13">
        <w:rPr>
          <w:i/>
          <w:lang w:eastAsia="en-AU"/>
        </w:rPr>
        <w:t xml:space="preserve"> (</w:t>
      </w:r>
      <w:r w:rsidR="005A270B">
        <w:rPr>
          <w:i/>
          <w:lang w:eastAsia="en-AU"/>
        </w:rPr>
        <w:t>k</w:t>
      </w:r>
      <w:r w:rsidR="0001589C">
        <w:rPr>
          <w:i/>
          <w:lang w:eastAsia="en-AU"/>
        </w:rPr>
        <w:t>)</w:t>
      </w:r>
      <w:r w:rsidR="00B6792B" w:rsidRPr="00B6792B">
        <w:rPr>
          <w:i/>
        </w:rPr>
        <w:t xml:space="preserve"> </w:t>
      </w:r>
      <w:r w:rsidR="00B6792B" w:rsidRPr="00B002D7">
        <w:rPr>
          <w:i/>
        </w:rPr>
        <w:t>—</w:t>
      </w:r>
      <w:r w:rsidR="0001589C">
        <w:rPr>
          <w:i/>
          <w:lang w:eastAsia="en-AU"/>
        </w:rPr>
        <w:t>Access Ongoing Support</w:t>
      </w:r>
    </w:p>
    <w:p w14:paraId="6B61C438" w14:textId="6C51CEF2" w:rsidR="005D48C6" w:rsidRPr="00F656E6" w:rsidRDefault="005D48C6" w:rsidP="002C63AC">
      <w:pPr>
        <w:pStyle w:val="Heading2"/>
        <w:spacing w:before="100" w:beforeAutospacing="1" w:after="0"/>
        <w:ind w:left="567" w:hanging="567"/>
        <w:jc w:val="both"/>
      </w:pPr>
      <w:r w:rsidRPr="00F656E6">
        <w:t xml:space="preserve">Will </w:t>
      </w:r>
      <w:proofErr w:type="gramStart"/>
      <w:r w:rsidRPr="00F656E6">
        <w:t>any alternat</w:t>
      </w:r>
      <w:r w:rsidR="00922538" w:rsidRPr="00F656E6">
        <w:t>ive</w:t>
      </w:r>
      <w:r w:rsidRPr="00F656E6">
        <w:t xml:space="preserve"> delivery models be considered by the </w:t>
      </w:r>
      <w:r w:rsidR="00115A85" w:rsidRPr="00F656E6">
        <w:t>d</w:t>
      </w:r>
      <w:r w:rsidR="00BE54B1">
        <w:t>epartment</w:t>
      </w:r>
      <w:proofErr w:type="gramEnd"/>
      <w:r w:rsidR="00BE54B1">
        <w:t>?</w:t>
      </w:r>
    </w:p>
    <w:p w14:paraId="298571EA" w14:textId="2A45D716" w:rsidR="00115A85" w:rsidRPr="00F656E6" w:rsidRDefault="00115A85" w:rsidP="002C63AC">
      <w:pPr>
        <w:spacing w:before="100" w:beforeAutospacing="1" w:after="0"/>
        <w:jc w:val="both"/>
        <w:rPr>
          <w:lang w:eastAsia="en-AU"/>
        </w:rPr>
      </w:pPr>
      <w:r w:rsidRPr="00F656E6">
        <w:rPr>
          <w:lang w:eastAsia="en-AU"/>
        </w:rPr>
        <w:t>No, alternative</w:t>
      </w:r>
      <w:r w:rsidR="00BE54B1">
        <w:rPr>
          <w:lang w:eastAsia="en-AU"/>
        </w:rPr>
        <w:t xml:space="preserve"> models will not be considered.</w:t>
      </w:r>
    </w:p>
    <w:p w14:paraId="4D8B3FBC" w14:textId="6EF89584" w:rsidR="005D48C6" w:rsidRPr="00F656E6" w:rsidRDefault="009B5070" w:rsidP="002C63AC">
      <w:pPr>
        <w:spacing w:before="100" w:beforeAutospacing="1" w:after="0"/>
        <w:jc w:val="both"/>
        <w:rPr>
          <w:lang w:eastAsia="en-AU"/>
        </w:rPr>
      </w:pPr>
      <w:r w:rsidRPr="00F656E6">
        <w:t xml:space="preserve">CTA comprises course content that </w:t>
      </w:r>
      <w:proofErr w:type="gramStart"/>
      <w:r w:rsidR="00235AA5" w:rsidRPr="00F656E6">
        <w:t xml:space="preserve">must </w:t>
      </w:r>
      <w:r w:rsidRPr="00F656E6">
        <w:t>be delivered</w:t>
      </w:r>
      <w:proofErr w:type="gramEnd"/>
      <w:r w:rsidRPr="00F656E6">
        <w:t xml:space="preserve"> to each Participant. </w:t>
      </w:r>
      <w:r w:rsidRPr="00F656E6">
        <w:rPr>
          <w:lang w:eastAsia="en-AU"/>
        </w:rPr>
        <w:t xml:space="preserve">The minimum course content required for CTA is specified in the Draft Deed, and </w:t>
      </w:r>
      <w:r w:rsidRPr="00F656E6">
        <w:t xml:space="preserve">in Section </w:t>
      </w:r>
      <w:r w:rsidR="00A37AA9" w:rsidRPr="00F656E6">
        <w:t>2.3.3—Specific Requirements</w:t>
      </w:r>
      <w:r w:rsidRPr="00F656E6">
        <w:t xml:space="preserve"> of the RFT. Organisations delivering CTA will have scope to re-name </w:t>
      </w:r>
      <w:r w:rsidR="00EA32E1" w:rsidRPr="00F656E6">
        <w:t xml:space="preserve">course </w:t>
      </w:r>
      <w:proofErr w:type="gramStart"/>
      <w:r w:rsidR="00EA32E1" w:rsidRPr="00F656E6">
        <w:t>components</w:t>
      </w:r>
      <w:r w:rsidRPr="00F656E6">
        <w:t>,</w:t>
      </w:r>
      <w:proofErr w:type="gramEnd"/>
      <w:r w:rsidRPr="00F656E6">
        <w:t xml:space="preserve"> however it </w:t>
      </w:r>
      <w:r w:rsidR="00235AA5" w:rsidRPr="00F656E6">
        <w:t xml:space="preserve">must </w:t>
      </w:r>
      <w:r w:rsidRPr="00F656E6">
        <w:t xml:space="preserve">be evident that the specific </w:t>
      </w:r>
      <w:r w:rsidR="00EA32E1" w:rsidRPr="00F656E6">
        <w:t xml:space="preserve">CTA course </w:t>
      </w:r>
      <w:r w:rsidR="00BE54B1">
        <w:t>content as outlined is covered.</w:t>
      </w:r>
    </w:p>
    <w:p w14:paraId="757C6551" w14:textId="6ED8B031" w:rsidR="00ED5CA7" w:rsidRDefault="005D48C6" w:rsidP="002C63AC">
      <w:pPr>
        <w:spacing w:before="100" w:beforeAutospacing="1" w:after="0"/>
        <w:jc w:val="both"/>
        <w:rPr>
          <w:lang w:eastAsia="en-AU"/>
        </w:rPr>
      </w:pPr>
      <w:r w:rsidRPr="00F656E6">
        <w:rPr>
          <w:i/>
          <w:lang w:eastAsia="en-AU"/>
        </w:rPr>
        <w:t xml:space="preserve">Reference: </w:t>
      </w:r>
      <w:r w:rsidR="00A45149" w:rsidRPr="00F656E6">
        <w:rPr>
          <w:i/>
          <w:lang w:eastAsia="en-AU"/>
        </w:rPr>
        <w:t>RFT</w:t>
      </w:r>
      <w:r w:rsidRPr="00F656E6">
        <w:rPr>
          <w:i/>
          <w:lang w:eastAsia="en-AU"/>
        </w:rPr>
        <w:t xml:space="preserve"> Section 2.3.2</w:t>
      </w:r>
      <w:r w:rsidR="00235AA5" w:rsidRPr="00F656E6">
        <w:rPr>
          <w:i/>
          <w:lang w:eastAsia="en-AU"/>
        </w:rPr>
        <w:t>.1</w:t>
      </w:r>
      <w:r w:rsidRPr="00F656E6">
        <w:rPr>
          <w:i/>
          <w:lang w:eastAsia="en-AU"/>
        </w:rPr>
        <w:t>—</w:t>
      </w:r>
      <w:r w:rsidR="00235AA5" w:rsidRPr="00F656E6">
        <w:rPr>
          <w:i/>
          <w:lang w:eastAsia="en-AU"/>
        </w:rPr>
        <w:t>Program Content</w:t>
      </w:r>
    </w:p>
    <w:p w14:paraId="01E11390" w14:textId="5C3213BA" w:rsidR="00D4797E" w:rsidRPr="00595A13" w:rsidRDefault="00D4797E" w:rsidP="002C63AC">
      <w:pPr>
        <w:pStyle w:val="Heading2"/>
        <w:spacing w:before="100" w:beforeAutospacing="1" w:after="0"/>
        <w:ind w:left="567" w:hanging="567"/>
        <w:jc w:val="both"/>
        <w:rPr>
          <w:i/>
          <w:sz w:val="18"/>
        </w:rPr>
      </w:pPr>
      <w:r w:rsidRPr="00595A13">
        <w:t xml:space="preserve">Can the </w:t>
      </w:r>
      <w:r w:rsidR="00A37AA9" w:rsidRPr="00595A13">
        <w:t>d</w:t>
      </w:r>
      <w:r w:rsidRPr="00595A13">
        <w:t>epartment provide guidance on the mean</w:t>
      </w:r>
      <w:r w:rsidR="00BE54B1">
        <w:t>ing of a ‘small group setting’?</w:t>
      </w:r>
    </w:p>
    <w:p w14:paraId="4A6DB2CB" w14:textId="5537F6D3" w:rsidR="00D4797E" w:rsidRPr="00595A13" w:rsidRDefault="00D4797E" w:rsidP="002C63AC">
      <w:pPr>
        <w:spacing w:before="100" w:beforeAutospacing="1" w:after="0"/>
        <w:jc w:val="both"/>
        <w:rPr>
          <w:lang w:eastAsia="en-AU"/>
        </w:rPr>
      </w:pPr>
      <w:r w:rsidRPr="00595A13">
        <w:rPr>
          <w:lang w:eastAsia="en-AU"/>
        </w:rPr>
        <w:t xml:space="preserve">A group must consist of more than one Participant. There is no maximum number of </w:t>
      </w:r>
      <w:proofErr w:type="gramStart"/>
      <w:r w:rsidR="006B2E40" w:rsidRPr="00595A13">
        <w:rPr>
          <w:lang w:eastAsia="en-AU"/>
        </w:rPr>
        <w:t>Participants</w:t>
      </w:r>
      <w:r w:rsidRPr="00595A13">
        <w:rPr>
          <w:lang w:eastAsia="en-AU"/>
        </w:rPr>
        <w:t>,</w:t>
      </w:r>
      <w:proofErr w:type="gramEnd"/>
      <w:r w:rsidRPr="00595A13">
        <w:rPr>
          <w:lang w:eastAsia="en-AU"/>
        </w:rPr>
        <w:t xml:space="preserve"> however the </w:t>
      </w:r>
      <w:r w:rsidR="00354594" w:rsidRPr="00595A13">
        <w:rPr>
          <w:lang w:eastAsia="en-AU"/>
        </w:rPr>
        <w:t xml:space="preserve">Participant to </w:t>
      </w:r>
      <w:r w:rsidR="00B817C3" w:rsidRPr="00595A13">
        <w:rPr>
          <w:lang w:eastAsia="en-AU"/>
        </w:rPr>
        <w:t>F</w:t>
      </w:r>
      <w:r w:rsidRPr="00595A13">
        <w:rPr>
          <w:lang w:eastAsia="en-AU"/>
        </w:rPr>
        <w:t>acilitator</w:t>
      </w:r>
      <w:r w:rsidR="003376AD" w:rsidRPr="00595A13">
        <w:rPr>
          <w:lang w:eastAsia="en-AU"/>
        </w:rPr>
        <w:t xml:space="preserve"> </w:t>
      </w:r>
      <w:r w:rsidRPr="00595A13">
        <w:rPr>
          <w:lang w:eastAsia="en-AU"/>
        </w:rPr>
        <w:t>ratio cannot exceed 15:1.</w:t>
      </w:r>
      <w:r w:rsidR="00E35025" w:rsidRPr="00595A13">
        <w:rPr>
          <w:lang w:eastAsia="en-AU"/>
        </w:rPr>
        <w:t xml:space="preserve"> Feedback from the CTA Trial shows that groups of around 10 participants work well.</w:t>
      </w:r>
    </w:p>
    <w:p w14:paraId="3588FE11" w14:textId="137FD29D" w:rsidR="00D4797E" w:rsidRPr="00595A13" w:rsidRDefault="00D4797E" w:rsidP="002C63AC">
      <w:pPr>
        <w:spacing w:before="100" w:beforeAutospacing="1" w:after="0"/>
        <w:jc w:val="both"/>
        <w:rPr>
          <w:i/>
          <w:lang w:eastAsia="en-AU"/>
        </w:rPr>
      </w:pPr>
      <w:r w:rsidRPr="00595A13">
        <w:rPr>
          <w:i/>
          <w:lang w:eastAsia="en-AU"/>
        </w:rPr>
        <w:t xml:space="preserve">Reference: </w:t>
      </w:r>
      <w:r w:rsidR="00A45149" w:rsidRPr="00595A13">
        <w:rPr>
          <w:i/>
          <w:lang w:eastAsia="en-AU"/>
        </w:rPr>
        <w:t>RFT</w:t>
      </w:r>
      <w:r w:rsidRPr="00595A13">
        <w:rPr>
          <w:i/>
          <w:lang w:eastAsia="en-AU"/>
        </w:rPr>
        <w:t xml:space="preserve"> Section 2.3.2.2—</w:t>
      </w:r>
      <w:r w:rsidR="00354594" w:rsidRPr="00595A13">
        <w:rPr>
          <w:i/>
          <w:lang w:eastAsia="en-AU"/>
        </w:rPr>
        <w:t>General Delivery Requirements</w:t>
      </w:r>
    </w:p>
    <w:p w14:paraId="2D6099DB" w14:textId="25E56C6C" w:rsidR="004C2D55" w:rsidRDefault="004C2D55" w:rsidP="002C63AC">
      <w:pPr>
        <w:pStyle w:val="Heading2"/>
        <w:spacing w:before="100" w:beforeAutospacing="1" w:after="0"/>
        <w:ind w:left="567" w:hanging="567"/>
        <w:jc w:val="both"/>
      </w:pPr>
      <w:r w:rsidRPr="004C2D55">
        <w:t>C</w:t>
      </w:r>
      <w:r w:rsidR="00A148B5">
        <w:t>an the department clarify th</w:t>
      </w:r>
      <w:r w:rsidRPr="004C2D55">
        <w:t>e definition of Face to Face</w:t>
      </w:r>
      <w:r w:rsidR="00A148B5">
        <w:t>,</w:t>
      </w:r>
      <w:r w:rsidRPr="004C2D55">
        <w:t xml:space="preserve"> and in instances of small referral numbers across a broad regional Employment </w:t>
      </w:r>
      <w:proofErr w:type="gramStart"/>
      <w:r w:rsidRPr="004C2D55">
        <w:t>Region</w:t>
      </w:r>
      <w:proofErr w:type="gramEnd"/>
      <w:r w:rsidR="00A148B5">
        <w:t xml:space="preserve"> </w:t>
      </w:r>
      <w:r w:rsidR="00A148B5" w:rsidRPr="004C2D55">
        <w:t>would there be flexibility in delivery methods (i.e. Digital)</w:t>
      </w:r>
      <w:r w:rsidRPr="004C2D55">
        <w:t>?</w:t>
      </w:r>
    </w:p>
    <w:p w14:paraId="0F29A5D5" w14:textId="3CC1C408" w:rsidR="004C2D55" w:rsidRDefault="004C2D55" w:rsidP="004C2D55">
      <w:pPr>
        <w:spacing w:before="100" w:beforeAutospacing="1" w:after="0"/>
        <w:jc w:val="both"/>
        <w:rPr>
          <w:lang w:eastAsia="en-AU"/>
        </w:rPr>
      </w:pPr>
      <w:proofErr w:type="gramStart"/>
      <w:r w:rsidRPr="004C2D55">
        <w:rPr>
          <w:lang w:eastAsia="en-AU"/>
        </w:rPr>
        <w:t>For the purpose of</w:t>
      </w:r>
      <w:proofErr w:type="gramEnd"/>
      <w:r w:rsidRPr="004C2D55">
        <w:rPr>
          <w:lang w:eastAsia="en-AU"/>
        </w:rPr>
        <w:t xml:space="preserve"> delivering CTA course content, the department defines face to face as, a facilitator presenting to Participants in person in the same room.</w:t>
      </w:r>
    </w:p>
    <w:p w14:paraId="708A4876" w14:textId="009EC9FE" w:rsidR="00173D02" w:rsidRDefault="00173D02" w:rsidP="004C2D55">
      <w:pPr>
        <w:spacing w:before="100" w:beforeAutospacing="1" w:after="0"/>
        <w:jc w:val="both"/>
        <w:rPr>
          <w:lang w:eastAsia="en-AU"/>
        </w:rPr>
      </w:pPr>
      <w:r>
        <w:rPr>
          <w:lang w:eastAsia="en-AU"/>
        </w:rPr>
        <w:t xml:space="preserve">In the scenario described above, </w:t>
      </w:r>
      <w:r w:rsidRPr="00173D02">
        <w:rPr>
          <w:lang w:eastAsia="en-AU"/>
        </w:rPr>
        <w:t xml:space="preserve">the same facilitator would be able to deliver the services to </w:t>
      </w:r>
      <w:r>
        <w:rPr>
          <w:lang w:eastAsia="en-AU"/>
        </w:rPr>
        <w:t xml:space="preserve">small </w:t>
      </w:r>
      <w:r w:rsidRPr="00173D02">
        <w:rPr>
          <w:lang w:eastAsia="en-AU"/>
        </w:rPr>
        <w:t>group</w:t>
      </w:r>
      <w:r>
        <w:rPr>
          <w:lang w:eastAsia="en-AU"/>
        </w:rPr>
        <w:t>s</w:t>
      </w:r>
      <w:r w:rsidRPr="00173D02">
        <w:rPr>
          <w:lang w:eastAsia="en-AU"/>
        </w:rPr>
        <w:t xml:space="preserve"> separately</w:t>
      </w:r>
      <w:r>
        <w:rPr>
          <w:lang w:eastAsia="en-AU"/>
        </w:rPr>
        <w:t xml:space="preserve"> across an Employment Region</w:t>
      </w:r>
      <w:r w:rsidRPr="00173D02">
        <w:rPr>
          <w:lang w:eastAsia="en-AU"/>
        </w:rPr>
        <w:t xml:space="preserve">, </w:t>
      </w:r>
      <w:r>
        <w:rPr>
          <w:lang w:eastAsia="en-AU"/>
        </w:rPr>
        <w:t>moving</w:t>
      </w:r>
      <w:r w:rsidRPr="00173D02">
        <w:rPr>
          <w:lang w:eastAsia="en-AU"/>
        </w:rPr>
        <w:t xml:space="preserve"> from location to location to do this.</w:t>
      </w:r>
    </w:p>
    <w:p w14:paraId="66B7CB98" w14:textId="6BC75CA5" w:rsidR="00173D02" w:rsidRDefault="00042ED6" w:rsidP="004C2D55">
      <w:pPr>
        <w:spacing w:before="100" w:beforeAutospacing="1" w:after="0"/>
        <w:jc w:val="both"/>
        <w:rPr>
          <w:lang w:eastAsia="en-AU"/>
        </w:rPr>
      </w:pPr>
      <w:r>
        <w:rPr>
          <w:lang w:eastAsia="en-AU"/>
        </w:rPr>
        <w:t xml:space="preserve">The department will only accept a digital delivery approach where the </w:t>
      </w:r>
      <w:r w:rsidRPr="00173D02">
        <w:rPr>
          <w:lang w:eastAsia="en-AU"/>
        </w:rPr>
        <w:t>CTA Provider engage</w:t>
      </w:r>
      <w:r>
        <w:rPr>
          <w:lang w:eastAsia="en-AU"/>
        </w:rPr>
        <w:t>s</w:t>
      </w:r>
      <w:r w:rsidRPr="00173D02">
        <w:rPr>
          <w:lang w:eastAsia="en-AU"/>
        </w:rPr>
        <w:t xml:space="preserve"> an employer via video conference </w:t>
      </w:r>
      <w:r w:rsidR="00173D02" w:rsidRPr="00173D02">
        <w:rPr>
          <w:lang w:eastAsia="en-AU"/>
        </w:rPr>
        <w:t>for the purpose of an Inbound Employer Visit</w:t>
      </w:r>
      <w:r>
        <w:rPr>
          <w:lang w:eastAsia="en-AU"/>
        </w:rPr>
        <w:t>.</w:t>
      </w:r>
    </w:p>
    <w:p w14:paraId="6A8F5B57" w14:textId="6F720F32" w:rsidR="00A148B5" w:rsidRPr="004C2D55" w:rsidRDefault="00424B1D" w:rsidP="004C2D55">
      <w:pPr>
        <w:spacing w:before="100" w:beforeAutospacing="1" w:after="0"/>
        <w:jc w:val="both"/>
      </w:pPr>
      <w:r w:rsidRPr="00424B1D">
        <w:rPr>
          <w:i/>
        </w:rPr>
        <w:t xml:space="preserve">Reference: </w:t>
      </w:r>
      <w:r w:rsidR="00A148B5" w:rsidRPr="0001589C">
        <w:rPr>
          <w:i/>
        </w:rPr>
        <w:t>RFT Section 2.3.2.2 – General Delivery Requirements</w:t>
      </w:r>
    </w:p>
    <w:p w14:paraId="6485A500" w14:textId="7D5227CB" w:rsidR="00186CAC" w:rsidRDefault="00186CAC" w:rsidP="00186CAC">
      <w:pPr>
        <w:pStyle w:val="Heading2"/>
        <w:spacing w:before="100" w:beforeAutospacing="1" w:after="0"/>
        <w:ind w:left="567" w:hanging="567"/>
        <w:jc w:val="both"/>
      </w:pPr>
      <w:proofErr w:type="gramStart"/>
      <w:r>
        <w:t>Can CTA be delivered</w:t>
      </w:r>
      <w:proofErr w:type="gramEnd"/>
      <w:r>
        <w:t xml:space="preserve"> from an </w:t>
      </w:r>
      <w:r w:rsidRPr="00186CAC">
        <w:t xml:space="preserve">Employment Region </w:t>
      </w:r>
      <w:r>
        <w:t>other than the Employment Region the CTA Provider is contracted to deliver services from</w:t>
      </w:r>
      <w:r w:rsidRPr="00186CAC">
        <w:t>, if that is more convenient for the jobseeker to access?</w:t>
      </w:r>
    </w:p>
    <w:p w14:paraId="48E36677" w14:textId="5C0356AE" w:rsidR="00186CAC" w:rsidRDefault="00186CAC" w:rsidP="00186CAC">
      <w:pPr>
        <w:spacing w:before="100" w:beforeAutospacing="1" w:after="0"/>
        <w:jc w:val="both"/>
        <w:rPr>
          <w:lang w:val="en-US"/>
        </w:rPr>
      </w:pPr>
      <w:r w:rsidRPr="00186CAC">
        <w:rPr>
          <w:lang w:val="en-US"/>
        </w:rPr>
        <w:t xml:space="preserve">A CTA Provider can only deliver services to Participants from sites located in the Employment Region/s in which the provider </w:t>
      </w:r>
      <w:proofErr w:type="gramStart"/>
      <w:r w:rsidRPr="00186CAC">
        <w:rPr>
          <w:lang w:val="en-US"/>
        </w:rPr>
        <w:t>is contracted</w:t>
      </w:r>
      <w:proofErr w:type="gramEnd"/>
      <w:r w:rsidRPr="00186CAC">
        <w:rPr>
          <w:lang w:val="en-US"/>
        </w:rPr>
        <w:t xml:space="preserve"> to deliver CTA.</w:t>
      </w:r>
    </w:p>
    <w:p w14:paraId="5C83EB71" w14:textId="4C3C020A" w:rsidR="00186CAC" w:rsidRPr="00186CAC" w:rsidRDefault="00186CAC" w:rsidP="00186CAC">
      <w:pPr>
        <w:tabs>
          <w:tab w:val="left" w:pos="2410"/>
          <w:tab w:val="left" w:pos="2552"/>
        </w:tabs>
        <w:spacing w:before="100" w:beforeAutospacing="1" w:after="0"/>
        <w:jc w:val="both"/>
        <w:rPr>
          <w:i/>
        </w:rPr>
      </w:pPr>
      <w:r w:rsidRPr="000D17B1">
        <w:rPr>
          <w:i/>
        </w:rPr>
        <w:t>Reference: RFT Sections 2.5 Coverage and 3.1.1 Employment Region Coverage</w:t>
      </w:r>
    </w:p>
    <w:p w14:paraId="73614F3C" w14:textId="6D8C85ED" w:rsidR="000E5F4C" w:rsidRDefault="000E5F4C" w:rsidP="002C63AC">
      <w:pPr>
        <w:pStyle w:val="Heading2"/>
        <w:spacing w:before="100" w:beforeAutospacing="1" w:after="0"/>
        <w:jc w:val="both"/>
      </w:pPr>
      <w:proofErr w:type="gramStart"/>
      <w:r>
        <w:t>Can CTA be delivered</w:t>
      </w:r>
      <w:proofErr w:type="gramEnd"/>
      <w:r>
        <w:t xml:space="preserve"> from a site co-located with an employment services provider?</w:t>
      </w:r>
    </w:p>
    <w:p w14:paraId="0E14FB96" w14:textId="52685F3B" w:rsidR="000E5F4C" w:rsidRDefault="00BE54B1" w:rsidP="000E5F4C">
      <w:pPr>
        <w:spacing w:before="100" w:beforeAutospacing="1" w:after="0"/>
        <w:jc w:val="both"/>
        <w:rPr>
          <w:lang w:val="en-US"/>
        </w:rPr>
      </w:pPr>
      <w:r>
        <w:rPr>
          <w:lang w:val="en-US"/>
        </w:rPr>
        <w:t>Yes.</w:t>
      </w:r>
    </w:p>
    <w:p w14:paraId="5604613D" w14:textId="77777777" w:rsidR="000E5F4C" w:rsidRPr="00BC3A09" w:rsidRDefault="000E5F4C" w:rsidP="000E5F4C">
      <w:pPr>
        <w:spacing w:before="100" w:beforeAutospacing="1" w:after="0"/>
        <w:jc w:val="both"/>
        <w:rPr>
          <w:lang w:val="en-US"/>
        </w:rPr>
      </w:pPr>
      <w:r w:rsidRPr="00BC3A09">
        <w:rPr>
          <w:lang w:val="en-US"/>
        </w:rPr>
        <w:t>Current employment services providers (such as jobactive) and their related entities are eligible to respond to the Request for Tender. If services are to be co-located, there must be clear and separate signage.</w:t>
      </w:r>
    </w:p>
    <w:p w14:paraId="01134066" w14:textId="77777777" w:rsidR="000E5F4C" w:rsidRDefault="000E5F4C" w:rsidP="000E5F4C">
      <w:pPr>
        <w:spacing w:before="100" w:beforeAutospacing="1" w:after="0"/>
        <w:jc w:val="both"/>
        <w:rPr>
          <w:rFonts w:ascii="Calibri" w:hAnsi="Calibri" w:cs="Calibri"/>
        </w:rPr>
      </w:pPr>
      <w:r>
        <w:t>CTA Providers will have to demonstrate in their response to Selection Criteria 3.1 how they intend to service the entire region.  CTA Providers will use appropriate, professional facilities and equipment to deliver CTA, including with appropriate signage and access for a person with disability or reduced mobility.</w:t>
      </w:r>
    </w:p>
    <w:p w14:paraId="6878FA43" w14:textId="712DDBD4" w:rsidR="00210726" w:rsidRPr="000E5F4C" w:rsidRDefault="000E5F4C" w:rsidP="00BE54B1">
      <w:pPr>
        <w:tabs>
          <w:tab w:val="left" w:pos="2410"/>
          <w:tab w:val="left" w:pos="2552"/>
        </w:tabs>
        <w:spacing w:before="100" w:beforeAutospacing="1" w:after="960"/>
        <w:jc w:val="both"/>
        <w:rPr>
          <w:i/>
        </w:rPr>
      </w:pPr>
      <w:r w:rsidRPr="000D17B1">
        <w:rPr>
          <w:i/>
        </w:rPr>
        <w:t>Reference: RFT Sections 2.5 Coverage and 3.1.1 Employment Region Coverage</w:t>
      </w:r>
    </w:p>
    <w:p w14:paraId="6E1EAB93" w14:textId="7E12293B" w:rsidR="00424B1D" w:rsidRDefault="00424B1D" w:rsidP="002C63AC">
      <w:pPr>
        <w:pStyle w:val="Heading2"/>
        <w:spacing w:before="100" w:beforeAutospacing="1" w:after="0"/>
        <w:jc w:val="both"/>
      </w:pPr>
      <w:r>
        <w:t xml:space="preserve">Can the department clarify when a police check required to </w:t>
      </w:r>
      <w:proofErr w:type="gramStart"/>
      <w:r>
        <w:t>be undertaken</w:t>
      </w:r>
      <w:proofErr w:type="gramEnd"/>
      <w:r>
        <w:t xml:space="preserve"> for Participants?</w:t>
      </w:r>
    </w:p>
    <w:p w14:paraId="0F1DDA64" w14:textId="77777777" w:rsidR="00424B1D" w:rsidRPr="00424B1D" w:rsidRDefault="00424B1D" w:rsidP="00424B1D">
      <w:pPr>
        <w:spacing w:before="100" w:beforeAutospacing="1" w:after="0"/>
        <w:jc w:val="both"/>
      </w:pPr>
      <w:r>
        <w:t>A</w:t>
      </w:r>
      <w:r w:rsidRPr="000A4B4C">
        <w:t xml:space="preserve"> police check is required for Participants attending Outbound Employer Visits only. CTA Providers are expected to work with jobactive </w:t>
      </w:r>
      <w:r>
        <w:t>p</w:t>
      </w:r>
      <w:r w:rsidRPr="000A4B4C">
        <w:t>roviders to confirm whether a Participant has already undertaken a police check, should an Outbound Employer Visit be planned.</w:t>
      </w:r>
    </w:p>
    <w:p w14:paraId="700A8D43" w14:textId="237929D3" w:rsidR="00424B1D" w:rsidRDefault="00424B1D" w:rsidP="00424B1D">
      <w:pPr>
        <w:tabs>
          <w:tab w:val="left" w:pos="2410"/>
          <w:tab w:val="left" w:pos="2552"/>
        </w:tabs>
        <w:spacing w:before="100" w:beforeAutospacing="1" w:after="0"/>
        <w:jc w:val="both"/>
        <w:rPr>
          <w:i/>
        </w:rPr>
      </w:pPr>
      <w:r w:rsidRPr="00424B1D">
        <w:rPr>
          <w:i/>
        </w:rPr>
        <w:t xml:space="preserve">Reference: </w:t>
      </w:r>
      <w:r w:rsidRPr="000A4B4C">
        <w:rPr>
          <w:i/>
        </w:rPr>
        <w:t>RFT Section 2.3.</w:t>
      </w:r>
      <w:r>
        <w:rPr>
          <w:i/>
        </w:rPr>
        <w:t>3</w:t>
      </w:r>
      <w:r w:rsidRPr="000A4B4C">
        <w:rPr>
          <w:i/>
        </w:rPr>
        <w:t xml:space="preserve"> – </w:t>
      </w:r>
      <w:r>
        <w:rPr>
          <w:i/>
        </w:rPr>
        <w:t>Specific</w:t>
      </w:r>
      <w:r w:rsidRPr="000A4B4C">
        <w:rPr>
          <w:i/>
        </w:rPr>
        <w:t xml:space="preserve"> Requirements</w:t>
      </w:r>
    </w:p>
    <w:p w14:paraId="59AD96D8" w14:textId="77777777" w:rsidR="000B6568" w:rsidRPr="000B6568" w:rsidRDefault="000B6568" w:rsidP="000B6568">
      <w:pPr>
        <w:pStyle w:val="Heading2"/>
        <w:spacing w:before="100" w:beforeAutospacing="1" w:after="0"/>
        <w:ind w:left="567" w:hanging="567"/>
        <w:jc w:val="both"/>
      </w:pPr>
      <w:r w:rsidRPr="000B6568">
        <w:t xml:space="preserve">Will the 8 week CTA activity meet the approved activity requirements and appear in the </w:t>
      </w:r>
      <w:proofErr w:type="gramStart"/>
      <w:r w:rsidRPr="000B6568">
        <w:t>department’s</w:t>
      </w:r>
      <w:proofErr w:type="gramEnd"/>
      <w:r w:rsidRPr="000B6568">
        <w:t xml:space="preserve"> IT Systems?</w:t>
      </w:r>
    </w:p>
    <w:p w14:paraId="7380C84A" w14:textId="5FEE2611" w:rsidR="000B6568" w:rsidRDefault="00BE54B1" w:rsidP="000B6568">
      <w:pPr>
        <w:spacing w:before="100" w:beforeAutospacing="1" w:after="0"/>
        <w:jc w:val="both"/>
        <w:rPr>
          <w:lang w:eastAsia="en-AU"/>
        </w:rPr>
      </w:pPr>
      <w:r>
        <w:rPr>
          <w:lang w:eastAsia="en-AU"/>
        </w:rPr>
        <w:t>Yes.</w:t>
      </w:r>
    </w:p>
    <w:p w14:paraId="2E90A756" w14:textId="0DE37F52" w:rsidR="000B6568" w:rsidRDefault="000B6568" w:rsidP="000B6568">
      <w:pPr>
        <w:spacing w:before="100" w:beforeAutospacing="1" w:after="0"/>
        <w:jc w:val="both"/>
        <w:rPr>
          <w:lang w:eastAsia="en-AU"/>
        </w:rPr>
      </w:pPr>
      <w:r w:rsidRPr="00EE0714">
        <w:rPr>
          <w:lang w:eastAsia="en-AU"/>
        </w:rPr>
        <w:t xml:space="preserve">CTA will continue to be an approved </w:t>
      </w:r>
      <w:r>
        <w:rPr>
          <w:lang w:eastAsia="en-AU"/>
        </w:rPr>
        <w:t>A</w:t>
      </w:r>
      <w:r w:rsidRPr="00EE0714">
        <w:rPr>
          <w:lang w:eastAsia="en-AU"/>
        </w:rPr>
        <w:t xml:space="preserve">ctivity </w:t>
      </w:r>
      <w:proofErr w:type="gramStart"/>
      <w:r w:rsidRPr="00EE0714">
        <w:rPr>
          <w:lang w:eastAsia="en-AU"/>
        </w:rPr>
        <w:t>for the purpose of</w:t>
      </w:r>
      <w:proofErr w:type="gramEnd"/>
      <w:r w:rsidRPr="00EE0714">
        <w:rPr>
          <w:lang w:eastAsia="en-AU"/>
        </w:rPr>
        <w:t xml:space="preserve"> meeting a job seeker’s Annual Activity Requirement (AAR). The department is still confirming how this </w:t>
      </w:r>
      <w:proofErr w:type="gramStart"/>
      <w:r w:rsidRPr="00EE0714">
        <w:rPr>
          <w:lang w:eastAsia="en-AU"/>
        </w:rPr>
        <w:t>will be reflected</w:t>
      </w:r>
      <w:proofErr w:type="gramEnd"/>
      <w:r w:rsidRPr="00EE0714">
        <w:rPr>
          <w:lang w:eastAsia="en-AU"/>
        </w:rPr>
        <w:t xml:space="preserve"> in the IT system, however a job seeker will be deemed to fully meet their AAR for the </w:t>
      </w:r>
      <w:r>
        <w:rPr>
          <w:lang w:eastAsia="en-AU"/>
        </w:rPr>
        <w:t>duration</w:t>
      </w:r>
      <w:r w:rsidRPr="00EE0714">
        <w:rPr>
          <w:lang w:eastAsia="en-AU"/>
        </w:rPr>
        <w:t xml:space="preserve"> of their participation in CTA.</w:t>
      </w:r>
    </w:p>
    <w:p w14:paraId="7E7049CF" w14:textId="1804D5A2" w:rsidR="000B6568" w:rsidRPr="00EE0714" w:rsidRDefault="000B6568" w:rsidP="000B6568">
      <w:pPr>
        <w:spacing w:before="100" w:beforeAutospacing="1" w:after="0"/>
        <w:jc w:val="both"/>
        <w:rPr>
          <w:i/>
          <w:lang w:eastAsia="en-AU"/>
        </w:rPr>
      </w:pPr>
      <w:r>
        <w:rPr>
          <w:i/>
          <w:lang w:eastAsia="en-AU"/>
        </w:rPr>
        <w:t>Reference</w:t>
      </w:r>
      <w:r w:rsidRPr="00B002D7">
        <w:rPr>
          <w:i/>
          <w:lang w:eastAsia="en-AU"/>
        </w:rPr>
        <w:t xml:space="preserve">: </w:t>
      </w:r>
      <w:r>
        <w:rPr>
          <w:i/>
          <w:lang w:eastAsia="en-AU"/>
        </w:rPr>
        <w:t>RFT</w:t>
      </w:r>
      <w:r w:rsidRPr="00B002D7">
        <w:rPr>
          <w:i/>
          <w:lang w:eastAsia="en-AU"/>
        </w:rPr>
        <w:t xml:space="preserve"> Section 2.</w:t>
      </w:r>
      <w:r>
        <w:rPr>
          <w:i/>
          <w:lang w:eastAsia="en-AU"/>
        </w:rPr>
        <w:t>4.1 – Use of the Department’s IT Systems and Draft Deed Clause 49.1 Definitions – Career Transition Assistance or CTA</w:t>
      </w:r>
    </w:p>
    <w:p w14:paraId="20636C85" w14:textId="77777777" w:rsidR="000B6568" w:rsidRDefault="000B6568" w:rsidP="000B6568">
      <w:pPr>
        <w:pStyle w:val="Heading2"/>
        <w:spacing w:before="100" w:beforeAutospacing="1" w:after="0"/>
        <w:ind w:left="567" w:hanging="567"/>
        <w:jc w:val="both"/>
      </w:pPr>
      <w:r>
        <w:t xml:space="preserve">Can the department clarify the definition of </w:t>
      </w:r>
      <w:r w:rsidRPr="00A148B5">
        <w:t>a rolling, flexible model</w:t>
      </w:r>
      <w:r>
        <w:t>?</w:t>
      </w:r>
    </w:p>
    <w:p w14:paraId="2146DC98" w14:textId="77777777" w:rsidR="000B6568" w:rsidRDefault="000B6568" w:rsidP="000B6568">
      <w:pPr>
        <w:spacing w:before="100" w:beforeAutospacing="1" w:after="0"/>
        <w:jc w:val="both"/>
        <w:rPr>
          <w:lang w:eastAsia="en-AU"/>
        </w:rPr>
      </w:pPr>
      <w:r w:rsidRPr="00A148B5">
        <w:rPr>
          <w:lang w:eastAsia="en-AU"/>
        </w:rPr>
        <w:t xml:space="preserve">CTA </w:t>
      </w:r>
      <w:proofErr w:type="gramStart"/>
      <w:r w:rsidRPr="00A148B5">
        <w:rPr>
          <w:lang w:eastAsia="en-AU"/>
        </w:rPr>
        <w:t>is specifically designed</w:t>
      </w:r>
      <w:proofErr w:type="gramEnd"/>
      <w:r w:rsidRPr="00A148B5">
        <w:rPr>
          <w:lang w:eastAsia="en-AU"/>
        </w:rPr>
        <w:t xml:space="preserve"> </w:t>
      </w:r>
      <w:r>
        <w:rPr>
          <w:lang w:eastAsia="en-AU"/>
        </w:rPr>
        <w:t xml:space="preserve">as a flexible ‘rolling’ model. </w:t>
      </w:r>
      <w:r w:rsidRPr="00A148B5">
        <w:rPr>
          <w:lang w:eastAsia="en-AU"/>
        </w:rPr>
        <w:t xml:space="preserve">A ‘block’ style arrangement is unsuitable for this program as referrals are to </w:t>
      </w:r>
      <w:proofErr w:type="gramStart"/>
      <w:r w:rsidRPr="00A148B5">
        <w:rPr>
          <w:lang w:eastAsia="en-AU"/>
        </w:rPr>
        <w:t>be accepted</w:t>
      </w:r>
      <w:proofErr w:type="gramEnd"/>
      <w:r w:rsidRPr="00A148B5">
        <w:rPr>
          <w:lang w:eastAsia="en-AU"/>
        </w:rPr>
        <w:t xml:space="preserve"> on a continuous basis.</w:t>
      </w:r>
    </w:p>
    <w:p w14:paraId="3689887D" w14:textId="77777777" w:rsidR="000B6568" w:rsidRPr="00A148B5" w:rsidRDefault="000B6568" w:rsidP="000B6568">
      <w:pPr>
        <w:spacing w:before="100" w:beforeAutospacing="1" w:after="0"/>
        <w:jc w:val="both"/>
        <w:rPr>
          <w:lang w:eastAsia="en-AU"/>
        </w:rPr>
      </w:pPr>
      <w:r w:rsidRPr="00A148B5">
        <w:rPr>
          <w:lang w:eastAsia="en-AU"/>
        </w:rPr>
        <w:t xml:space="preserve">CTA requires an Initial Meeting to take place within five (5) Business Days of the referral however, following </w:t>
      </w:r>
      <w:proofErr w:type="gramStart"/>
      <w:r w:rsidRPr="00A148B5">
        <w:rPr>
          <w:lang w:eastAsia="en-AU"/>
        </w:rPr>
        <w:t>this,</w:t>
      </w:r>
      <w:proofErr w:type="gramEnd"/>
      <w:r w:rsidRPr="00A148B5">
        <w:rPr>
          <w:lang w:eastAsia="en-AU"/>
        </w:rPr>
        <w:t xml:space="preserve"> the CTA Provider is able to deliver CTA Course Content flexibly over an eight (8) week period, as long as the minimum total hours (75) are delivered, with a minimum of 50 hours of this in a group setting. CTA Providers are encouraged to develop strong relationships with the jobactive providers in their Employment Region to facilitate appropriate and timely referrals into the program.</w:t>
      </w:r>
    </w:p>
    <w:p w14:paraId="4B38626C" w14:textId="2A0AF998" w:rsidR="000B6568" w:rsidRPr="00BE54B1" w:rsidRDefault="000B6568" w:rsidP="00BE54B1">
      <w:pPr>
        <w:spacing w:before="100" w:beforeAutospacing="1" w:after="0"/>
        <w:jc w:val="both"/>
      </w:pPr>
      <w:r w:rsidRPr="00424B1D">
        <w:rPr>
          <w:i/>
        </w:rPr>
        <w:t xml:space="preserve">Reference: </w:t>
      </w:r>
      <w:r w:rsidRPr="0001589C">
        <w:rPr>
          <w:i/>
        </w:rPr>
        <w:t>RFT Section 2.3.2.2 – General Delivery Requirements</w:t>
      </w:r>
      <w:r>
        <w:rPr>
          <w:i/>
        </w:rPr>
        <w:t xml:space="preserve"> and </w:t>
      </w:r>
      <w:r>
        <w:rPr>
          <w:i/>
          <w:lang w:eastAsia="en-AU"/>
        </w:rPr>
        <w:t>Draft Deed Clause 49.1 Definitions – Initial Meeting</w:t>
      </w:r>
    </w:p>
    <w:p w14:paraId="6A104BE0" w14:textId="27CC9166" w:rsidR="0056678F" w:rsidRPr="00086DFC" w:rsidRDefault="003C013C" w:rsidP="002C63AC">
      <w:pPr>
        <w:pStyle w:val="Heading1"/>
        <w:spacing w:before="100" w:beforeAutospacing="1" w:after="100" w:afterAutospacing="1"/>
        <w:jc w:val="both"/>
      </w:pPr>
      <w:bookmarkStart w:id="27" w:name="_Toc495050833"/>
      <w:bookmarkStart w:id="28" w:name="_Toc532209094"/>
      <w:bookmarkEnd w:id="21"/>
      <w:r>
        <w:t>CTA f</w:t>
      </w:r>
      <w:r w:rsidR="0056678F">
        <w:t>ees</w:t>
      </w:r>
      <w:bookmarkEnd w:id="28"/>
    </w:p>
    <w:p w14:paraId="234CE410" w14:textId="2C89877C" w:rsidR="002103B8" w:rsidRDefault="002103B8" w:rsidP="002C63AC">
      <w:pPr>
        <w:pStyle w:val="Heading2"/>
        <w:spacing w:before="100" w:beforeAutospacing="1" w:after="100" w:afterAutospacing="1"/>
        <w:ind w:left="567" w:hanging="567"/>
        <w:jc w:val="both"/>
        <w:rPr>
          <w:i/>
          <w:sz w:val="18"/>
        </w:rPr>
      </w:pPr>
      <w:r w:rsidRPr="00B002D7">
        <w:t xml:space="preserve">How </w:t>
      </w:r>
      <w:proofErr w:type="gramStart"/>
      <w:r w:rsidRPr="00B002D7">
        <w:t xml:space="preserve">will CTA </w:t>
      </w:r>
      <w:r>
        <w:t>P</w:t>
      </w:r>
      <w:r w:rsidRPr="00B002D7">
        <w:t>roviders be paid</w:t>
      </w:r>
      <w:proofErr w:type="gramEnd"/>
      <w:r w:rsidRPr="00B002D7">
        <w:t>?</w:t>
      </w:r>
    </w:p>
    <w:p w14:paraId="6AA03FC6" w14:textId="76EA9C82" w:rsidR="002103B8" w:rsidRPr="00B002D7" w:rsidRDefault="002103B8" w:rsidP="002103B8">
      <w:pPr>
        <w:spacing w:before="100" w:beforeAutospacing="1" w:after="100" w:afterAutospacing="1"/>
        <w:jc w:val="both"/>
      </w:pPr>
      <w:proofErr w:type="gramStart"/>
      <w:r w:rsidRPr="00B002D7">
        <w:t xml:space="preserve">Payments for CTA will be made by the </w:t>
      </w:r>
      <w:r>
        <w:t>jobactive provider</w:t>
      </w:r>
      <w:r w:rsidRPr="00B002D7">
        <w:t xml:space="preserve"> who </w:t>
      </w:r>
      <w:r>
        <w:t>r</w:t>
      </w:r>
      <w:r w:rsidRPr="00B002D7">
        <w:t>eferred the Participant</w:t>
      </w:r>
      <w:r>
        <w:t>, using the Employment Fund</w:t>
      </w:r>
      <w:proofErr w:type="gramEnd"/>
      <w:r w:rsidRPr="00B002D7">
        <w:t xml:space="preserve">. </w:t>
      </w:r>
      <w:r>
        <w:t xml:space="preserve"> Payments for CTA </w:t>
      </w:r>
      <w:proofErr w:type="gramStart"/>
      <w:r>
        <w:t>will be automated</w:t>
      </w:r>
      <w:proofErr w:type="gramEnd"/>
      <w:r>
        <w:t xml:space="preserve"> on commencement of a Participant into CTA, using the d</w:t>
      </w:r>
      <w:r w:rsidRPr="00204CC2">
        <w:t>epartment’s IT System</w:t>
      </w:r>
      <w:r>
        <w:t xml:space="preserve">s. Commencement occurs upon confirmation, in the department’s IT Systems, that the Initial Meeting </w:t>
      </w:r>
      <w:proofErr w:type="gramStart"/>
      <w:r>
        <w:t>has been completed</w:t>
      </w:r>
      <w:proofErr w:type="gramEnd"/>
      <w:r>
        <w:t>, including the completion of</w:t>
      </w:r>
      <w:r w:rsidR="00BE54B1">
        <w:t xml:space="preserve"> the Career Pathway Assessment.</w:t>
      </w:r>
    </w:p>
    <w:p w14:paraId="7BE61475" w14:textId="33F829CE" w:rsidR="002103B8" w:rsidRPr="002103B8" w:rsidRDefault="002103B8" w:rsidP="002103B8">
      <w:pPr>
        <w:spacing w:before="100" w:beforeAutospacing="1" w:after="100" w:afterAutospacing="1"/>
        <w:jc w:val="both"/>
        <w:rPr>
          <w:lang w:eastAsia="en-AU"/>
        </w:rPr>
      </w:pPr>
      <w:r w:rsidRPr="00B002D7">
        <w:rPr>
          <w:i/>
        </w:rPr>
        <w:t xml:space="preserve">Reference: </w:t>
      </w:r>
      <w:r>
        <w:rPr>
          <w:i/>
        </w:rPr>
        <w:t>RFT</w:t>
      </w:r>
      <w:r w:rsidRPr="00B002D7">
        <w:rPr>
          <w:i/>
        </w:rPr>
        <w:t xml:space="preserve"> Section 2.6—Payments to </w:t>
      </w:r>
      <w:r w:rsidR="00BE54B1">
        <w:rPr>
          <w:i/>
        </w:rPr>
        <w:t>CTA Providers</w:t>
      </w:r>
    </w:p>
    <w:p w14:paraId="2B784BBB" w14:textId="08C3B617" w:rsidR="002103B8" w:rsidRDefault="00206C9A" w:rsidP="002C63AC">
      <w:pPr>
        <w:pStyle w:val="Heading2"/>
        <w:spacing w:before="100" w:beforeAutospacing="1" w:after="100" w:afterAutospacing="1"/>
        <w:ind w:left="567" w:hanging="567"/>
        <w:jc w:val="both"/>
        <w:rPr>
          <w:i/>
          <w:sz w:val="18"/>
        </w:rPr>
      </w:pPr>
      <w:r>
        <w:t>Will additional funding be available through the Employment Fund for CTA?</w:t>
      </w:r>
    </w:p>
    <w:p w14:paraId="1B2D6F36" w14:textId="415ADA2A" w:rsidR="002103B8" w:rsidRDefault="00206C9A" w:rsidP="002103B8">
      <w:pPr>
        <w:rPr>
          <w:lang w:eastAsia="en-AU"/>
        </w:rPr>
      </w:pPr>
      <w:r>
        <w:rPr>
          <w:lang w:eastAsia="en-AU"/>
        </w:rPr>
        <w:t>No.</w:t>
      </w:r>
    </w:p>
    <w:p w14:paraId="7F601C7C" w14:textId="55DC3555" w:rsidR="00393112" w:rsidRPr="00393112" w:rsidRDefault="00393112" w:rsidP="00B40CB2">
      <w:pPr>
        <w:spacing w:before="100" w:beforeAutospacing="1" w:after="100" w:afterAutospacing="1"/>
        <w:jc w:val="both"/>
        <w:rPr>
          <w:i/>
        </w:rPr>
      </w:pPr>
      <w:r w:rsidRPr="00393112">
        <w:rPr>
          <w:i/>
        </w:rPr>
        <w:t>Reference: RFT Section 2.6—Payments to CTA Providers</w:t>
      </w:r>
    </w:p>
    <w:p w14:paraId="32FD2699" w14:textId="27CC0881" w:rsidR="00206C9A" w:rsidRPr="002B3363" w:rsidRDefault="00206C9A" w:rsidP="002C63AC">
      <w:pPr>
        <w:pStyle w:val="Heading2"/>
        <w:spacing w:before="100" w:beforeAutospacing="1" w:after="100" w:afterAutospacing="1"/>
        <w:ind w:left="567" w:hanging="567"/>
        <w:jc w:val="both"/>
      </w:pPr>
      <w:r w:rsidRPr="002B3363">
        <w:t xml:space="preserve">Will referrals made to </w:t>
      </w:r>
      <w:r w:rsidR="002B3363" w:rsidRPr="002B3363">
        <w:t>CTA</w:t>
      </w:r>
      <w:r w:rsidRPr="002B3363">
        <w:t xml:space="preserve"> need to </w:t>
      </w:r>
      <w:proofErr w:type="gramStart"/>
      <w:r w:rsidRPr="002B3363">
        <w:t>be made</w:t>
      </w:r>
      <w:proofErr w:type="gramEnd"/>
      <w:r w:rsidRPr="002B3363">
        <w:t xml:space="preserve"> using the Employment Fund</w:t>
      </w:r>
      <w:r w:rsidR="00210726">
        <w:t>?</w:t>
      </w:r>
    </w:p>
    <w:p w14:paraId="2B58F8FB" w14:textId="2F59834E" w:rsidR="002B3363" w:rsidRDefault="00393112" w:rsidP="00206C9A">
      <w:pPr>
        <w:rPr>
          <w:lang w:eastAsia="en-AU"/>
        </w:rPr>
      </w:pPr>
      <w:r w:rsidRPr="00393112">
        <w:rPr>
          <w:lang w:eastAsia="en-AU"/>
        </w:rPr>
        <w:t>Yes</w:t>
      </w:r>
      <w:r>
        <w:rPr>
          <w:lang w:eastAsia="en-AU"/>
        </w:rPr>
        <w:t>.</w:t>
      </w:r>
      <w:r w:rsidR="002B3363">
        <w:rPr>
          <w:lang w:eastAsia="en-AU"/>
        </w:rPr>
        <w:t xml:space="preserve"> </w:t>
      </w:r>
      <w:r>
        <w:rPr>
          <w:lang w:eastAsia="en-AU"/>
        </w:rPr>
        <w:t>R</w:t>
      </w:r>
      <w:r w:rsidRPr="00393112">
        <w:rPr>
          <w:lang w:eastAsia="en-AU"/>
        </w:rPr>
        <w:t xml:space="preserve">eferrals </w:t>
      </w:r>
      <w:proofErr w:type="gramStart"/>
      <w:r w:rsidRPr="00393112">
        <w:rPr>
          <w:lang w:eastAsia="en-AU"/>
        </w:rPr>
        <w:t>will be made by jobactive providers and paid for using the Employment Fund only</w:t>
      </w:r>
      <w:proofErr w:type="gramEnd"/>
      <w:r w:rsidRPr="00393112">
        <w:rPr>
          <w:lang w:eastAsia="en-AU"/>
        </w:rPr>
        <w:t>.</w:t>
      </w:r>
    </w:p>
    <w:p w14:paraId="3DC12D70" w14:textId="7D0CFCCB" w:rsidR="00393112" w:rsidRPr="00393112" w:rsidRDefault="00393112" w:rsidP="00B40CB2">
      <w:pPr>
        <w:spacing w:before="100" w:beforeAutospacing="1" w:after="100" w:afterAutospacing="1"/>
        <w:jc w:val="both"/>
        <w:rPr>
          <w:i/>
        </w:rPr>
      </w:pPr>
      <w:r w:rsidRPr="00393112">
        <w:rPr>
          <w:i/>
        </w:rPr>
        <w:t>Reference: RFT Section 2.6—Payments to CTA Providers</w:t>
      </w:r>
    </w:p>
    <w:p w14:paraId="09A57407" w14:textId="33CAA333" w:rsidR="009C780E" w:rsidRPr="00873782" w:rsidRDefault="003C013C" w:rsidP="002C63AC">
      <w:pPr>
        <w:pStyle w:val="Heading1"/>
        <w:spacing w:before="100" w:beforeAutospacing="1" w:after="100" w:afterAutospacing="1"/>
        <w:jc w:val="both"/>
      </w:pPr>
      <w:bookmarkStart w:id="29" w:name="_Toc495050837"/>
      <w:bookmarkStart w:id="30" w:name="_Toc532209095"/>
      <w:bookmarkEnd w:id="27"/>
      <w:r>
        <w:t>Eligibility to a</w:t>
      </w:r>
      <w:r w:rsidR="009C780E" w:rsidRPr="00873782">
        <w:t>pply</w:t>
      </w:r>
      <w:bookmarkEnd w:id="29"/>
      <w:bookmarkEnd w:id="30"/>
    </w:p>
    <w:p w14:paraId="472B8C04" w14:textId="17C0D9FF" w:rsidR="009C780E" w:rsidRPr="00B002D7" w:rsidRDefault="009C780E" w:rsidP="002C63AC">
      <w:pPr>
        <w:pStyle w:val="Heading2"/>
        <w:spacing w:before="100" w:beforeAutospacing="1" w:after="100" w:afterAutospacing="1"/>
        <w:ind w:left="567" w:hanging="567"/>
        <w:jc w:val="both"/>
        <w:rPr>
          <w:i/>
          <w:sz w:val="18"/>
        </w:rPr>
      </w:pPr>
      <w:r w:rsidRPr="00FD75FD">
        <w:t>Who is el</w:t>
      </w:r>
      <w:r w:rsidR="00025DB5">
        <w:t>igible to submit a response</w:t>
      </w:r>
      <w:r w:rsidR="00FD0248">
        <w:t xml:space="preserve"> to deliver </w:t>
      </w:r>
      <w:r w:rsidR="006412AC" w:rsidRPr="00B002D7">
        <w:t>CTA</w:t>
      </w:r>
      <w:r w:rsidR="00BE54B1">
        <w:t>?</w:t>
      </w:r>
    </w:p>
    <w:p w14:paraId="60A61604" w14:textId="5B0B6F0C" w:rsidR="00E276AD" w:rsidRPr="00B002D7" w:rsidRDefault="00D06504" w:rsidP="002C63AC">
      <w:pPr>
        <w:keepNext/>
        <w:keepLines/>
        <w:spacing w:before="100" w:beforeAutospacing="1" w:after="100" w:afterAutospacing="1"/>
        <w:jc w:val="both"/>
        <w:rPr>
          <w:rFonts w:eastAsiaTheme="minorEastAsia"/>
        </w:rPr>
      </w:pPr>
      <w:r w:rsidRPr="00B002D7">
        <w:t xml:space="preserve">To be eligible to apply </w:t>
      </w:r>
      <w:r w:rsidRPr="00B002D7">
        <w:rPr>
          <w:lang w:eastAsia="en-AU"/>
        </w:rPr>
        <w:t xml:space="preserve">to </w:t>
      </w:r>
      <w:proofErr w:type="gramStart"/>
      <w:r w:rsidRPr="00B002D7">
        <w:rPr>
          <w:lang w:eastAsia="en-AU"/>
        </w:rPr>
        <w:t>be appointed</w:t>
      </w:r>
      <w:proofErr w:type="gramEnd"/>
      <w:r w:rsidRPr="00B002D7">
        <w:rPr>
          <w:lang w:eastAsia="en-AU"/>
        </w:rPr>
        <w:t xml:space="preserve"> </w:t>
      </w:r>
      <w:r w:rsidR="00CC5BBB">
        <w:rPr>
          <w:lang w:eastAsia="en-AU"/>
        </w:rPr>
        <w:t xml:space="preserve">as a </w:t>
      </w:r>
      <w:r w:rsidR="00584CF4">
        <w:rPr>
          <w:lang w:eastAsia="en-AU"/>
        </w:rPr>
        <w:t>CTA</w:t>
      </w:r>
      <w:r w:rsidR="00CC5BBB">
        <w:rPr>
          <w:lang w:eastAsia="en-AU"/>
        </w:rPr>
        <w:t xml:space="preserve"> </w:t>
      </w:r>
      <w:r w:rsidR="005721C6">
        <w:rPr>
          <w:lang w:eastAsia="en-AU"/>
        </w:rPr>
        <w:t>P</w:t>
      </w:r>
      <w:r w:rsidR="00CC5BBB">
        <w:rPr>
          <w:lang w:eastAsia="en-AU"/>
        </w:rPr>
        <w:t>rovider</w:t>
      </w:r>
      <w:r w:rsidR="00584CF4">
        <w:t xml:space="preserve">, </w:t>
      </w:r>
      <w:r w:rsidRPr="00B002D7">
        <w:t xml:space="preserve">Respondents must have a current and valid Australian Business Number (ABN). </w:t>
      </w:r>
      <w:r w:rsidRPr="00B002D7">
        <w:rPr>
          <w:rFonts w:eastAsiaTheme="minorEastAsia"/>
        </w:rPr>
        <w:t xml:space="preserve">Where a </w:t>
      </w:r>
      <w:proofErr w:type="gramStart"/>
      <w:r w:rsidRPr="00B002D7">
        <w:rPr>
          <w:rFonts w:eastAsiaTheme="minorEastAsia"/>
        </w:rPr>
        <w:t xml:space="preserve">response is being submitted by a </w:t>
      </w:r>
      <w:r w:rsidR="00CC5BBB">
        <w:rPr>
          <w:rFonts w:eastAsiaTheme="minorEastAsia"/>
        </w:rPr>
        <w:t>G</w:t>
      </w:r>
      <w:r w:rsidRPr="00B002D7">
        <w:rPr>
          <w:rFonts w:eastAsiaTheme="minorEastAsia"/>
        </w:rPr>
        <w:t xml:space="preserve">roup </w:t>
      </w:r>
      <w:r w:rsidR="00CC5BBB">
        <w:rPr>
          <w:rFonts w:eastAsiaTheme="minorEastAsia"/>
        </w:rPr>
        <w:t>Respondent</w:t>
      </w:r>
      <w:proofErr w:type="gramEnd"/>
      <w:r w:rsidR="00FD0248" w:rsidRPr="00B002D7">
        <w:rPr>
          <w:rFonts w:eastAsiaTheme="minorEastAsia"/>
        </w:rPr>
        <w:t xml:space="preserve">, </w:t>
      </w:r>
      <w:r w:rsidRPr="00B002D7">
        <w:rPr>
          <w:rFonts w:eastAsiaTheme="minorEastAsia"/>
        </w:rPr>
        <w:t xml:space="preserve">each member of the </w:t>
      </w:r>
      <w:r w:rsidR="00CC5BBB">
        <w:rPr>
          <w:rFonts w:eastAsiaTheme="minorEastAsia"/>
        </w:rPr>
        <w:t>Group Responden</w:t>
      </w:r>
      <w:r w:rsidR="00C87F61">
        <w:rPr>
          <w:rFonts w:eastAsiaTheme="minorEastAsia"/>
        </w:rPr>
        <w:t>t</w:t>
      </w:r>
      <w:r w:rsidRPr="00B002D7">
        <w:t xml:space="preserve"> must </w:t>
      </w:r>
      <w:r w:rsidRPr="00B002D7">
        <w:rPr>
          <w:rFonts w:eastAsiaTheme="minorEastAsia"/>
        </w:rPr>
        <w:t>have a current and valid ABN</w:t>
      </w:r>
      <w:r w:rsidR="00830FD6" w:rsidRPr="00B002D7">
        <w:rPr>
          <w:rFonts w:eastAsiaTheme="minorEastAsia"/>
        </w:rPr>
        <w:t>.</w:t>
      </w:r>
    </w:p>
    <w:p w14:paraId="36D34D33" w14:textId="35A6860A" w:rsidR="00475E30" w:rsidRDefault="00475E30" w:rsidP="002C63AC">
      <w:pPr>
        <w:spacing w:before="100" w:beforeAutospacing="1" w:after="100" w:afterAutospacing="1"/>
        <w:jc w:val="both"/>
        <w:rPr>
          <w:lang w:eastAsia="en-AU"/>
        </w:rPr>
      </w:pPr>
      <w:r>
        <w:rPr>
          <w:lang w:eastAsia="en-AU"/>
        </w:rPr>
        <w:t xml:space="preserve">All Respondents that currently deliver any Australian Government or state, territory or local government funded employment services or business advisory or facilitation services </w:t>
      </w:r>
      <w:r w:rsidRPr="00475E30">
        <w:rPr>
          <w:lang w:eastAsia="en-AU"/>
        </w:rPr>
        <w:t>must</w:t>
      </w:r>
      <w:r>
        <w:rPr>
          <w:lang w:eastAsia="en-AU"/>
        </w:rPr>
        <w:t xml:space="preserve"> outline how any real or perceived Conflict of Interest issues </w:t>
      </w:r>
      <w:proofErr w:type="gramStart"/>
      <w:r>
        <w:rPr>
          <w:lang w:eastAsia="en-AU"/>
        </w:rPr>
        <w:t>will be addressed</w:t>
      </w:r>
      <w:proofErr w:type="gramEnd"/>
      <w:r>
        <w:rPr>
          <w:lang w:eastAsia="en-AU"/>
        </w:rPr>
        <w:t>. Conflicts of Interest</w:t>
      </w:r>
      <w:r w:rsidRPr="001D25AA">
        <w:rPr>
          <w:lang w:eastAsia="en-AU"/>
        </w:rPr>
        <w:t xml:space="preserve"> </w:t>
      </w:r>
      <w:proofErr w:type="gramStart"/>
      <w:r w:rsidRPr="00475E30">
        <w:rPr>
          <w:lang w:eastAsia="en-AU"/>
        </w:rPr>
        <w:t>must</w:t>
      </w:r>
      <w:r w:rsidRPr="001D25AA">
        <w:rPr>
          <w:lang w:eastAsia="en-AU"/>
        </w:rPr>
        <w:t xml:space="preserve"> be </w:t>
      </w:r>
      <w:r w:rsidR="00CB1C9F">
        <w:rPr>
          <w:lang w:eastAsia="en-AU"/>
        </w:rPr>
        <w:t>declared</w:t>
      </w:r>
      <w:proofErr w:type="gramEnd"/>
      <w:r w:rsidR="00CB1C9F" w:rsidRPr="001D25AA">
        <w:rPr>
          <w:lang w:eastAsia="en-AU"/>
        </w:rPr>
        <w:t xml:space="preserve"> </w:t>
      </w:r>
      <w:r w:rsidRPr="001D25AA">
        <w:rPr>
          <w:lang w:eastAsia="en-AU"/>
        </w:rPr>
        <w:t xml:space="preserve">using the </w:t>
      </w:r>
      <w:r w:rsidRPr="00475E30">
        <w:rPr>
          <w:i/>
          <w:lang w:eastAsia="en-AU"/>
        </w:rPr>
        <w:t>Conflict of Interest Form</w:t>
      </w:r>
      <w:r w:rsidRPr="001D25AA">
        <w:rPr>
          <w:i/>
          <w:lang w:eastAsia="en-AU"/>
        </w:rPr>
        <w:t xml:space="preserve"> </w:t>
      </w:r>
      <w:r w:rsidRPr="001D25AA">
        <w:rPr>
          <w:lang w:eastAsia="en-AU"/>
        </w:rPr>
        <w:t>available from 360Pro.</w:t>
      </w:r>
    </w:p>
    <w:p w14:paraId="19F1D7C6" w14:textId="645E0E69" w:rsidR="00AC4329" w:rsidRDefault="00D06504" w:rsidP="002C63AC">
      <w:pPr>
        <w:spacing w:before="100" w:beforeAutospacing="1" w:after="100" w:afterAutospacing="1"/>
        <w:jc w:val="both"/>
        <w:rPr>
          <w:i/>
        </w:rPr>
      </w:pPr>
      <w:r w:rsidRPr="00B002D7">
        <w:t xml:space="preserve">State, territory and local government entities may respond to the </w:t>
      </w:r>
      <w:r w:rsidR="00A45149">
        <w:t>RFT</w:t>
      </w:r>
      <w:r w:rsidRPr="00B002D7">
        <w:t xml:space="preserve"> provided all the requirements to submit a response and enter into a Deed with the </w:t>
      </w:r>
      <w:r w:rsidR="0075629E">
        <w:t>d</w:t>
      </w:r>
      <w:r w:rsidRPr="00B002D7">
        <w:t xml:space="preserve">epartment </w:t>
      </w:r>
      <w:proofErr w:type="gramStart"/>
      <w:r w:rsidRPr="00B002D7">
        <w:t>are</w:t>
      </w:r>
      <w:proofErr w:type="gramEnd"/>
      <w:r w:rsidRPr="00B002D7">
        <w:t xml:space="preserve"> met</w:t>
      </w:r>
      <w:r w:rsidR="00475E30">
        <w:t>.</w:t>
      </w:r>
      <w:r w:rsidR="00CB1C9F">
        <w:t xml:space="preserve"> </w:t>
      </w:r>
      <w:r w:rsidRPr="00B002D7">
        <w:t xml:space="preserve">Foreign companies can only apply if they </w:t>
      </w:r>
      <w:proofErr w:type="gramStart"/>
      <w:r w:rsidRPr="00B002D7">
        <w:t>are registered</w:t>
      </w:r>
      <w:proofErr w:type="gramEnd"/>
      <w:r w:rsidRPr="00B002D7">
        <w:t xml:space="preserve"> under part 5B.2 of the </w:t>
      </w:r>
      <w:r w:rsidRPr="00B002D7">
        <w:rPr>
          <w:i/>
        </w:rPr>
        <w:t>Corporations Act 2001 </w:t>
      </w:r>
      <w:r w:rsidRPr="00B002D7">
        <w:t>(</w:t>
      </w:r>
      <w:proofErr w:type="spellStart"/>
      <w:r w:rsidRPr="00B002D7">
        <w:t>Cth</w:t>
      </w:r>
      <w:proofErr w:type="spellEnd"/>
      <w:r w:rsidRPr="00B002D7">
        <w:t>)</w:t>
      </w:r>
      <w:r w:rsidRPr="00B002D7">
        <w:rPr>
          <w:i/>
        </w:rPr>
        <w:t>.</w:t>
      </w:r>
    </w:p>
    <w:p w14:paraId="3308860A" w14:textId="4EC58C54" w:rsidR="007A1D2C" w:rsidRPr="00B002D7" w:rsidRDefault="00D06504" w:rsidP="002C63AC">
      <w:pPr>
        <w:spacing w:before="100" w:beforeAutospacing="1" w:after="100" w:afterAutospacing="1"/>
        <w:jc w:val="both"/>
        <w:rPr>
          <w:rFonts w:eastAsiaTheme="minorEastAsia"/>
        </w:rPr>
      </w:pPr>
      <w:r w:rsidRPr="00B002D7">
        <w:t xml:space="preserve">Any size organisation can apply to deliver this program, providing they meet the eligibility requirements </w:t>
      </w:r>
      <w:r w:rsidR="00327EEA" w:rsidRPr="00B002D7">
        <w:t>outlined</w:t>
      </w:r>
      <w:r w:rsidRPr="00B002D7">
        <w:t xml:space="preserve"> in the </w:t>
      </w:r>
      <w:r w:rsidR="00A45149">
        <w:t>RFT</w:t>
      </w:r>
      <w:r w:rsidR="007A1D2C" w:rsidRPr="00B002D7">
        <w:rPr>
          <w:rFonts w:eastAsiaTheme="minorEastAsia"/>
        </w:rPr>
        <w:t>.</w:t>
      </w:r>
    </w:p>
    <w:p w14:paraId="4A3D07EA" w14:textId="4E2D7806" w:rsidR="009C780E" w:rsidRPr="00B002D7" w:rsidRDefault="009569BE" w:rsidP="002C63AC">
      <w:pPr>
        <w:spacing w:before="100" w:beforeAutospacing="1" w:after="100" w:afterAutospacing="1"/>
        <w:jc w:val="both"/>
        <w:rPr>
          <w:i/>
        </w:rPr>
      </w:pPr>
      <w:r w:rsidRPr="00B002D7">
        <w:rPr>
          <w:i/>
        </w:rPr>
        <w:t xml:space="preserve">Reference: </w:t>
      </w:r>
      <w:r w:rsidR="00A45149">
        <w:rPr>
          <w:i/>
        </w:rPr>
        <w:t>RFT</w:t>
      </w:r>
      <w:r w:rsidRPr="00B002D7">
        <w:rPr>
          <w:i/>
        </w:rPr>
        <w:t xml:space="preserve"> </w:t>
      </w:r>
      <w:r w:rsidR="00B12967" w:rsidRPr="00B002D7">
        <w:rPr>
          <w:i/>
        </w:rPr>
        <w:t xml:space="preserve">Chapter </w:t>
      </w:r>
      <w:r w:rsidR="00FD0248" w:rsidRPr="00B002D7">
        <w:rPr>
          <w:i/>
        </w:rPr>
        <w:t>4</w:t>
      </w:r>
      <w:r w:rsidR="00B12967" w:rsidRPr="00B002D7">
        <w:rPr>
          <w:i/>
        </w:rPr>
        <w:t>—</w:t>
      </w:r>
      <w:r w:rsidR="00760433" w:rsidRPr="00B002D7">
        <w:rPr>
          <w:i/>
        </w:rPr>
        <w:t xml:space="preserve">Eligibility to </w:t>
      </w:r>
      <w:r w:rsidRPr="00B002D7">
        <w:rPr>
          <w:i/>
        </w:rPr>
        <w:t>A</w:t>
      </w:r>
      <w:r w:rsidR="006412AC" w:rsidRPr="00B002D7">
        <w:rPr>
          <w:i/>
        </w:rPr>
        <w:t>pply</w:t>
      </w:r>
      <w:r w:rsidR="00AD782E">
        <w:rPr>
          <w:i/>
        </w:rPr>
        <w:t xml:space="preserve"> and</w:t>
      </w:r>
      <w:r w:rsidR="001F3E83">
        <w:rPr>
          <w:i/>
        </w:rPr>
        <w:t xml:space="preserve"> </w:t>
      </w:r>
      <w:r w:rsidR="00B6792B">
        <w:rPr>
          <w:i/>
        </w:rPr>
        <w:t xml:space="preserve">RFT Section </w:t>
      </w:r>
      <w:r w:rsidR="00BE54B1">
        <w:rPr>
          <w:i/>
        </w:rPr>
        <w:t>6.3.4 – Conflict of Interest</w:t>
      </w:r>
    </w:p>
    <w:p w14:paraId="621B4733" w14:textId="2AFADDA2" w:rsidR="00E278AA" w:rsidRPr="00B002D7" w:rsidRDefault="00E278AA" w:rsidP="002C63AC">
      <w:pPr>
        <w:pStyle w:val="Heading2"/>
        <w:spacing w:before="100" w:beforeAutospacing="1" w:after="100" w:afterAutospacing="1"/>
        <w:ind w:left="567" w:hanging="567"/>
        <w:jc w:val="both"/>
        <w:rPr>
          <w:i/>
          <w:sz w:val="18"/>
        </w:rPr>
      </w:pPr>
      <w:bookmarkStart w:id="31" w:name="_Toc493147171"/>
      <w:bookmarkStart w:id="32" w:name="_Toc493147173"/>
      <w:bookmarkEnd w:id="31"/>
      <w:bookmarkEnd w:id="32"/>
      <w:r w:rsidRPr="00E278AA">
        <w:t xml:space="preserve">Can </w:t>
      </w:r>
      <w:r w:rsidR="008B3EE5">
        <w:t>j</w:t>
      </w:r>
      <w:r w:rsidR="006B2E40">
        <w:t xml:space="preserve">obactive </w:t>
      </w:r>
      <w:r w:rsidR="0075629E">
        <w:t>p</w:t>
      </w:r>
      <w:r w:rsidR="006B2E40">
        <w:t>rovider</w:t>
      </w:r>
      <w:r w:rsidR="00716D8D">
        <w:t>s</w:t>
      </w:r>
      <w:r w:rsidR="00BE54B1">
        <w:t xml:space="preserve"> apply to deliver CTA services?</w:t>
      </w:r>
    </w:p>
    <w:p w14:paraId="03115C9E" w14:textId="1F65454B" w:rsidR="00E278AA" w:rsidRDefault="00E278AA" w:rsidP="002C63AC">
      <w:pPr>
        <w:spacing w:before="100" w:beforeAutospacing="1" w:after="100" w:afterAutospacing="1"/>
        <w:jc w:val="both"/>
      </w:pPr>
      <w:r w:rsidRPr="00E278AA">
        <w:t xml:space="preserve">Yes, </w:t>
      </w:r>
      <w:r w:rsidR="008B3EE5">
        <w:t>j</w:t>
      </w:r>
      <w:r w:rsidR="006B2E40">
        <w:t xml:space="preserve">obactive </w:t>
      </w:r>
      <w:r w:rsidR="0075629E">
        <w:t>p</w:t>
      </w:r>
      <w:r w:rsidR="006B2E40">
        <w:t>rovider</w:t>
      </w:r>
      <w:r w:rsidR="00716D8D">
        <w:t>s</w:t>
      </w:r>
      <w:r w:rsidRPr="00E278AA">
        <w:t xml:space="preserve"> are </w:t>
      </w:r>
      <w:r w:rsidR="00CB1C9F">
        <w:t>eligible</w:t>
      </w:r>
      <w:r w:rsidR="00CB1C9F" w:rsidRPr="00E278AA">
        <w:t xml:space="preserve"> </w:t>
      </w:r>
      <w:r w:rsidRPr="00E278AA">
        <w:t>to apply to deliver CTA services.</w:t>
      </w:r>
    </w:p>
    <w:p w14:paraId="0B200120" w14:textId="65D7E8E9" w:rsidR="001F3E83" w:rsidRDefault="001F3E83" w:rsidP="002C63AC">
      <w:pPr>
        <w:spacing w:before="100" w:beforeAutospacing="1" w:after="100" w:afterAutospacing="1"/>
        <w:jc w:val="both"/>
      </w:pPr>
      <w:r w:rsidRPr="00B002D7">
        <w:rPr>
          <w:i/>
        </w:rPr>
        <w:t xml:space="preserve">Reference: </w:t>
      </w:r>
      <w:r>
        <w:rPr>
          <w:i/>
        </w:rPr>
        <w:t>RFT</w:t>
      </w:r>
      <w:r w:rsidRPr="00B002D7">
        <w:rPr>
          <w:i/>
        </w:rPr>
        <w:t xml:space="preserve"> Chapter 4—Eligibility to Apply</w:t>
      </w:r>
    </w:p>
    <w:p w14:paraId="05AD7C14" w14:textId="7D4B8D87" w:rsidR="001A0E36" w:rsidRPr="00F656E6" w:rsidRDefault="003C013C" w:rsidP="002C63AC">
      <w:pPr>
        <w:pStyle w:val="Heading1"/>
        <w:spacing w:before="100" w:beforeAutospacing="1" w:after="100" w:afterAutospacing="1"/>
        <w:jc w:val="both"/>
      </w:pPr>
      <w:bookmarkStart w:id="33" w:name="_Toc495050851"/>
      <w:bookmarkStart w:id="34" w:name="_Toc532209096"/>
      <w:r>
        <w:t>Quality and p</w:t>
      </w:r>
      <w:r w:rsidR="001A0E36" w:rsidRPr="00F656E6">
        <w:t>erformance</w:t>
      </w:r>
      <w:bookmarkEnd w:id="33"/>
      <w:bookmarkEnd w:id="34"/>
    </w:p>
    <w:p w14:paraId="67F5EEF2" w14:textId="6EC0C624" w:rsidR="001A0E36" w:rsidRPr="00F656E6" w:rsidRDefault="001A0E36" w:rsidP="002C63AC">
      <w:pPr>
        <w:pStyle w:val="Heading2"/>
        <w:spacing w:before="100" w:beforeAutospacing="1" w:after="100" w:afterAutospacing="1"/>
        <w:ind w:left="567" w:hanging="567"/>
        <w:jc w:val="both"/>
        <w:rPr>
          <w:i/>
          <w:sz w:val="18"/>
        </w:rPr>
      </w:pPr>
      <w:r w:rsidRPr="00F656E6">
        <w:t xml:space="preserve">How </w:t>
      </w:r>
      <w:proofErr w:type="gramStart"/>
      <w:r w:rsidRPr="00F656E6">
        <w:t xml:space="preserve">will </w:t>
      </w:r>
      <w:r w:rsidR="00873782" w:rsidRPr="00F656E6">
        <w:t xml:space="preserve">the performance of </w:t>
      </w:r>
      <w:r w:rsidR="00993DC8" w:rsidRPr="00F656E6">
        <w:t>CTA</w:t>
      </w:r>
      <w:r w:rsidR="00BC1F78" w:rsidRPr="00F656E6">
        <w:t xml:space="preserve"> P</w:t>
      </w:r>
      <w:r w:rsidR="00873782" w:rsidRPr="00F656E6">
        <w:t>roviders be assessed</w:t>
      </w:r>
      <w:proofErr w:type="gramEnd"/>
      <w:r w:rsidR="00873782" w:rsidRPr="00F656E6">
        <w:t>?</w:t>
      </w:r>
    </w:p>
    <w:p w14:paraId="5674F67A" w14:textId="34E15B92" w:rsidR="00AC4329" w:rsidRPr="00F656E6" w:rsidRDefault="00AC4329" w:rsidP="002C63AC">
      <w:pPr>
        <w:spacing w:before="100" w:beforeAutospacing="1" w:after="100" w:afterAutospacing="1"/>
        <w:jc w:val="both"/>
      </w:pPr>
      <w:r w:rsidRPr="00F656E6">
        <w:t xml:space="preserve">CTA quality and performance management arrangements </w:t>
      </w:r>
      <w:r w:rsidR="00AC7083" w:rsidRPr="00F656E6">
        <w:t xml:space="preserve">are in place </w:t>
      </w:r>
      <w:r w:rsidRPr="00F656E6">
        <w:t>which set out the expectations, roles and accountabilities of each party</w:t>
      </w:r>
      <w:r w:rsidR="008B3EE5" w:rsidRPr="00F656E6">
        <w:t>,</w:t>
      </w:r>
      <w:r w:rsidRPr="00F656E6">
        <w:t xml:space="preserve"> including key performance indicators (KPIs) and mandatory service requirements. These will be set out in the Deed and in program Guidelines.</w:t>
      </w:r>
    </w:p>
    <w:p w14:paraId="60374F2C" w14:textId="20EFDA9C" w:rsidR="00AC7083" w:rsidRPr="00F656E6" w:rsidRDefault="00AC4329" w:rsidP="002C63AC">
      <w:pPr>
        <w:spacing w:before="100" w:beforeAutospacing="1" w:after="100" w:afterAutospacing="1"/>
        <w:jc w:val="both"/>
        <w:rPr>
          <w:i/>
        </w:rPr>
      </w:pPr>
      <w:r w:rsidRPr="00F656E6">
        <w:t xml:space="preserve">The performance of individual CTA </w:t>
      </w:r>
      <w:r w:rsidR="008B3EE5" w:rsidRPr="00F656E6">
        <w:t>P</w:t>
      </w:r>
      <w:r w:rsidRPr="00F656E6">
        <w:t xml:space="preserve">roviders </w:t>
      </w:r>
      <w:proofErr w:type="gramStart"/>
      <w:r w:rsidRPr="00F656E6">
        <w:t>will be regularly assessed</w:t>
      </w:r>
      <w:proofErr w:type="gramEnd"/>
      <w:r w:rsidRPr="00F656E6">
        <w:t xml:space="preserve"> by the </w:t>
      </w:r>
      <w:r w:rsidR="006B203A">
        <w:t>d</w:t>
      </w:r>
      <w:r w:rsidRPr="00F656E6">
        <w:t>epartment and may be used to determine sanctions, including termination of the Deed if required. Respondents should refer to the Draft Deed for further information</w:t>
      </w:r>
      <w:r w:rsidR="00BC2309" w:rsidRPr="00F656E6">
        <w:t>.</w:t>
      </w:r>
    </w:p>
    <w:p w14:paraId="18655044" w14:textId="49958B3F" w:rsidR="002A2C04" w:rsidRPr="00F656E6" w:rsidRDefault="002A2C04" w:rsidP="002C63AC">
      <w:pPr>
        <w:spacing w:before="100" w:beforeAutospacing="1" w:after="100" w:afterAutospacing="1"/>
        <w:jc w:val="both"/>
        <w:rPr>
          <w:i/>
        </w:rPr>
      </w:pPr>
      <w:r w:rsidRPr="00F656E6">
        <w:rPr>
          <w:i/>
        </w:rPr>
        <w:t xml:space="preserve">Reference: </w:t>
      </w:r>
      <w:r w:rsidR="00A45149" w:rsidRPr="00F656E6">
        <w:rPr>
          <w:i/>
        </w:rPr>
        <w:t>RFT</w:t>
      </w:r>
      <w:r w:rsidRPr="00F656E6">
        <w:rPr>
          <w:i/>
        </w:rPr>
        <w:t xml:space="preserve"> </w:t>
      </w:r>
      <w:r w:rsidR="00A153BF" w:rsidRPr="00F656E6">
        <w:rPr>
          <w:i/>
        </w:rPr>
        <w:t>Section 2.7.1</w:t>
      </w:r>
      <w:r w:rsidR="00A153BF" w:rsidRPr="00F656E6">
        <w:rPr>
          <w:rFonts w:eastAsiaTheme="minorEastAsia"/>
          <w:i/>
        </w:rPr>
        <w:t>—</w:t>
      </w:r>
      <w:r w:rsidR="00A153BF" w:rsidRPr="00F656E6">
        <w:rPr>
          <w:i/>
        </w:rPr>
        <w:t>Quality and Performance</w:t>
      </w:r>
      <w:r w:rsidR="001F3E83">
        <w:rPr>
          <w:i/>
        </w:rPr>
        <w:t xml:space="preserve"> </w:t>
      </w:r>
      <w:r w:rsidR="00AD782E">
        <w:rPr>
          <w:i/>
        </w:rPr>
        <w:t xml:space="preserve">and </w:t>
      </w:r>
      <w:r w:rsidR="00AD782E" w:rsidRPr="00F656E6">
        <w:rPr>
          <w:i/>
        </w:rPr>
        <w:t xml:space="preserve">RFT </w:t>
      </w:r>
      <w:r w:rsidR="00AD782E">
        <w:rPr>
          <w:i/>
        </w:rPr>
        <w:t>Section 2.7.2</w:t>
      </w:r>
      <w:r w:rsidR="00AD782E" w:rsidRPr="00F656E6">
        <w:rPr>
          <w:rFonts w:eastAsiaTheme="minorEastAsia"/>
          <w:i/>
        </w:rPr>
        <w:t>—</w:t>
      </w:r>
      <w:r w:rsidR="00AD782E">
        <w:rPr>
          <w:i/>
        </w:rPr>
        <w:t>Key Performance Indicators</w:t>
      </w:r>
      <w:r w:rsidR="005B467F">
        <w:rPr>
          <w:i/>
        </w:rPr>
        <w:t xml:space="preserve"> (KPIs)</w:t>
      </w:r>
    </w:p>
    <w:p w14:paraId="1E30EAAA" w14:textId="4D8FE6A3" w:rsidR="007E6BF5" w:rsidRPr="00AB1F22" w:rsidRDefault="002A72F4" w:rsidP="002C63AC">
      <w:pPr>
        <w:pStyle w:val="Heading1"/>
        <w:spacing w:before="100" w:beforeAutospacing="1" w:after="100" w:afterAutospacing="1"/>
        <w:jc w:val="both"/>
      </w:pPr>
      <w:bookmarkStart w:id="35" w:name="_Toc532209097"/>
      <w:r w:rsidRPr="00AB1F22">
        <w:t>G</w:t>
      </w:r>
      <w:r w:rsidR="003C013C">
        <w:t>eneral q</w:t>
      </w:r>
      <w:r w:rsidR="00450936" w:rsidRPr="00AB1F22">
        <w:t>uestions</w:t>
      </w:r>
      <w:bookmarkEnd w:id="13"/>
      <w:bookmarkEnd w:id="14"/>
      <w:bookmarkEnd w:id="15"/>
      <w:bookmarkEnd w:id="16"/>
      <w:bookmarkEnd w:id="17"/>
      <w:bookmarkEnd w:id="35"/>
    </w:p>
    <w:p w14:paraId="5B0D69F9" w14:textId="32ECBFFC" w:rsidR="00693C77" w:rsidRPr="00B002D7" w:rsidRDefault="00693C77" w:rsidP="002C63AC">
      <w:pPr>
        <w:pStyle w:val="Heading2"/>
        <w:spacing w:before="100" w:beforeAutospacing="1" w:after="100" w:afterAutospacing="1"/>
        <w:ind w:left="567" w:hanging="567"/>
        <w:jc w:val="both"/>
        <w:rPr>
          <w:i/>
          <w:sz w:val="18"/>
        </w:rPr>
      </w:pPr>
      <w:bookmarkStart w:id="36" w:name="_Toc488926311"/>
      <w:r w:rsidRPr="00B002D7">
        <w:t xml:space="preserve">I am </w:t>
      </w:r>
      <w:r w:rsidR="00BF12AC" w:rsidRPr="00B002D7">
        <w:t xml:space="preserve">a current </w:t>
      </w:r>
      <w:r w:rsidR="003C013C">
        <w:t>employment services</w:t>
      </w:r>
      <w:r w:rsidR="00BF12AC" w:rsidRPr="00B002D7">
        <w:t xml:space="preserve"> provider and plan to</w:t>
      </w:r>
      <w:r w:rsidR="006D308A" w:rsidRPr="00B002D7">
        <w:t xml:space="preserve"> respond to </w:t>
      </w:r>
      <w:r w:rsidR="00FC5175" w:rsidRPr="00B002D7">
        <w:t xml:space="preserve">the </w:t>
      </w:r>
      <w:r w:rsidR="00A45149">
        <w:t>RFT</w:t>
      </w:r>
      <w:r w:rsidRPr="00B002D7">
        <w:t xml:space="preserve">, can I </w:t>
      </w:r>
      <w:r w:rsidR="00D46F80" w:rsidRPr="00B002D7">
        <w:t xml:space="preserve">still </w:t>
      </w:r>
      <w:r w:rsidR="00BE54B1">
        <w:t>talk to my Account Manager?</w:t>
      </w:r>
    </w:p>
    <w:p w14:paraId="56D5C50B" w14:textId="5D6B701F" w:rsidR="00DC2640" w:rsidRPr="00B002D7" w:rsidRDefault="00DC2640" w:rsidP="002C63AC">
      <w:pPr>
        <w:spacing w:before="100" w:beforeAutospacing="1" w:after="100" w:afterAutospacing="1"/>
        <w:jc w:val="both"/>
        <w:rPr>
          <w:rFonts w:eastAsiaTheme="minorEastAsia"/>
        </w:rPr>
      </w:pPr>
      <w:r>
        <w:t>Yes, however d</w:t>
      </w:r>
      <w:r w:rsidRPr="00B002D7">
        <w:t xml:space="preserve">uring business-as-usual interactions, the </w:t>
      </w:r>
      <w:r>
        <w:t>d</w:t>
      </w:r>
      <w:r w:rsidRPr="00B002D7">
        <w:t xml:space="preserve">epartment will not discuss the </w:t>
      </w:r>
      <w:r>
        <w:t>RFT</w:t>
      </w:r>
      <w:r w:rsidRPr="00B002D7">
        <w:t xml:space="preserve"> or answer any questions about </w:t>
      </w:r>
      <w:r>
        <w:t>the RFT</w:t>
      </w:r>
      <w:r w:rsidRPr="00B002D7">
        <w:t xml:space="preserve">. </w:t>
      </w:r>
      <w:r>
        <w:t>All q</w:t>
      </w:r>
      <w:r w:rsidRPr="00B002D7">
        <w:t>uestions</w:t>
      </w:r>
      <w:r w:rsidR="001872D8">
        <w:t xml:space="preserve"> about the RFT</w:t>
      </w:r>
      <w:r w:rsidRPr="00B002D7">
        <w:t xml:space="preserve"> </w:t>
      </w:r>
      <w:proofErr w:type="gramStart"/>
      <w:r w:rsidRPr="00B002D7">
        <w:t>must be directed</w:t>
      </w:r>
      <w:proofErr w:type="gramEnd"/>
      <w:r w:rsidRPr="00B002D7">
        <w:t xml:space="preserve"> to the</w:t>
      </w:r>
      <w:r w:rsidRPr="00B002D7">
        <w:rPr>
          <w:rFonts w:eastAsiaTheme="minorEastAsia"/>
        </w:rPr>
        <w:t xml:space="preserve"> </w:t>
      </w:r>
      <w:hyperlink r:id="rId20" w:history="1">
        <w:r w:rsidRPr="00B002D7">
          <w:rPr>
            <w:rStyle w:val="Hyperlink"/>
            <w:rFonts w:eastAsiaTheme="minorEastAsia"/>
          </w:rPr>
          <w:t>Employment Services Purchasing Hotline</w:t>
        </w:r>
      </w:hyperlink>
      <w:r w:rsidRPr="00B002D7">
        <w:rPr>
          <w:rFonts w:eastAsiaTheme="minorEastAsia"/>
        </w:rPr>
        <w:t xml:space="preserve"> (espurchasing@</w:t>
      </w:r>
      <w:r>
        <w:rPr>
          <w:rFonts w:eastAsiaTheme="minorEastAsia"/>
        </w:rPr>
        <w:t>jobs</w:t>
      </w:r>
      <w:r w:rsidRPr="00B002D7">
        <w:rPr>
          <w:rFonts w:eastAsiaTheme="minorEastAsia"/>
        </w:rPr>
        <w:t>.gov.au).</w:t>
      </w:r>
    </w:p>
    <w:p w14:paraId="4EA3C76C" w14:textId="2FA126A1" w:rsidR="00693C77" w:rsidRPr="00B002D7" w:rsidRDefault="00693C77" w:rsidP="002C63AC">
      <w:pPr>
        <w:spacing w:before="100" w:beforeAutospacing="1" w:after="100" w:afterAutospacing="1"/>
        <w:jc w:val="both"/>
      </w:pPr>
      <w:r w:rsidRPr="00B002D7">
        <w:rPr>
          <w:rFonts w:eastAsiaTheme="minorEastAsia"/>
        </w:rPr>
        <w:t xml:space="preserve">During </w:t>
      </w:r>
      <w:r w:rsidR="00FC5175" w:rsidRPr="00B002D7">
        <w:rPr>
          <w:rFonts w:eastAsiaTheme="minorEastAsia"/>
        </w:rPr>
        <w:t xml:space="preserve">the </w:t>
      </w:r>
      <w:r w:rsidR="00A45149">
        <w:rPr>
          <w:rFonts w:eastAsiaTheme="minorEastAsia"/>
        </w:rPr>
        <w:t>RFT</w:t>
      </w:r>
      <w:r w:rsidRPr="00B002D7">
        <w:rPr>
          <w:rFonts w:eastAsiaTheme="minorEastAsia"/>
        </w:rPr>
        <w:t xml:space="preserve"> process, the </w:t>
      </w:r>
      <w:r w:rsidR="0075629E">
        <w:t>d</w:t>
      </w:r>
      <w:r w:rsidRPr="00B002D7">
        <w:t>epartment will continue to interact with relevant stakeholders as a part of its ongoing business (on a business-as-usual basis), including continuing any regular discussions with a range of interest groups and industry representative bodies.</w:t>
      </w:r>
    </w:p>
    <w:p w14:paraId="03FDABE3" w14:textId="7E3BC812" w:rsidR="00693C77" w:rsidRPr="00B002D7" w:rsidRDefault="00693C77" w:rsidP="002C63AC">
      <w:pPr>
        <w:spacing w:before="100" w:beforeAutospacing="1" w:after="100" w:afterAutospacing="1"/>
        <w:jc w:val="both"/>
      </w:pPr>
      <w:r w:rsidRPr="00B002D7">
        <w:t xml:space="preserve">All contact </w:t>
      </w:r>
      <w:r w:rsidR="00E14786" w:rsidRPr="00B002D7">
        <w:t xml:space="preserve">from interested parties </w:t>
      </w:r>
      <w:r w:rsidR="007F1AC2" w:rsidRPr="00B002D7">
        <w:t xml:space="preserve">regarding </w:t>
      </w:r>
      <w:r w:rsidR="00FC5175" w:rsidRPr="00B002D7">
        <w:t xml:space="preserve">the </w:t>
      </w:r>
      <w:r w:rsidR="00A45149">
        <w:t>RFT</w:t>
      </w:r>
      <w:r w:rsidR="00D33C74" w:rsidRPr="00B002D7">
        <w:t xml:space="preserve"> </w:t>
      </w:r>
      <w:proofErr w:type="gramStart"/>
      <w:r w:rsidRPr="00B002D7">
        <w:t>will be fully documented</w:t>
      </w:r>
      <w:proofErr w:type="gramEnd"/>
      <w:r w:rsidRPr="00B002D7">
        <w:t>.</w:t>
      </w:r>
    </w:p>
    <w:p w14:paraId="5C5F5506" w14:textId="42B74F20" w:rsidR="00693C77" w:rsidRPr="00B002D7" w:rsidRDefault="009569BE" w:rsidP="002C63AC">
      <w:pPr>
        <w:spacing w:before="100" w:beforeAutospacing="1" w:after="100" w:afterAutospacing="1"/>
        <w:jc w:val="both"/>
        <w:rPr>
          <w:lang w:eastAsia="en-AU"/>
        </w:rPr>
      </w:pPr>
      <w:r w:rsidRPr="00B002D7">
        <w:rPr>
          <w:rFonts w:eastAsiaTheme="minorEastAsia"/>
          <w:i/>
        </w:rPr>
        <w:t xml:space="preserve">Reference: </w:t>
      </w:r>
      <w:r w:rsidR="00A45149">
        <w:rPr>
          <w:rFonts w:eastAsiaTheme="minorEastAsia"/>
          <w:i/>
        </w:rPr>
        <w:t>RFT</w:t>
      </w:r>
      <w:r w:rsidRPr="00B002D7">
        <w:rPr>
          <w:rFonts w:eastAsiaTheme="minorEastAsia"/>
          <w:i/>
        </w:rPr>
        <w:t xml:space="preserve"> </w:t>
      </w:r>
      <w:r w:rsidR="00911A4A" w:rsidRPr="00B002D7">
        <w:rPr>
          <w:rFonts w:eastAsiaTheme="minorEastAsia"/>
          <w:i/>
        </w:rPr>
        <w:t xml:space="preserve">Appendix </w:t>
      </w:r>
      <w:r w:rsidR="00294DF3">
        <w:rPr>
          <w:rFonts w:eastAsiaTheme="minorEastAsia"/>
          <w:i/>
        </w:rPr>
        <w:t>A</w:t>
      </w:r>
      <w:r w:rsidRPr="00B002D7">
        <w:rPr>
          <w:rFonts w:eastAsiaTheme="minorEastAsia"/>
          <w:i/>
        </w:rPr>
        <w:t>—</w:t>
      </w:r>
      <w:r w:rsidR="00A9728B" w:rsidRPr="00B002D7">
        <w:rPr>
          <w:rFonts w:eastAsiaTheme="minorEastAsia"/>
          <w:i/>
        </w:rPr>
        <w:t>Communication Protocol</w:t>
      </w:r>
    </w:p>
    <w:p w14:paraId="04B31D4A" w14:textId="209BB623" w:rsidR="00FD4F7C" w:rsidRPr="00AB1F22" w:rsidRDefault="00FD4F7C" w:rsidP="002C63AC">
      <w:pPr>
        <w:pStyle w:val="Heading1"/>
        <w:spacing w:before="240"/>
        <w:jc w:val="both"/>
      </w:pPr>
      <w:bookmarkStart w:id="37" w:name="_Toc532209098"/>
      <w:bookmarkEnd w:id="18"/>
      <w:bookmarkEnd w:id="36"/>
      <w:r w:rsidRPr="00AB1F22">
        <w:t>Responding</w:t>
      </w:r>
      <w:bookmarkEnd w:id="37"/>
    </w:p>
    <w:p w14:paraId="1C93F232" w14:textId="29BED55F" w:rsidR="007E0387" w:rsidRPr="00B002D7" w:rsidRDefault="00272500" w:rsidP="002C63AC">
      <w:pPr>
        <w:pStyle w:val="Heading2"/>
        <w:spacing w:before="100" w:beforeAutospacing="1" w:after="100" w:afterAutospacing="1"/>
        <w:ind w:left="567" w:hanging="567"/>
        <w:jc w:val="both"/>
      </w:pPr>
      <w:bookmarkStart w:id="38" w:name="_Toc459636284"/>
      <w:r>
        <w:t>Are there different character limits per Selection Criterion and what does this include?</w:t>
      </w:r>
      <w:bookmarkEnd w:id="38"/>
    </w:p>
    <w:p w14:paraId="54C26F71" w14:textId="5AB002C2" w:rsidR="00F812AE" w:rsidRDefault="00272500" w:rsidP="002C63AC">
      <w:pPr>
        <w:suppressAutoHyphens/>
        <w:spacing w:before="100" w:beforeAutospacing="1" w:after="100" w:afterAutospacing="1"/>
        <w:jc w:val="both"/>
      </w:pPr>
      <w:r w:rsidRPr="007F7A40">
        <w:t>Yes</w:t>
      </w:r>
      <w:r w:rsidR="00BE54B1">
        <w:t>.</w:t>
      </w:r>
    </w:p>
    <w:p w14:paraId="43B8ACF7" w14:textId="07837A12" w:rsidR="00272500" w:rsidRDefault="00272500" w:rsidP="002C63AC">
      <w:pPr>
        <w:suppressAutoHyphens/>
        <w:spacing w:before="100" w:beforeAutospacing="1" w:after="100" w:afterAutospacing="1"/>
        <w:jc w:val="both"/>
      </w:pPr>
      <w:r>
        <w:t xml:space="preserve">Each Selection Criterion has a specific character limit. This </w:t>
      </w:r>
      <w:r w:rsidRPr="007F7A40">
        <w:t>inclu</w:t>
      </w:r>
      <w:r>
        <w:t>des punctuation, spaces and formattin</w:t>
      </w:r>
      <w:r w:rsidR="00BE54B1">
        <w:t>g (including carriage returns).</w:t>
      </w:r>
    </w:p>
    <w:p w14:paraId="6C8157E3" w14:textId="4F4E3CE0" w:rsidR="00272500" w:rsidRPr="007F7A40" w:rsidRDefault="00272500" w:rsidP="002C63AC">
      <w:pPr>
        <w:suppressAutoHyphens/>
        <w:spacing w:before="100" w:beforeAutospacing="1" w:after="100" w:afterAutospacing="1"/>
        <w:jc w:val="both"/>
      </w:pPr>
      <w:r>
        <w:t>The character limit per Selection Criterion is as follows:</w:t>
      </w:r>
    </w:p>
    <w:p w14:paraId="63E517D9" w14:textId="46A69644" w:rsidR="00272500" w:rsidRDefault="00272500" w:rsidP="005E04B8">
      <w:pPr>
        <w:pStyle w:val="ListParagraph"/>
        <w:numPr>
          <w:ilvl w:val="0"/>
          <w:numId w:val="16"/>
        </w:numPr>
        <w:suppressAutoHyphens/>
        <w:spacing w:before="100" w:beforeAutospacing="1" w:after="100" w:afterAutospacing="1" w:line="276" w:lineRule="auto"/>
        <w:jc w:val="both"/>
      </w:pPr>
      <w:r>
        <w:t>Selection Criterion 1 has a chara</w:t>
      </w:r>
      <w:r w:rsidR="00BE54B1">
        <w:t>cter Limit of 10,000 characters.</w:t>
      </w:r>
    </w:p>
    <w:p w14:paraId="31620351" w14:textId="0896EACE" w:rsidR="00272500" w:rsidRDefault="00272500" w:rsidP="005E04B8">
      <w:pPr>
        <w:pStyle w:val="ListParagraph"/>
        <w:numPr>
          <w:ilvl w:val="0"/>
          <w:numId w:val="16"/>
        </w:numPr>
        <w:suppressAutoHyphens/>
        <w:spacing w:before="100" w:beforeAutospacing="1" w:after="100" w:afterAutospacing="1" w:line="276" w:lineRule="auto"/>
        <w:jc w:val="both"/>
      </w:pPr>
      <w:r>
        <w:t>Selection Criterion 2 has a character limit of 15,000 charact</w:t>
      </w:r>
      <w:r w:rsidR="00BE54B1">
        <w:t>ers.</w:t>
      </w:r>
    </w:p>
    <w:p w14:paraId="7E938DF4" w14:textId="1BB62031" w:rsidR="00272500" w:rsidRDefault="00272500" w:rsidP="005E04B8">
      <w:pPr>
        <w:pStyle w:val="ListParagraph"/>
        <w:numPr>
          <w:ilvl w:val="0"/>
          <w:numId w:val="16"/>
        </w:numPr>
        <w:suppressAutoHyphens/>
        <w:spacing w:before="100" w:beforeAutospacing="1" w:after="100" w:afterAutospacing="1" w:line="276" w:lineRule="auto"/>
        <w:jc w:val="both"/>
      </w:pPr>
      <w:r>
        <w:t>Selection Criterion 3 has a charac</w:t>
      </w:r>
      <w:r w:rsidR="00BE54B1">
        <w:t>ter limit of 20,000 characters.</w:t>
      </w:r>
    </w:p>
    <w:p w14:paraId="1B3357DD" w14:textId="5849E18C" w:rsidR="007E0387" w:rsidRDefault="007E0387" w:rsidP="002C63AC">
      <w:pPr>
        <w:spacing w:before="100" w:beforeAutospacing="1" w:after="100" w:afterAutospacing="1"/>
        <w:jc w:val="both"/>
      </w:pPr>
      <w:r w:rsidRPr="00B002D7">
        <w:rPr>
          <w:rFonts w:eastAsiaTheme="majorEastAsia" w:cstheme="majorBidi"/>
          <w:bCs/>
          <w:i/>
        </w:rPr>
        <w:t xml:space="preserve">Reference: </w:t>
      </w:r>
      <w:r>
        <w:rPr>
          <w:rFonts w:eastAsiaTheme="majorEastAsia" w:cstheme="majorBidi"/>
          <w:bCs/>
          <w:i/>
        </w:rPr>
        <w:t>RFT</w:t>
      </w:r>
      <w:r w:rsidRPr="00B002D7">
        <w:rPr>
          <w:rFonts w:eastAsiaTheme="majorEastAsia" w:cstheme="majorBidi"/>
          <w:bCs/>
          <w:i/>
        </w:rPr>
        <w:t xml:space="preserve"> </w:t>
      </w:r>
      <w:r w:rsidRPr="00B002D7">
        <w:rPr>
          <w:i/>
          <w:lang w:eastAsia="en-AU"/>
        </w:rPr>
        <w:t>Section 3.</w:t>
      </w:r>
      <w:r w:rsidR="00272500">
        <w:rPr>
          <w:i/>
          <w:lang w:eastAsia="en-AU"/>
        </w:rPr>
        <w:t>2</w:t>
      </w:r>
      <w:r w:rsidRPr="00B002D7">
        <w:rPr>
          <w:i/>
          <w:lang w:eastAsia="en-AU"/>
        </w:rPr>
        <w:t>—</w:t>
      </w:r>
      <w:r w:rsidR="00272500">
        <w:rPr>
          <w:i/>
          <w:lang w:eastAsia="en-AU"/>
        </w:rPr>
        <w:t xml:space="preserve"> Responding to </w:t>
      </w:r>
      <w:r>
        <w:rPr>
          <w:i/>
          <w:lang w:eastAsia="en-AU"/>
        </w:rPr>
        <w:t xml:space="preserve">Selection </w:t>
      </w:r>
      <w:r w:rsidRPr="00B002D7" w:rsidDel="00C65EA2">
        <w:rPr>
          <w:i/>
          <w:lang w:eastAsia="en-AU"/>
        </w:rPr>
        <w:t>Criteria</w:t>
      </w:r>
    </w:p>
    <w:p w14:paraId="7CA85EBF" w14:textId="747627B8" w:rsidR="00040146" w:rsidRPr="007E67C5" w:rsidRDefault="00040146" w:rsidP="002C63AC">
      <w:pPr>
        <w:pStyle w:val="Heading2"/>
        <w:spacing w:before="100" w:beforeAutospacing="1" w:after="100" w:afterAutospacing="1"/>
        <w:ind w:left="567" w:hanging="567"/>
        <w:jc w:val="both"/>
      </w:pPr>
      <w:r w:rsidRPr="007E67C5">
        <w:t xml:space="preserve">Where can I find </w:t>
      </w:r>
      <w:r w:rsidR="001A59D9" w:rsidRPr="007E67C5">
        <w:t>th</w:t>
      </w:r>
      <w:r w:rsidR="00FC5175" w:rsidRPr="007E67C5">
        <w:t>e</w:t>
      </w:r>
      <w:r w:rsidR="001A59D9" w:rsidRPr="007E67C5">
        <w:t xml:space="preserve"> </w:t>
      </w:r>
      <w:r w:rsidR="00A45149" w:rsidRPr="007E67C5">
        <w:t>RFT</w:t>
      </w:r>
      <w:r w:rsidR="00BE54B1">
        <w:t xml:space="preserve"> documentation?</w:t>
      </w:r>
    </w:p>
    <w:p w14:paraId="6B63C774" w14:textId="1B73487F" w:rsidR="00040146" w:rsidRPr="00B002D7" w:rsidRDefault="00803D21" w:rsidP="002C63AC">
      <w:pPr>
        <w:spacing w:before="100" w:beforeAutospacing="1" w:after="100" w:afterAutospacing="1"/>
        <w:jc w:val="both"/>
      </w:pPr>
      <w:r>
        <w:t>Organisations</w:t>
      </w:r>
      <w:r w:rsidRPr="00B002D7">
        <w:t xml:space="preserve"> </w:t>
      </w:r>
      <w:r w:rsidR="00040146" w:rsidRPr="00B002D7">
        <w:t xml:space="preserve">wishing to respond to </w:t>
      </w:r>
      <w:r w:rsidR="001A59D9" w:rsidRPr="00B002D7">
        <w:t>th</w:t>
      </w:r>
      <w:r w:rsidR="00FC5175" w:rsidRPr="00B002D7">
        <w:t>e</w:t>
      </w:r>
      <w:r w:rsidR="001A59D9" w:rsidRPr="00B002D7">
        <w:t xml:space="preserve"> </w:t>
      </w:r>
      <w:r w:rsidR="00A45149">
        <w:t>RFT</w:t>
      </w:r>
      <w:r w:rsidR="00040146" w:rsidRPr="00B002D7">
        <w:t xml:space="preserve"> </w:t>
      </w:r>
      <w:r w:rsidR="00040146" w:rsidRPr="00AA1299">
        <w:t>must</w:t>
      </w:r>
      <w:r w:rsidR="00040146" w:rsidRPr="00B002D7">
        <w:t xml:space="preserve"> register with </w:t>
      </w:r>
      <w:hyperlink r:id="rId21" w:history="1">
        <w:r w:rsidR="00040146" w:rsidRPr="00B002D7">
          <w:rPr>
            <w:rStyle w:val="Hyperlink"/>
          </w:rPr>
          <w:t>360Pro</w:t>
        </w:r>
      </w:hyperlink>
      <w:r w:rsidR="00040146" w:rsidRPr="00B002D7">
        <w:t xml:space="preserve"> (</w:t>
      </w:r>
      <w:r w:rsidR="00B85723" w:rsidRPr="00B002D7">
        <w:t>www.tinyurl.com/360Pro-employment</w:t>
      </w:r>
      <w:r w:rsidR="00040146" w:rsidRPr="00B002D7">
        <w:t>)</w:t>
      </w:r>
      <w:r w:rsidR="00040146" w:rsidRPr="00B002D7">
        <w:rPr>
          <w:rStyle w:val="Hyperlink"/>
          <w:u w:val="none"/>
        </w:rPr>
        <w:t xml:space="preserve"> </w:t>
      </w:r>
      <w:r w:rsidR="00040146" w:rsidRPr="00B002D7">
        <w:t xml:space="preserve">to access </w:t>
      </w:r>
      <w:r>
        <w:t>all</w:t>
      </w:r>
      <w:r w:rsidRPr="00B002D7">
        <w:t xml:space="preserve"> </w:t>
      </w:r>
      <w:r w:rsidR="00A45149">
        <w:t>RFT</w:t>
      </w:r>
      <w:r w:rsidR="00FD1432" w:rsidRPr="00B002D7">
        <w:t xml:space="preserve"> </w:t>
      </w:r>
      <w:r w:rsidR="00040146" w:rsidRPr="00B002D7">
        <w:t>documentation. Registration is free of charge.</w:t>
      </w:r>
    </w:p>
    <w:p w14:paraId="558FF345" w14:textId="36EBA74B" w:rsidR="00867EA1" w:rsidRDefault="002F6367" w:rsidP="002C63AC">
      <w:pPr>
        <w:spacing w:before="100" w:beforeAutospacing="1" w:after="100" w:afterAutospacing="1"/>
        <w:jc w:val="both"/>
        <w:rPr>
          <w:rFonts w:eastAsiaTheme="minorEastAsia"/>
          <w:i/>
        </w:rPr>
      </w:pPr>
      <w:r w:rsidRPr="00B002D7">
        <w:rPr>
          <w:rFonts w:eastAsiaTheme="minorEastAsia"/>
        </w:rPr>
        <w:t xml:space="preserve">The </w:t>
      </w:r>
      <w:r w:rsidR="00A45149">
        <w:t>RFT</w:t>
      </w:r>
      <w:r w:rsidR="00FD1432" w:rsidRPr="00B002D7">
        <w:t xml:space="preserve"> </w:t>
      </w:r>
      <w:proofErr w:type="gramStart"/>
      <w:r w:rsidR="00D1315C" w:rsidRPr="00B002D7">
        <w:rPr>
          <w:rFonts w:eastAsiaTheme="minorEastAsia"/>
        </w:rPr>
        <w:t>will also be advertised</w:t>
      </w:r>
      <w:proofErr w:type="gramEnd"/>
      <w:r w:rsidR="00D1315C" w:rsidRPr="00B002D7">
        <w:rPr>
          <w:rFonts w:eastAsiaTheme="minorEastAsia"/>
        </w:rPr>
        <w:t xml:space="preserve"> on </w:t>
      </w:r>
      <w:hyperlink r:id="rId22" w:history="1">
        <w:r w:rsidR="00D1315C" w:rsidRPr="00B002D7">
          <w:rPr>
            <w:rStyle w:val="Hyperlink"/>
            <w:rFonts w:eastAsiaTheme="minorEastAsia"/>
          </w:rPr>
          <w:t>AusTender</w:t>
        </w:r>
      </w:hyperlink>
      <w:r w:rsidR="00D1315C" w:rsidRPr="00B002D7">
        <w:rPr>
          <w:rFonts w:eastAsiaTheme="minorEastAsia"/>
        </w:rPr>
        <w:t xml:space="preserve"> (</w:t>
      </w:r>
      <w:hyperlink r:id="rId23" w:history="1">
        <w:r w:rsidR="00957A4B" w:rsidRPr="00265336">
          <w:rPr>
            <w:rStyle w:val="Hyperlink"/>
            <w:rFonts w:eastAsiaTheme="minorEastAsia"/>
          </w:rPr>
          <w:t>www.tenders.gov.au</w:t>
        </w:r>
      </w:hyperlink>
      <w:r w:rsidR="00D1315C" w:rsidRPr="00B002D7">
        <w:rPr>
          <w:rFonts w:eastAsiaTheme="minorEastAsia"/>
        </w:rPr>
        <w:t>)</w:t>
      </w:r>
      <w:r w:rsidR="00867EA1" w:rsidRPr="00B002D7">
        <w:rPr>
          <w:rFonts w:eastAsiaTheme="minorEastAsia"/>
          <w:i/>
        </w:rPr>
        <w:t>.</w:t>
      </w:r>
    </w:p>
    <w:p w14:paraId="731E4A16" w14:textId="7C03D2B2" w:rsidR="00040146" w:rsidRPr="00B002D7" w:rsidRDefault="00956D1A" w:rsidP="002C63AC">
      <w:pPr>
        <w:spacing w:before="100" w:beforeAutospacing="1" w:after="100" w:afterAutospacing="1"/>
        <w:jc w:val="both"/>
        <w:rPr>
          <w:rFonts w:eastAsiaTheme="majorEastAsia" w:cstheme="majorBidi"/>
          <w:bCs/>
          <w:i/>
          <w:lang w:eastAsia="en-AU"/>
        </w:rPr>
      </w:pPr>
      <w:r w:rsidRPr="00B002D7">
        <w:rPr>
          <w:rFonts w:eastAsiaTheme="majorEastAsia" w:cstheme="majorBidi"/>
          <w:bCs/>
          <w:i/>
        </w:rPr>
        <w:t>References</w:t>
      </w:r>
      <w:r w:rsidR="009569BE" w:rsidRPr="00B002D7">
        <w:rPr>
          <w:rFonts w:eastAsiaTheme="majorEastAsia" w:cstheme="majorBidi"/>
          <w:bCs/>
          <w:i/>
        </w:rPr>
        <w:t xml:space="preserve">: </w:t>
      </w:r>
      <w:r w:rsidR="00A45149">
        <w:rPr>
          <w:rFonts w:eastAsiaTheme="majorEastAsia" w:cstheme="majorBidi"/>
          <w:bCs/>
          <w:i/>
        </w:rPr>
        <w:t>RFT</w:t>
      </w:r>
      <w:r w:rsidR="009569BE" w:rsidRPr="00B002D7">
        <w:rPr>
          <w:rFonts w:eastAsiaTheme="majorEastAsia" w:cstheme="majorBidi"/>
          <w:bCs/>
          <w:i/>
        </w:rPr>
        <w:t xml:space="preserve"> </w:t>
      </w:r>
      <w:r w:rsidR="00040146" w:rsidRPr="00B002D7">
        <w:rPr>
          <w:i/>
          <w:lang w:eastAsia="en-AU"/>
        </w:rPr>
        <w:t>Section 1.2</w:t>
      </w:r>
      <w:r w:rsidR="009569BE" w:rsidRPr="00B002D7">
        <w:rPr>
          <w:i/>
          <w:lang w:eastAsia="en-AU"/>
        </w:rPr>
        <w:t>—</w:t>
      </w:r>
      <w:r w:rsidR="00A9728B" w:rsidRPr="00B002D7">
        <w:rPr>
          <w:i/>
          <w:lang w:eastAsia="en-AU"/>
        </w:rPr>
        <w:t>Scope</w:t>
      </w:r>
      <w:r w:rsidR="00493A44">
        <w:rPr>
          <w:i/>
          <w:lang w:eastAsia="en-AU"/>
        </w:rPr>
        <w:t xml:space="preserve"> and</w:t>
      </w:r>
      <w:r w:rsidR="005B467F">
        <w:rPr>
          <w:i/>
          <w:lang w:eastAsia="en-AU"/>
        </w:rPr>
        <w:t xml:space="preserve"> RFT Section</w:t>
      </w:r>
      <w:r w:rsidR="00493A44">
        <w:rPr>
          <w:i/>
          <w:lang w:eastAsia="en-AU"/>
        </w:rPr>
        <w:t xml:space="preserve"> </w:t>
      </w:r>
      <w:r w:rsidR="00180386" w:rsidRPr="00B002D7">
        <w:rPr>
          <w:i/>
          <w:lang w:eastAsia="en-AU"/>
        </w:rPr>
        <w:t>7.2</w:t>
      </w:r>
      <w:r w:rsidR="00B85723" w:rsidRPr="00B002D7">
        <w:rPr>
          <w:i/>
          <w:lang w:eastAsia="en-AU"/>
        </w:rPr>
        <w:t>—</w:t>
      </w:r>
      <w:r w:rsidR="00052B66" w:rsidRPr="00B002D7">
        <w:rPr>
          <w:i/>
          <w:lang w:eastAsia="en-AU"/>
        </w:rPr>
        <w:t>360Pro</w:t>
      </w:r>
    </w:p>
    <w:p w14:paraId="01892519" w14:textId="6C9355AE" w:rsidR="00D46F80" w:rsidRPr="007E67C5" w:rsidRDefault="00D46F80" w:rsidP="002C63AC">
      <w:pPr>
        <w:pStyle w:val="Heading2"/>
        <w:keepNext/>
        <w:keepLines/>
        <w:spacing w:before="100" w:beforeAutospacing="1" w:after="100" w:afterAutospacing="1"/>
        <w:ind w:left="567" w:hanging="567"/>
        <w:jc w:val="both"/>
      </w:pPr>
      <w:r w:rsidRPr="007E67C5">
        <w:t xml:space="preserve">How do I know my response </w:t>
      </w:r>
      <w:proofErr w:type="gramStart"/>
      <w:r w:rsidRPr="007E67C5">
        <w:t>h</w:t>
      </w:r>
      <w:r w:rsidR="00052B66" w:rsidRPr="007E67C5">
        <w:t>as been submitted</w:t>
      </w:r>
      <w:proofErr w:type="gramEnd"/>
      <w:r w:rsidR="00052B66" w:rsidRPr="007E67C5">
        <w:t xml:space="preserve"> successfully?</w:t>
      </w:r>
    </w:p>
    <w:p w14:paraId="6BDF3C5D" w14:textId="77777777" w:rsidR="001B0047" w:rsidRDefault="001B0047" w:rsidP="002C63AC">
      <w:pPr>
        <w:spacing w:before="100" w:beforeAutospacing="1" w:after="100" w:afterAutospacing="1"/>
        <w:jc w:val="both"/>
      </w:pPr>
      <w:r>
        <w:t xml:space="preserve">When responses </w:t>
      </w:r>
      <w:proofErr w:type="gramStart"/>
      <w:r>
        <w:t>have been successfully submitted</w:t>
      </w:r>
      <w:proofErr w:type="gramEnd"/>
      <w:r>
        <w:t xml:space="preserve">, an official receipt is automatically emailed to the registered 360Pro user. Respondents should save and print this receipt as proof of lodgement. Failure to receive a receipt means lodgement of the response </w:t>
      </w:r>
      <w:proofErr w:type="gramStart"/>
      <w:r>
        <w:t>has not been completed</w:t>
      </w:r>
      <w:proofErr w:type="gramEnd"/>
      <w:r>
        <w:t xml:space="preserve"> correctly.</w:t>
      </w:r>
    </w:p>
    <w:p w14:paraId="7109B02C" w14:textId="46814846" w:rsidR="00D46F80" w:rsidRPr="00B002D7" w:rsidRDefault="00180386" w:rsidP="002C63AC">
      <w:pPr>
        <w:keepNext/>
        <w:spacing w:before="100" w:beforeAutospacing="1" w:after="100" w:afterAutospacing="1"/>
        <w:jc w:val="both"/>
      </w:pPr>
      <w:r w:rsidRPr="00B002D7">
        <w:t xml:space="preserve">Respondents </w:t>
      </w:r>
      <w:r w:rsidR="00D46F80" w:rsidRPr="00B002D7">
        <w:t xml:space="preserve">should contact the </w:t>
      </w:r>
      <w:hyperlink r:id="rId24" w:history="1">
        <w:r w:rsidR="00B57CA2" w:rsidRPr="00B002D7">
          <w:rPr>
            <w:rStyle w:val="Hyperlink"/>
          </w:rPr>
          <w:t>Employment Services Purchasing Hotline</w:t>
        </w:r>
      </w:hyperlink>
      <w:r w:rsidR="00D46F80" w:rsidRPr="00B002D7">
        <w:t xml:space="preserve"> </w:t>
      </w:r>
      <w:r w:rsidR="001A59D9" w:rsidRPr="00B002D7">
        <w:t>(espurchasing@</w:t>
      </w:r>
      <w:r w:rsidR="002518CA">
        <w:t>jobs</w:t>
      </w:r>
      <w:r w:rsidR="001A59D9" w:rsidRPr="00B002D7">
        <w:t xml:space="preserve">.gov.au) </w:t>
      </w:r>
      <w:r w:rsidR="00D46F80" w:rsidRPr="00B002D7">
        <w:t>as a matter of priority if they do not receive an official receipt and believe they have successfully submitted their response.</w:t>
      </w:r>
    </w:p>
    <w:p w14:paraId="426A45C5" w14:textId="255E8C75" w:rsidR="002612A1" w:rsidRPr="00B002D7" w:rsidRDefault="009569BE" w:rsidP="002C63AC">
      <w:pPr>
        <w:spacing w:before="100" w:beforeAutospacing="1" w:after="100" w:afterAutospacing="1"/>
        <w:jc w:val="both"/>
        <w:rPr>
          <w:i/>
          <w:lang w:eastAsia="en-AU"/>
        </w:rPr>
      </w:pPr>
      <w:r w:rsidRPr="00B002D7">
        <w:rPr>
          <w:i/>
          <w:lang w:eastAsia="en-AU"/>
        </w:rPr>
        <w:t xml:space="preserve">Reference: </w:t>
      </w:r>
      <w:r w:rsidR="00A45149">
        <w:rPr>
          <w:i/>
          <w:lang w:eastAsia="en-AU"/>
        </w:rPr>
        <w:t>RFT</w:t>
      </w:r>
      <w:r w:rsidRPr="00B002D7">
        <w:rPr>
          <w:i/>
          <w:lang w:eastAsia="en-AU"/>
        </w:rPr>
        <w:t xml:space="preserve"> </w:t>
      </w:r>
      <w:r w:rsidR="00D46F80" w:rsidRPr="00B002D7">
        <w:rPr>
          <w:i/>
          <w:lang w:eastAsia="en-AU"/>
        </w:rPr>
        <w:t>Section</w:t>
      </w:r>
      <w:r w:rsidR="00052B66" w:rsidRPr="00B002D7">
        <w:rPr>
          <w:i/>
          <w:lang w:eastAsia="en-AU"/>
        </w:rPr>
        <w:t xml:space="preserve"> 7</w:t>
      </w:r>
      <w:r w:rsidR="00180386" w:rsidRPr="00B002D7">
        <w:rPr>
          <w:i/>
          <w:lang w:eastAsia="en-AU"/>
        </w:rPr>
        <w:t>.2</w:t>
      </w:r>
      <w:r w:rsidR="00D46F80" w:rsidRPr="00B002D7">
        <w:rPr>
          <w:i/>
          <w:lang w:eastAsia="en-AU"/>
        </w:rPr>
        <w:t>.1</w:t>
      </w:r>
      <w:r w:rsidRPr="00B002D7">
        <w:rPr>
          <w:i/>
          <w:lang w:eastAsia="en-AU"/>
        </w:rPr>
        <w:t>—</w:t>
      </w:r>
      <w:r w:rsidR="00A9728B" w:rsidRPr="00B002D7">
        <w:rPr>
          <w:i/>
          <w:lang w:eastAsia="en-AU"/>
        </w:rPr>
        <w:t>Proof of Lodgement of Response</w:t>
      </w:r>
    </w:p>
    <w:p w14:paraId="61A9A6A6" w14:textId="4D159576" w:rsidR="002612A1" w:rsidRPr="002612A1" w:rsidRDefault="00D33C74" w:rsidP="002C63AC">
      <w:pPr>
        <w:pStyle w:val="Heading2"/>
        <w:spacing w:before="100" w:beforeAutospacing="1" w:after="100" w:afterAutospacing="1"/>
        <w:jc w:val="both"/>
      </w:pPr>
      <w:r w:rsidRPr="007E67C5">
        <w:t>Can I change my respo</w:t>
      </w:r>
      <w:r w:rsidR="00BE54B1">
        <w:t xml:space="preserve">nse once it </w:t>
      </w:r>
      <w:proofErr w:type="gramStart"/>
      <w:r w:rsidR="00BE54B1">
        <w:t>has been submitted</w:t>
      </w:r>
      <w:proofErr w:type="gramEnd"/>
      <w:r w:rsidR="00BE54B1">
        <w:t>?</w:t>
      </w:r>
    </w:p>
    <w:p w14:paraId="12541875" w14:textId="2C140056" w:rsidR="002612A1" w:rsidRDefault="00BE54B1" w:rsidP="002C63AC">
      <w:pPr>
        <w:pStyle w:val="NoSpacing"/>
        <w:spacing w:before="100" w:beforeAutospacing="1" w:after="100" w:afterAutospacing="1"/>
        <w:jc w:val="both"/>
      </w:pPr>
      <w:r>
        <w:t>Yes.</w:t>
      </w:r>
    </w:p>
    <w:p w14:paraId="2D95BC12" w14:textId="48662988" w:rsidR="00180386" w:rsidRPr="007F7A40" w:rsidRDefault="00180386" w:rsidP="00BB2E11">
      <w:pPr>
        <w:pStyle w:val="NoSpacing"/>
        <w:spacing w:before="100" w:beforeAutospacing="1" w:after="100" w:afterAutospacing="1"/>
        <w:jc w:val="both"/>
      </w:pPr>
      <w:r w:rsidRPr="007F7A40">
        <w:t xml:space="preserve">Prior to the closing date and time, Respondents can re-open their submitted response to make changes. Note that after re-opening a response, Respondents </w:t>
      </w:r>
      <w:r w:rsidRPr="002612A1">
        <w:rPr>
          <w:b/>
        </w:rPr>
        <w:t>must</w:t>
      </w:r>
      <w:r w:rsidRPr="007F7A40">
        <w:t xml:space="preserve"> re-submit the amended response if they wish it to be assessed.</w:t>
      </w:r>
    </w:p>
    <w:p w14:paraId="645CCFE9" w14:textId="5797A441" w:rsidR="00180386" w:rsidRPr="007F7A40" w:rsidRDefault="00180386" w:rsidP="002C63AC">
      <w:pPr>
        <w:keepNext/>
        <w:keepLines/>
        <w:suppressAutoHyphens/>
        <w:spacing w:before="100" w:beforeAutospacing="1" w:after="100" w:afterAutospacing="1"/>
        <w:jc w:val="both"/>
      </w:pPr>
      <w:proofErr w:type="gramStart"/>
      <w:r w:rsidRPr="007F7A40">
        <w:t xml:space="preserve">Only responses with a status of ‘submitted’ in 360Pro after the closing date and time will be considered by the </w:t>
      </w:r>
      <w:r w:rsidR="007E67C5">
        <w:t>d</w:t>
      </w:r>
      <w:r w:rsidRPr="007F7A40">
        <w:t>epartment</w:t>
      </w:r>
      <w:proofErr w:type="gramEnd"/>
      <w:r w:rsidRPr="007F7A40">
        <w:t>.</w:t>
      </w:r>
    </w:p>
    <w:p w14:paraId="57A10186" w14:textId="77777777" w:rsidR="00180386" w:rsidRPr="007F7A40" w:rsidRDefault="00180386" w:rsidP="002C63AC">
      <w:pPr>
        <w:keepNext/>
        <w:keepLines/>
        <w:suppressAutoHyphens/>
        <w:spacing w:before="100" w:beforeAutospacing="1" w:after="100" w:afterAutospacing="1"/>
        <w:jc w:val="both"/>
      </w:pPr>
      <w:r w:rsidRPr="007F7A40">
        <w:t>Respondents can withdraw from the process by re-opening their response and not resubmitting it.</w:t>
      </w:r>
    </w:p>
    <w:p w14:paraId="7681E54A" w14:textId="6CCCD003" w:rsidR="00F812AE" w:rsidRDefault="009569BE" w:rsidP="002C63AC">
      <w:pPr>
        <w:spacing w:before="100" w:beforeAutospacing="1" w:after="100" w:afterAutospacing="1"/>
        <w:jc w:val="both"/>
        <w:rPr>
          <w:lang w:eastAsia="en-AU"/>
        </w:rPr>
      </w:pPr>
      <w:r>
        <w:rPr>
          <w:i/>
          <w:lang w:eastAsia="en-AU"/>
        </w:rPr>
        <w:t xml:space="preserve">Reference: </w:t>
      </w:r>
      <w:r w:rsidR="00A45149">
        <w:rPr>
          <w:i/>
          <w:lang w:eastAsia="en-AU"/>
        </w:rPr>
        <w:t>RFT</w:t>
      </w:r>
      <w:r>
        <w:rPr>
          <w:i/>
          <w:lang w:eastAsia="en-AU"/>
        </w:rPr>
        <w:t xml:space="preserve"> </w:t>
      </w:r>
      <w:r w:rsidR="00D46F80" w:rsidRPr="00C57C57">
        <w:rPr>
          <w:i/>
          <w:lang w:eastAsia="en-AU"/>
        </w:rPr>
        <w:t>Section</w:t>
      </w:r>
      <w:r w:rsidR="0013365B">
        <w:rPr>
          <w:i/>
          <w:lang w:eastAsia="en-AU"/>
        </w:rPr>
        <w:t xml:space="preserve"> 7</w:t>
      </w:r>
      <w:r w:rsidR="00180386">
        <w:rPr>
          <w:i/>
          <w:lang w:eastAsia="en-AU"/>
        </w:rPr>
        <w:t>.2</w:t>
      </w:r>
      <w:r w:rsidR="00D46F80">
        <w:rPr>
          <w:i/>
          <w:lang w:eastAsia="en-AU"/>
        </w:rPr>
        <w:t>.2</w:t>
      </w:r>
      <w:r>
        <w:rPr>
          <w:i/>
          <w:lang w:eastAsia="en-AU"/>
        </w:rPr>
        <w:t>—</w:t>
      </w:r>
      <w:r w:rsidR="00A9728B">
        <w:rPr>
          <w:i/>
          <w:lang w:eastAsia="en-AU"/>
        </w:rPr>
        <w:t>Changing or Withdrawing Responses</w:t>
      </w:r>
    </w:p>
    <w:p w14:paraId="5AB46DAF" w14:textId="07E20921" w:rsidR="00F72EED" w:rsidRPr="00B002D7" w:rsidRDefault="00F72EED" w:rsidP="002C63AC">
      <w:pPr>
        <w:pStyle w:val="Heading2"/>
        <w:spacing w:before="100" w:beforeAutospacing="1" w:after="100" w:afterAutospacing="1"/>
        <w:ind w:left="567" w:hanging="567"/>
        <w:jc w:val="both"/>
      </w:pPr>
      <w:r w:rsidRPr="00B002D7">
        <w:t>If my organisation is part of a Group response</w:t>
      </w:r>
      <w:r w:rsidR="004C674E" w:rsidRPr="00B002D7">
        <w:t>,</w:t>
      </w:r>
      <w:r w:rsidRPr="00B002D7">
        <w:t xml:space="preserve"> can we also submit a stand-alone response for the same </w:t>
      </w:r>
      <w:r w:rsidR="0022625F">
        <w:t>Employment</w:t>
      </w:r>
      <w:r w:rsidR="0013365B" w:rsidRPr="00B002D7">
        <w:t xml:space="preserve"> Region?</w:t>
      </w:r>
    </w:p>
    <w:p w14:paraId="21F364AC" w14:textId="4F2FA366" w:rsidR="00E52E25" w:rsidRDefault="00BE54B1" w:rsidP="002C63AC">
      <w:pPr>
        <w:keepNext/>
        <w:spacing w:before="100" w:beforeAutospacing="1" w:after="100" w:afterAutospacing="1"/>
        <w:jc w:val="both"/>
        <w:rPr>
          <w:rFonts w:eastAsiaTheme="minorEastAsia"/>
        </w:rPr>
      </w:pPr>
      <w:r>
        <w:rPr>
          <w:rFonts w:eastAsiaTheme="minorEastAsia"/>
        </w:rPr>
        <w:t>No.</w:t>
      </w:r>
    </w:p>
    <w:p w14:paraId="56E0ADE9" w14:textId="14552830" w:rsidR="00F72EED" w:rsidRDefault="004C674E" w:rsidP="002C63AC">
      <w:pPr>
        <w:keepNext/>
        <w:spacing w:before="100" w:beforeAutospacing="1" w:after="100" w:afterAutospacing="1"/>
        <w:jc w:val="both"/>
        <w:rPr>
          <w:rFonts w:eastAsiaTheme="minorEastAsia"/>
        </w:rPr>
      </w:pPr>
      <w:r>
        <w:rPr>
          <w:rFonts w:eastAsiaTheme="minorEastAsia"/>
        </w:rPr>
        <w:t xml:space="preserve">A Respondent </w:t>
      </w:r>
      <w:r w:rsidR="00F72EED">
        <w:rPr>
          <w:rFonts w:eastAsiaTheme="minorEastAsia"/>
        </w:rPr>
        <w:t>must not compete against itself by submitting multiple or alternative response</w:t>
      </w:r>
      <w:r w:rsidR="00813DE0">
        <w:rPr>
          <w:rFonts w:eastAsiaTheme="minorEastAsia"/>
        </w:rPr>
        <w:t>s</w:t>
      </w:r>
      <w:r w:rsidR="0013365B">
        <w:rPr>
          <w:rFonts w:eastAsiaTheme="minorEastAsia"/>
        </w:rPr>
        <w:t xml:space="preserve"> for the same</w:t>
      </w:r>
      <w:r w:rsidR="009048AB">
        <w:rPr>
          <w:rFonts w:eastAsiaTheme="minorEastAsia"/>
        </w:rPr>
        <w:t xml:space="preserve"> </w:t>
      </w:r>
      <w:r w:rsidR="0022625F">
        <w:rPr>
          <w:rFonts w:eastAsiaTheme="minorEastAsia"/>
        </w:rPr>
        <w:t>Employment</w:t>
      </w:r>
      <w:r w:rsidR="00ED4F79">
        <w:rPr>
          <w:rFonts w:eastAsiaTheme="minorEastAsia"/>
        </w:rPr>
        <w:t xml:space="preserve"> Region</w:t>
      </w:r>
      <w:r w:rsidR="00F72EED">
        <w:rPr>
          <w:rFonts w:eastAsiaTheme="minorEastAsia"/>
        </w:rPr>
        <w:t>.</w:t>
      </w:r>
    </w:p>
    <w:p w14:paraId="047CAD99" w14:textId="07CB8E59" w:rsidR="00F72EED" w:rsidRDefault="00F72EED" w:rsidP="002C63AC">
      <w:pPr>
        <w:keepNext/>
        <w:spacing w:before="100" w:beforeAutospacing="1" w:after="100" w:afterAutospacing="1"/>
        <w:jc w:val="both"/>
        <w:rPr>
          <w:rFonts w:eastAsiaTheme="minorEastAsia"/>
        </w:rPr>
      </w:pPr>
      <w:r>
        <w:rPr>
          <w:rFonts w:eastAsiaTheme="minorEastAsia"/>
        </w:rPr>
        <w:t xml:space="preserve">This </w:t>
      </w:r>
      <w:r w:rsidR="00E226B6">
        <w:rPr>
          <w:rFonts w:eastAsiaTheme="minorEastAsia"/>
        </w:rPr>
        <w:t xml:space="preserve">requirement </w:t>
      </w:r>
      <w:r>
        <w:rPr>
          <w:rFonts w:eastAsiaTheme="minorEastAsia"/>
        </w:rPr>
        <w:t>does not apply to</w:t>
      </w:r>
      <w:r w:rsidR="00CB3BD9">
        <w:rPr>
          <w:rFonts w:eastAsiaTheme="minorEastAsia"/>
        </w:rPr>
        <w:t xml:space="preserve"> </w:t>
      </w:r>
      <w:r w:rsidR="004C674E">
        <w:rPr>
          <w:rFonts w:eastAsiaTheme="minorEastAsia"/>
        </w:rPr>
        <w:t>Subcontractors</w:t>
      </w:r>
      <w:r>
        <w:rPr>
          <w:rFonts w:eastAsiaTheme="minorEastAsia"/>
        </w:rPr>
        <w:t xml:space="preserve">. </w:t>
      </w:r>
      <w:proofErr w:type="gramStart"/>
      <w:r w:rsidR="00CB3BD9">
        <w:rPr>
          <w:rFonts w:eastAsiaTheme="minorEastAsia"/>
        </w:rPr>
        <w:t xml:space="preserve">A </w:t>
      </w:r>
      <w:r w:rsidR="004C674E">
        <w:rPr>
          <w:rFonts w:eastAsiaTheme="minorEastAsia"/>
        </w:rPr>
        <w:t>S</w:t>
      </w:r>
      <w:r>
        <w:rPr>
          <w:rFonts w:eastAsiaTheme="minorEastAsia"/>
        </w:rPr>
        <w:t>ubcontractor may be nominated as part of a re</w:t>
      </w:r>
      <w:r w:rsidR="000A4A6B">
        <w:rPr>
          <w:rFonts w:eastAsiaTheme="minorEastAsia"/>
        </w:rPr>
        <w:t xml:space="preserve">sponse by one or more </w:t>
      </w:r>
      <w:r w:rsidR="004C674E">
        <w:rPr>
          <w:rFonts w:eastAsiaTheme="minorEastAsia"/>
        </w:rPr>
        <w:t>Respondents</w:t>
      </w:r>
      <w:r>
        <w:rPr>
          <w:rFonts w:eastAsiaTheme="minorEastAsia"/>
        </w:rPr>
        <w:t xml:space="preserve"> for the same </w:t>
      </w:r>
      <w:r w:rsidR="00C65EA2">
        <w:rPr>
          <w:rFonts w:eastAsiaTheme="minorEastAsia"/>
        </w:rPr>
        <w:t xml:space="preserve">Employment </w:t>
      </w:r>
      <w:r w:rsidR="00ED4F79" w:rsidDel="00C65EA2">
        <w:rPr>
          <w:rFonts w:eastAsiaTheme="minorEastAsia"/>
        </w:rPr>
        <w:t>Region</w:t>
      </w:r>
      <w:proofErr w:type="gramEnd"/>
      <w:r w:rsidR="004C674E">
        <w:rPr>
          <w:rFonts w:eastAsiaTheme="minorEastAsia"/>
        </w:rPr>
        <w:t xml:space="preserve">. A nominated Subcontractor </w:t>
      </w:r>
      <w:r w:rsidR="00C55ADB">
        <w:rPr>
          <w:rFonts w:eastAsiaTheme="minorEastAsia"/>
        </w:rPr>
        <w:t xml:space="preserve">may </w:t>
      </w:r>
      <w:r w:rsidR="004C674E">
        <w:rPr>
          <w:rFonts w:eastAsiaTheme="minorEastAsia"/>
        </w:rPr>
        <w:t>also</w:t>
      </w:r>
      <w:r w:rsidR="00C55ADB">
        <w:rPr>
          <w:rFonts w:eastAsiaTheme="minorEastAsia"/>
        </w:rPr>
        <w:t xml:space="preserve"> respon</w:t>
      </w:r>
      <w:r w:rsidR="00E759CC">
        <w:rPr>
          <w:rFonts w:eastAsiaTheme="minorEastAsia"/>
        </w:rPr>
        <w:t>d</w:t>
      </w:r>
      <w:r w:rsidR="00C55ADB">
        <w:rPr>
          <w:rFonts w:eastAsiaTheme="minorEastAsia"/>
        </w:rPr>
        <w:t xml:space="preserve"> </w:t>
      </w:r>
      <w:r>
        <w:rPr>
          <w:rFonts w:eastAsiaTheme="minorEastAsia"/>
        </w:rPr>
        <w:t>in its own right</w:t>
      </w:r>
      <w:r w:rsidR="004C674E">
        <w:rPr>
          <w:rFonts w:eastAsiaTheme="minorEastAsia"/>
        </w:rPr>
        <w:t xml:space="preserve"> for that </w:t>
      </w:r>
      <w:r w:rsidR="00C65EA2">
        <w:rPr>
          <w:rFonts w:eastAsiaTheme="minorEastAsia"/>
        </w:rPr>
        <w:t>Employment Region.</w:t>
      </w:r>
    </w:p>
    <w:p w14:paraId="3F0F6066" w14:textId="3115720B" w:rsidR="00F72EED" w:rsidRPr="00F72EED" w:rsidRDefault="009569BE" w:rsidP="002C63AC">
      <w:pPr>
        <w:spacing w:before="100" w:beforeAutospacing="1" w:after="100" w:afterAutospacing="1"/>
        <w:jc w:val="both"/>
        <w:rPr>
          <w:i/>
          <w:lang w:eastAsia="en-AU"/>
        </w:rPr>
      </w:pPr>
      <w:r>
        <w:rPr>
          <w:rFonts w:eastAsiaTheme="minorEastAsia"/>
          <w:i/>
        </w:rPr>
        <w:t xml:space="preserve">Reference: </w:t>
      </w:r>
      <w:r w:rsidR="00A45149">
        <w:rPr>
          <w:rFonts w:eastAsiaTheme="minorEastAsia"/>
          <w:i/>
        </w:rPr>
        <w:t>RFT</w:t>
      </w:r>
      <w:r>
        <w:rPr>
          <w:rFonts w:eastAsiaTheme="minorEastAsia"/>
          <w:i/>
        </w:rPr>
        <w:t xml:space="preserve"> </w:t>
      </w:r>
      <w:r w:rsidR="00864361">
        <w:rPr>
          <w:rFonts w:eastAsiaTheme="minorEastAsia"/>
          <w:i/>
        </w:rPr>
        <w:t>Section 4.</w:t>
      </w:r>
      <w:r w:rsidR="009048AB">
        <w:rPr>
          <w:rFonts w:eastAsiaTheme="minorEastAsia"/>
          <w:i/>
        </w:rPr>
        <w:t>8</w:t>
      </w:r>
      <w:r>
        <w:rPr>
          <w:rFonts w:eastAsiaTheme="minorEastAsia"/>
          <w:i/>
        </w:rPr>
        <w:t>—</w:t>
      </w:r>
      <w:r w:rsidR="00A9728B">
        <w:rPr>
          <w:rFonts w:eastAsiaTheme="minorEastAsia"/>
          <w:i/>
        </w:rPr>
        <w:t>Competing Entities</w:t>
      </w:r>
    </w:p>
    <w:p w14:paraId="5000D23E" w14:textId="3B51181F" w:rsidR="000C371F" w:rsidRPr="00B002D7" w:rsidRDefault="000C371F" w:rsidP="002C63AC">
      <w:pPr>
        <w:pStyle w:val="Heading2"/>
        <w:spacing w:before="100" w:beforeAutospacing="1" w:after="100" w:afterAutospacing="1"/>
        <w:ind w:left="567" w:hanging="567"/>
        <w:jc w:val="both"/>
      </w:pPr>
      <w:r w:rsidRPr="000C371F">
        <w:t xml:space="preserve">Some organisations hire </w:t>
      </w:r>
      <w:r w:rsidR="00434597">
        <w:t>Coordinators/</w:t>
      </w:r>
      <w:r w:rsidR="001A6C9E">
        <w:t>F</w:t>
      </w:r>
      <w:r w:rsidRPr="000C371F">
        <w:t>acilitators using a Tax File Number (TFN) rather than an Australian Business Number (ABN). In what circumstances should organisations submit subcontractor information and form</w:t>
      </w:r>
      <w:r w:rsidR="00BE54B1">
        <w:t>s when applying to deliver CTA?</w:t>
      </w:r>
    </w:p>
    <w:p w14:paraId="6AFB168B" w14:textId="7F71F908" w:rsidR="000C371F" w:rsidRPr="000C371F" w:rsidRDefault="000C371F" w:rsidP="002C63AC">
      <w:pPr>
        <w:spacing w:before="100" w:beforeAutospacing="1" w:after="100" w:afterAutospacing="1"/>
        <w:jc w:val="both"/>
        <w:rPr>
          <w:rFonts w:ascii="Calibri" w:eastAsia="Times New Roman" w:hAnsi="Calibri" w:cs="Calibri"/>
          <w:iCs/>
          <w:color w:val="000000"/>
          <w:lang w:eastAsia="en-AU"/>
        </w:rPr>
      </w:pPr>
      <w:r w:rsidRPr="000C371F">
        <w:rPr>
          <w:rFonts w:ascii="Calibri" w:eastAsia="Times New Roman" w:hAnsi="Calibri" w:cs="Calibri"/>
          <w:iCs/>
          <w:color w:val="000000"/>
          <w:lang w:eastAsia="en-AU"/>
        </w:rPr>
        <w:t>Respondents are required</w:t>
      </w:r>
      <w:r w:rsidR="00B6792B">
        <w:rPr>
          <w:rFonts w:ascii="Calibri" w:eastAsia="Times New Roman" w:hAnsi="Calibri" w:cs="Calibri"/>
          <w:iCs/>
          <w:color w:val="000000"/>
          <w:lang w:eastAsia="en-AU"/>
        </w:rPr>
        <w:t>,</w:t>
      </w:r>
      <w:r w:rsidRPr="000C371F">
        <w:rPr>
          <w:rFonts w:ascii="Calibri" w:eastAsia="Times New Roman" w:hAnsi="Calibri" w:cs="Calibri"/>
          <w:iCs/>
          <w:color w:val="000000"/>
          <w:lang w:eastAsia="en-AU"/>
        </w:rPr>
        <w:t xml:space="preserve"> under </w:t>
      </w:r>
      <w:r w:rsidRPr="000C371F">
        <w:rPr>
          <w:rFonts w:ascii="Calibri" w:eastAsia="Times New Roman" w:hAnsi="Calibri" w:cs="Calibri"/>
          <w:i/>
          <w:iCs/>
          <w:color w:val="000000"/>
          <w:lang w:eastAsia="en-AU"/>
        </w:rPr>
        <w:t>Section 4.4—Subcontracting Arrangements</w:t>
      </w:r>
      <w:r w:rsidRPr="000C371F">
        <w:rPr>
          <w:rFonts w:ascii="Calibri" w:eastAsia="Times New Roman" w:hAnsi="Calibri" w:cs="Calibri"/>
          <w:iCs/>
          <w:color w:val="000000"/>
          <w:lang w:eastAsia="en-AU"/>
        </w:rPr>
        <w:t xml:space="preserve"> of the </w:t>
      </w:r>
      <w:r w:rsidR="00434597">
        <w:rPr>
          <w:rFonts w:ascii="Calibri" w:eastAsia="Times New Roman" w:hAnsi="Calibri" w:cs="Calibri"/>
          <w:iCs/>
          <w:color w:val="000000"/>
          <w:lang w:eastAsia="en-AU"/>
        </w:rPr>
        <w:t>RFT</w:t>
      </w:r>
      <w:r w:rsidR="00B6792B">
        <w:rPr>
          <w:rFonts w:ascii="Calibri" w:eastAsia="Times New Roman" w:hAnsi="Calibri" w:cs="Calibri"/>
          <w:iCs/>
          <w:color w:val="000000"/>
          <w:lang w:eastAsia="en-AU"/>
        </w:rPr>
        <w:t>,</w:t>
      </w:r>
      <w:r w:rsidRPr="000C371F">
        <w:rPr>
          <w:rFonts w:ascii="Calibri" w:eastAsia="Times New Roman" w:hAnsi="Calibri" w:cs="Calibri"/>
          <w:iCs/>
          <w:color w:val="000000"/>
          <w:lang w:eastAsia="en-AU"/>
        </w:rPr>
        <w:t xml:space="preserve"> to indicate if they intend to subcontract any or all of the CTA Services. Respondents that propose to subcontract any or all of the CTA Se</w:t>
      </w:r>
      <w:r>
        <w:rPr>
          <w:rFonts w:ascii="Calibri" w:eastAsia="Times New Roman" w:hAnsi="Calibri" w:cs="Calibri"/>
          <w:iCs/>
          <w:color w:val="000000"/>
          <w:lang w:eastAsia="en-AU"/>
        </w:rPr>
        <w:t>rvices must complete and lodge the</w:t>
      </w:r>
      <w:r w:rsidRPr="000C371F">
        <w:rPr>
          <w:rFonts w:ascii="Calibri" w:eastAsia="Times New Roman" w:hAnsi="Calibri" w:cs="Calibri"/>
          <w:iCs/>
          <w:color w:val="000000"/>
          <w:lang w:eastAsia="en-AU"/>
        </w:rPr>
        <w:t xml:space="preserve"> </w:t>
      </w:r>
      <w:r w:rsidRPr="000C371F">
        <w:rPr>
          <w:rFonts w:ascii="Calibri" w:eastAsia="Times New Roman" w:hAnsi="Calibri" w:cs="Calibri"/>
          <w:i/>
          <w:iCs/>
          <w:color w:val="000000"/>
          <w:lang w:eastAsia="en-AU"/>
        </w:rPr>
        <w:t>Subcontractors</w:t>
      </w:r>
      <w:r>
        <w:rPr>
          <w:rFonts w:ascii="Calibri" w:eastAsia="Times New Roman" w:hAnsi="Calibri" w:cs="Calibri"/>
          <w:i/>
          <w:color w:val="000000"/>
          <w:lang w:eastAsia="en-AU"/>
        </w:rPr>
        <w:t xml:space="preserve"> </w:t>
      </w:r>
      <w:r w:rsidR="00434597">
        <w:rPr>
          <w:rFonts w:ascii="Calibri" w:eastAsia="Times New Roman" w:hAnsi="Calibri" w:cs="Calibri"/>
          <w:i/>
          <w:iCs/>
          <w:color w:val="000000"/>
          <w:lang w:eastAsia="en-AU"/>
        </w:rPr>
        <w:t>Form</w:t>
      </w:r>
      <w:r w:rsidRPr="000C371F">
        <w:rPr>
          <w:rFonts w:ascii="Calibri" w:eastAsia="Times New Roman" w:hAnsi="Calibri" w:cs="Calibri"/>
          <w:iCs/>
          <w:color w:val="000000"/>
          <w:lang w:eastAsia="en-AU"/>
        </w:rPr>
        <w:t xml:space="preserve"> detailing the propos</w:t>
      </w:r>
      <w:r>
        <w:rPr>
          <w:rFonts w:ascii="Calibri" w:eastAsia="Times New Roman" w:hAnsi="Calibri" w:cs="Calibri"/>
          <w:iCs/>
          <w:color w:val="000000"/>
          <w:lang w:eastAsia="en-AU"/>
        </w:rPr>
        <w:t>ed subcontracting arrangements.</w:t>
      </w:r>
    </w:p>
    <w:p w14:paraId="0AE82219" w14:textId="77F1985F" w:rsidR="000C371F" w:rsidRDefault="000C371F" w:rsidP="002C63AC">
      <w:pPr>
        <w:spacing w:before="100" w:beforeAutospacing="1" w:after="100" w:afterAutospacing="1"/>
        <w:jc w:val="both"/>
        <w:rPr>
          <w:rFonts w:ascii="Calibri" w:eastAsia="Times New Roman" w:hAnsi="Calibri" w:cs="Calibri"/>
          <w:iCs/>
          <w:color w:val="000000"/>
          <w:lang w:eastAsia="en-AU"/>
        </w:rPr>
      </w:pPr>
      <w:r w:rsidRPr="000C371F">
        <w:rPr>
          <w:rFonts w:ascii="Calibri" w:eastAsia="Times New Roman" w:hAnsi="Calibri" w:cs="Calibri"/>
          <w:iCs/>
          <w:color w:val="000000"/>
          <w:lang w:eastAsia="en-AU"/>
        </w:rPr>
        <w:t xml:space="preserve">It is a Respondent’s responsibility to identify the legal nature of the arrangement between the Respondent and its proposed </w:t>
      </w:r>
      <w:r w:rsidR="001A6C9E">
        <w:rPr>
          <w:rFonts w:ascii="Calibri" w:eastAsia="Times New Roman" w:hAnsi="Calibri" w:cs="Calibri"/>
          <w:iCs/>
          <w:color w:val="000000"/>
          <w:lang w:eastAsia="en-AU"/>
        </w:rPr>
        <w:t>Coordinator</w:t>
      </w:r>
      <w:r w:rsidRPr="000C371F">
        <w:rPr>
          <w:rFonts w:ascii="Calibri" w:eastAsia="Times New Roman" w:hAnsi="Calibri" w:cs="Calibri"/>
          <w:iCs/>
          <w:color w:val="000000"/>
          <w:lang w:eastAsia="en-AU"/>
        </w:rPr>
        <w:t>(s</w:t>
      </w:r>
      <w:r w:rsidR="001A6C9E">
        <w:rPr>
          <w:rFonts w:ascii="Calibri" w:eastAsia="Times New Roman" w:hAnsi="Calibri" w:cs="Calibri"/>
          <w:iCs/>
          <w:color w:val="000000"/>
          <w:lang w:eastAsia="en-AU"/>
        </w:rPr>
        <w:t>)/F</w:t>
      </w:r>
      <w:r w:rsidRPr="000C371F">
        <w:rPr>
          <w:rFonts w:ascii="Calibri" w:eastAsia="Times New Roman" w:hAnsi="Calibri" w:cs="Calibri"/>
          <w:iCs/>
          <w:color w:val="000000"/>
          <w:lang w:eastAsia="en-AU"/>
        </w:rPr>
        <w:t xml:space="preserve">acilitator(s). If a Respondent proposes to subcontract CTA Services to another legal entity (which includes a natural person), then details of that arrangement must be included in the </w:t>
      </w:r>
      <w:r w:rsidRPr="000C371F">
        <w:rPr>
          <w:rFonts w:ascii="Calibri" w:eastAsia="Times New Roman" w:hAnsi="Calibri" w:cs="Calibri"/>
          <w:i/>
          <w:iCs/>
          <w:color w:val="000000"/>
          <w:lang w:eastAsia="en-AU"/>
        </w:rPr>
        <w:t>Subcontractors Form</w:t>
      </w:r>
      <w:r w:rsidRPr="000C371F">
        <w:rPr>
          <w:rFonts w:ascii="Calibri" w:eastAsia="Times New Roman" w:hAnsi="Calibri" w:cs="Calibri"/>
          <w:iCs/>
          <w:color w:val="000000"/>
          <w:lang w:eastAsia="en-AU"/>
        </w:rPr>
        <w:t>. Respondents should seek their own independent legal advice if required</w:t>
      </w:r>
      <w:r w:rsidR="00712E00">
        <w:rPr>
          <w:rFonts w:ascii="Calibri" w:eastAsia="Times New Roman" w:hAnsi="Calibri" w:cs="Calibri"/>
          <w:iCs/>
          <w:color w:val="000000"/>
          <w:lang w:eastAsia="en-AU"/>
        </w:rPr>
        <w:t>,</w:t>
      </w:r>
      <w:r w:rsidRPr="000C371F">
        <w:rPr>
          <w:rFonts w:ascii="Calibri" w:eastAsia="Times New Roman" w:hAnsi="Calibri" w:cs="Calibri"/>
          <w:iCs/>
          <w:color w:val="000000"/>
          <w:lang w:eastAsia="en-AU"/>
        </w:rPr>
        <w:t xml:space="preserve"> to identify the legal nature of the proposed arrangement.</w:t>
      </w:r>
    </w:p>
    <w:p w14:paraId="2AAEFCF5" w14:textId="31F30461" w:rsidR="000C371F" w:rsidRDefault="000C371F" w:rsidP="002C63AC">
      <w:pPr>
        <w:spacing w:before="100" w:beforeAutospacing="1" w:after="100" w:afterAutospacing="1"/>
        <w:jc w:val="both"/>
        <w:rPr>
          <w:rFonts w:ascii="Calibri" w:eastAsia="Times New Roman" w:hAnsi="Calibri" w:cs="Calibri"/>
          <w:i/>
          <w:iCs/>
          <w:color w:val="000000"/>
          <w:lang w:eastAsia="en-AU"/>
        </w:rPr>
      </w:pPr>
      <w:r>
        <w:rPr>
          <w:rFonts w:ascii="Calibri" w:eastAsia="Times New Roman" w:hAnsi="Calibri" w:cs="Calibri"/>
          <w:i/>
          <w:iCs/>
          <w:color w:val="000000"/>
          <w:lang w:eastAsia="en-AU"/>
        </w:rPr>
        <w:t xml:space="preserve">Reference: </w:t>
      </w:r>
      <w:r w:rsidR="00A45149">
        <w:rPr>
          <w:rFonts w:ascii="Calibri" w:eastAsia="Times New Roman" w:hAnsi="Calibri" w:cs="Calibri"/>
          <w:i/>
          <w:iCs/>
          <w:color w:val="000000"/>
          <w:lang w:eastAsia="en-AU"/>
        </w:rPr>
        <w:t>RFT</w:t>
      </w:r>
      <w:r>
        <w:rPr>
          <w:rFonts w:ascii="Calibri" w:eastAsia="Times New Roman" w:hAnsi="Calibri" w:cs="Calibri"/>
          <w:i/>
          <w:iCs/>
          <w:color w:val="000000"/>
          <w:lang w:eastAsia="en-AU"/>
        </w:rPr>
        <w:t xml:space="preserve"> </w:t>
      </w:r>
      <w:r w:rsidRPr="000C371F">
        <w:rPr>
          <w:rFonts w:ascii="Calibri" w:eastAsia="Times New Roman" w:hAnsi="Calibri" w:cs="Calibri"/>
          <w:i/>
          <w:iCs/>
          <w:color w:val="000000"/>
          <w:lang w:eastAsia="en-AU"/>
        </w:rPr>
        <w:t>Section 4.4—Subcontracting Arrangements</w:t>
      </w:r>
    </w:p>
    <w:p w14:paraId="12A1B437" w14:textId="44E3F0C4" w:rsidR="002A105B" w:rsidRPr="00B002D7" w:rsidRDefault="002A105B" w:rsidP="002C63AC">
      <w:pPr>
        <w:pStyle w:val="Heading2"/>
        <w:spacing w:before="100" w:beforeAutospacing="1" w:after="100" w:afterAutospacing="1"/>
        <w:ind w:left="567" w:hanging="567"/>
        <w:jc w:val="both"/>
      </w:pPr>
      <w:r w:rsidRPr="002A105B">
        <w:t xml:space="preserve">If specific names and </w:t>
      </w:r>
      <w:r w:rsidR="005B467F">
        <w:t>s</w:t>
      </w:r>
      <w:r w:rsidRPr="002A105B">
        <w:t xml:space="preserve">ubcontracting arrangements are unknown, e.g. if a Respondent will need to undergo a process to identify and engage subcontractors, can </w:t>
      </w:r>
      <w:r w:rsidR="006B203A">
        <w:t xml:space="preserve">the </w:t>
      </w:r>
      <w:r w:rsidR="00544B5B">
        <w:t>s</w:t>
      </w:r>
      <w:r w:rsidRPr="002A105B">
        <w:t xml:space="preserve">ubcontractor information be provided to the </w:t>
      </w:r>
      <w:r w:rsidR="00D307F5">
        <w:t>d</w:t>
      </w:r>
      <w:r w:rsidRPr="002A105B">
        <w:t xml:space="preserve">epartment after the </w:t>
      </w:r>
      <w:r w:rsidR="006B203A">
        <w:t>RFT</w:t>
      </w:r>
      <w:r w:rsidRPr="002A105B">
        <w:t xml:space="preserve"> closing date and time?</w:t>
      </w:r>
      <w:r w:rsidRPr="000C371F">
        <w:t xml:space="preserve"> </w:t>
      </w:r>
    </w:p>
    <w:p w14:paraId="2AD00C0D" w14:textId="725E3006" w:rsidR="00D307F5" w:rsidRDefault="00D307F5" w:rsidP="002C63AC">
      <w:pPr>
        <w:spacing w:before="100" w:beforeAutospacing="1" w:after="100" w:afterAutospacing="1"/>
        <w:jc w:val="both"/>
        <w:rPr>
          <w:rFonts w:ascii="Calibri" w:eastAsia="Times New Roman" w:hAnsi="Calibri" w:cs="Calibri"/>
          <w:iCs/>
          <w:color w:val="000000"/>
          <w:lang w:eastAsia="en-AU"/>
        </w:rPr>
      </w:pPr>
      <w:r>
        <w:rPr>
          <w:rFonts w:ascii="Calibri" w:eastAsia="Times New Roman" w:hAnsi="Calibri" w:cs="Calibri"/>
          <w:iCs/>
          <w:color w:val="000000"/>
          <w:lang w:eastAsia="en-AU"/>
        </w:rPr>
        <w:t xml:space="preserve">No, unless </w:t>
      </w:r>
      <w:r w:rsidR="00A10E3B">
        <w:rPr>
          <w:rFonts w:ascii="Calibri" w:eastAsia="Times New Roman" w:hAnsi="Calibri" w:cs="Calibri"/>
          <w:iCs/>
          <w:color w:val="000000"/>
          <w:lang w:eastAsia="en-AU"/>
        </w:rPr>
        <w:t xml:space="preserve">a Respondent </w:t>
      </w:r>
      <w:r w:rsidR="00A10E3B" w:rsidRPr="002A105B">
        <w:rPr>
          <w:rFonts w:ascii="Calibri" w:eastAsia="Times New Roman" w:hAnsi="Calibri" w:cs="Calibri"/>
          <w:iCs/>
          <w:color w:val="000000"/>
          <w:lang w:eastAsia="en-AU"/>
        </w:rPr>
        <w:t>seek</w:t>
      </w:r>
      <w:r w:rsidR="00A10E3B">
        <w:rPr>
          <w:rFonts w:ascii="Calibri" w:eastAsia="Times New Roman" w:hAnsi="Calibri" w:cs="Calibri"/>
          <w:iCs/>
          <w:color w:val="000000"/>
          <w:lang w:eastAsia="en-AU"/>
        </w:rPr>
        <w:t xml:space="preserve">s a </w:t>
      </w:r>
      <w:r w:rsidR="00A10E3B" w:rsidRPr="002A105B">
        <w:rPr>
          <w:rFonts w:ascii="Calibri" w:eastAsia="Times New Roman" w:hAnsi="Calibri" w:cs="Calibri"/>
          <w:iCs/>
          <w:color w:val="000000"/>
          <w:lang w:eastAsia="en-AU"/>
        </w:rPr>
        <w:t xml:space="preserve">written agreement </w:t>
      </w:r>
      <w:r w:rsidR="00A10E3B">
        <w:rPr>
          <w:rFonts w:ascii="Calibri" w:eastAsia="Times New Roman" w:hAnsi="Calibri" w:cs="Calibri"/>
          <w:iCs/>
          <w:color w:val="000000"/>
          <w:lang w:eastAsia="en-AU"/>
        </w:rPr>
        <w:t>from</w:t>
      </w:r>
      <w:r w:rsidR="00A10E3B" w:rsidRPr="002A105B">
        <w:rPr>
          <w:rFonts w:ascii="Calibri" w:eastAsia="Times New Roman" w:hAnsi="Calibri" w:cs="Calibri"/>
          <w:iCs/>
          <w:color w:val="000000"/>
          <w:lang w:eastAsia="en-AU"/>
        </w:rPr>
        <w:t xml:space="preserve"> the </w:t>
      </w:r>
      <w:r w:rsidR="00A10E3B">
        <w:rPr>
          <w:rFonts w:ascii="Calibri" w:eastAsia="Times New Roman" w:hAnsi="Calibri" w:cs="Calibri"/>
          <w:iCs/>
          <w:color w:val="000000"/>
          <w:lang w:eastAsia="en-AU"/>
        </w:rPr>
        <w:t>d</w:t>
      </w:r>
      <w:r w:rsidR="00A10E3B" w:rsidRPr="002A105B">
        <w:rPr>
          <w:rFonts w:ascii="Calibri" w:eastAsia="Times New Roman" w:hAnsi="Calibri" w:cs="Calibri"/>
          <w:iCs/>
          <w:color w:val="000000"/>
          <w:lang w:eastAsia="en-AU"/>
        </w:rPr>
        <w:t>epartment before doing so</w:t>
      </w:r>
      <w:r w:rsidR="00A10E3B">
        <w:rPr>
          <w:rFonts w:ascii="Calibri" w:eastAsia="Times New Roman" w:hAnsi="Calibri" w:cs="Calibri"/>
          <w:iCs/>
          <w:color w:val="000000"/>
          <w:lang w:eastAsia="en-AU"/>
        </w:rPr>
        <w:t>.</w:t>
      </w:r>
    </w:p>
    <w:p w14:paraId="2CF7F1B8" w14:textId="5FDD86D0" w:rsidR="002A105B" w:rsidRPr="002A105B" w:rsidRDefault="002A105B" w:rsidP="002C63AC">
      <w:pPr>
        <w:spacing w:before="100" w:beforeAutospacing="1" w:after="100" w:afterAutospacing="1"/>
        <w:jc w:val="both"/>
        <w:rPr>
          <w:rFonts w:ascii="Calibri" w:eastAsia="Times New Roman" w:hAnsi="Calibri" w:cs="Calibri"/>
          <w:iCs/>
          <w:color w:val="000000"/>
          <w:lang w:eastAsia="en-AU"/>
        </w:rPr>
      </w:pPr>
      <w:r w:rsidRPr="002A105B">
        <w:rPr>
          <w:rFonts w:ascii="Calibri" w:eastAsia="Times New Roman" w:hAnsi="Calibri" w:cs="Calibri"/>
          <w:iCs/>
          <w:color w:val="000000"/>
          <w:lang w:eastAsia="en-AU"/>
        </w:rPr>
        <w:t xml:space="preserve">As per </w:t>
      </w:r>
      <w:r w:rsidRPr="002A105B">
        <w:rPr>
          <w:rFonts w:ascii="Calibri" w:eastAsia="Times New Roman" w:hAnsi="Calibri" w:cs="Calibri"/>
          <w:i/>
          <w:iCs/>
          <w:color w:val="000000"/>
          <w:lang w:eastAsia="en-AU"/>
        </w:rPr>
        <w:t>Section 4.4—Subcontracting Arrangements</w:t>
      </w:r>
      <w:r w:rsidRPr="002A105B">
        <w:rPr>
          <w:rFonts w:ascii="Calibri" w:eastAsia="Times New Roman" w:hAnsi="Calibri" w:cs="Calibri"/>
          <w:iCs/>
          <w:color w:val="000000"/>
          <w:lang w:eastAsia="en-AU"/>
        </w:rPr>
        <w:t xml:space="preserve"> of the </w:t>
      </w:r>
      <w:r w:rsidR="001A6C9E">
        <w:rPr>
          <w:rFonts w:ascii="Calibri" w:eastAsia="Times New Roman" w:hAnsi="Calibri" w:cs="Calibri"/>
          <w:iCs/>
          <w:color w:val="000000"/>
          <w:lang w:eastAsia="en-AU"/>
        </w:rPr>
        <w:t>RFT</w:t>
      </w:r>
      <w:r w:rsidRPr="002A105B">
        <w:rPr>
          <w:rFonts w:ascii="Calibri" w:eastAsia="Times New Roman" w:hAnsi="Calibri" w:cs="Calibri"/>
          <w:iCs/>
          <w:color w:val="000000"/>
          <w:lang w:eastAsia="en-AU"/>
        </w:rPr>
        <w:t xml:space="preserve">, Respondents must indicate in their response if they intend to subcontract all or part of the delivery of CTA, and must complete and submit the </w:t>
      </w:r>
      <w:r w:rsidRPr="002A105B">
        <w:rPr>
          <w:rFonts w:ascii="Calibri" w:eastAsia="Times New Roman" w:hAnsi="Calibri" w:cs="Calibri"/>
          <w:i/>
          <w:iCs/>
          <w:color w:val="000000"/>
          <w:lang w:eastAsia="en-AU"/>
        </w:rPr>
        <w:t>Subcontractors</w:t>
      </w:r>
      <w:r w:rsidRPr="002A105B">
        <w:rPr>
          <w:rFonts w:ascii="Calibri" w:eastAsia="Times New Roman" w:hAnsi="Calibri" w:cs="Calibri"/>
          <w:iCs/>
          <w:color w:val="000000"/>
          <w:lang w:eastAsia="en-AU"/>
        </w:rPr>
        <w:t xml:space="preserve"> and </w:t>
      </w:r>
      <w:r w:rsidRPr="002A105B">
        <w:rPr>
          <w:rFonts w:ascii="Calibri" w:eastAsia="Times New Roman" w:hAnsi="Calibri" w:cs="Calibri"/>
          <w:i/>
          <w:iCs/>
          <w:color w:val="000000"/>
          <w:lang w:eastAsia="en-AU"/>
        </w:rPr>
        <w:t>Subcontractor Credentials Information Forms</w:t>
      </w:r>
      <w:r w:rsidRPr="002A105B">
        <w:rPr>
          <w:rFonts w:ascii="Calibri" w:eastAsia="Times New Roman" w:hAnsi="Calibri" w:cs="Calibri"/>
          <w:iCs/>
          <w:color w:val="000000"/>
          <w:lang w:eastAsia="en-AU"/>
        </w:rPr>
        <w:t xml:space="preserve">. If the names of proposed, identified subcontractors are not included, this </w:t>
      </w:r>
      <w:proofErr w:type="gramStart"/>
      <w:r w:rsidRPr="002A105B">
        <w:rPr>
          <w:rFonts w:ascii="Calibri" w:eastAsia="Times New Roman" w:hAnsi="Calibri" w:cs="Calibri"/>
          <w:iCs/>
          <w:color w:val="000000"/>
          <w:lang w:eastAsia="en-AU"/>
        </w:rPr>
        <w:t>may be taken</w:t>
      </w:r>
      <w:proofErr w:type="gramEnd"/>
      <w:r w:rsidRPr="002A105B">
        <w:rPr>
          <w:rFonts w:ascii="Calibri" w:eastAsia="Times New Roman" w:hAnsi="Calibri" w:cs="Calibri"/>
          <w:iCs/>
          <w:color w:val="000000"/>
          <w:lang w:eastAsia="en-AU"/>
        </w:rPr>
        <w:t xml:space="preserve"> into account in evaluation of the response. If a Respondent has not named any subcontractors and wishes to add names of subcontractors after submission of its response, it must seek the written agreement of the </w:t>
      </w:r>
      <w:r w:rsidR="00D307F5">
        <w:rPr>
          <w:rFonts w:ascii="Calibri" w:eastAsia="Times New Roman" w:hAnsi="Calibri" w:cs="Calibri"/>
          <w:iCs/>
          <w:color w:val="000000"/>
          <w:lang w:eastAsia="en-AU"/>
        </w:rPr>
        <w:t>d</w:t>
      </w:r>
      <w:r w:rsidRPr="002A105B">
        <w:rPr>
          <w:rFonts w:ascii="Calibri" w:eastAsia="Times New Roman" w:hAnsi="Calibri" w:cs="Calibri"/>
          <w:iCs/>
          <w:color w:val="000000"/>
          <w:lang w:eastAsia="en-AU"/>
        </w:rPr>
        <w:t xml:space="preserve">epartment before doing so. A failure to submit </w:t>
      </w:r>
      <w:r w:rsidRPr="002A105B">
        <w:rPr>
          <w:rFonts w:ascii="Calibri" w:eastAsia="Times New Roman" w:hAnsi="Calibri" w:cs="Calibri"/>
          <w:i/>
          <w:iCs/>
          <w:color w:val="000000"/>
          <w:lang w:eastAsia="en-AU"/>
        </w:rPr>
        <w:t>Subcontractors</w:t>
      </w:r>
      <w:r w:rsidRPr="002A105B">
        <w:rPr>
          <w:rFonts w:ascii="Calibri" w:eastAsia="Times New Roman" w:hAnsi="Calibri" w:cs="Calibri"/>
          <w:iCs/>
          <w:color w:val="000000"/>
          <w:lang w:eastAsia="en-AU"/>
        </w:rPr>
        <w:t xml:space="preserve"> and </w:t>
      </w:r>
      <w:r w:rsidRPr="002A105B">
        <w:rPr>
          <w:rFonts w:ascii="Calibri" w:eastAsia="Times New Roman" w:hAnsi="Calibri" w:cs="Calibri"/>
          <w:i/>
          <w:iCs/>
          <w:color w:val="000000"/>
          <w:lang w:eastAsia="en-AU"/>
        </w:rPr>
        <w:t>Subcontractor Credentials Information Forms</w:t>
      </w:r>
      <w:r w:rsidRPr="002A105B">
        <w:rPr>
          <w:rFonts w:ascii="Calibri" w:eastAsia="Times New Roman" w:hAnsi="Calibri" w:cs="Calibri"/>
          <w:iCs/>
          <w:color w:val="000000"/>
          <w:lang w:eastAsia="en-AU"/>
        </w:rPr>
        <w:t xml:space="preserve"> or to seek prior written approval from the </w:t>
      </w:r>
      <w:r w:rsidR="00D307F5">
        <w:rPr>
          <w:rFonts w:ascii="Calibri" w:eastAsia="Times New Roman" w:hAnsi="Calibri" w:cs="Calibri"/>
          <w:iCs/>
          <w:color w:val="000000"/>
          <w:lang w:eastAsia="en-AU"/>
        </w:rPr>
        <w:t>d</w:t>
      </w:r>
      <w:r w:rsidRPr="002A105B">
        <w:rPr>
          <w:rFonts w:ascii="Calibri" w:eastAsia="Times New Roman" w:hAnsi="Calibri" w:cs="Calibri"/>
          <w:iCs/>
          <w:color w:val="000000"/>
          <w:lang w:eastAsia="en-AU"/>
        </w:rPr>
        <w:t xml:space="preserve">epartment to a change to subcontractors may result in the </w:t>
      </w:r>
      <w:r w:rsidR="00D307F5">
        <w:rPr>
          <w:rFonts w:ascii="Calibri" w:eastAsia="Times New Roman" w:hAnsi="Calibri" w:cs="Calibri"/>
          <w:iCs/>
          <w:color w:val="000000"/>
          <w:lang w:eastAsia="en-AU"/>
        </w:rPr>
        <w:t>d</w:t>
      </w:r>
      <w:r w:rsidRPr="002A105B">
        <w:rPr>
          <w:rFonts w:ascii="Calibri" w:eastAsia="Times New Roman" w:hAnsi="Calibri" w:cs="Calibri"/>
          <w:iCs/>
          <w:color w:val="000000"/>
          <w:lang w:eastAsia="en-AU"/>
        </w:rPr>
        <w:t>epartment</w:t>
      </w:r>
      <w:r w:rsidR="00B6792B">
        <w:rPr>
          <w:rFonts w:ascii="Calibri" w:eastAsia="Times New Roman" w:hAnsi="Calibri" w:cs="Calibri"/>
          <w:iCs/>
          <w:color w:val="000000"/>
          <w:lang w:eastAsia="en-AU"/>
        </w:rPr>
        <w:t xml:space="preserve"> deciding</w:t>
      </w:r>
      <w:r w:rsidRPr="002A105B">
        <w:rPr>
          <w:rFonts w:ascii="Calibri" w:eastAsia="Times New Roman" w:hAnsi="Calibri" w:cs="Calibri"/>
          <w:iCs/>
          <w:color w:val="000000"/>
          <w:lang w:eastAsia="en-AU"/>
        </w:rPr>
        <w:t>, in its absolute discretion, to exclud</w:t>
      </w:r>
      <w:r>
        <w:rPr>
          <w:rFonts w:ascii="Calibri" w:eastAsia="Times New Roman" w:hAnsi="Calibri" w:cs="Calibri"/>
          <w:iCs/>
          <w:color w:val="000000"/>
          <w:lang w:eastAsia="en-AU"/>
        </w:rPr>
        <w:t xml:space="preserve">e the response from </w:t>
      </w:r>
      <w:r w:rsidR="00B6792B">
        <w:rPr>
          <w:rFonts w:ascii="Calibri" w:eastAsia="Times New Roman" w:hAnsi="Calibri" w:cs="Calibri"/>
          <w:iCs/>
          <w:color w:val="000000"/>
          <w:lang w:eastAsia="en-AU"/>
        </w:rPr>
        <w:t xml:space="preserve">further </w:t>
      </w:r>
      <w:r>
        <w:rPr>
          <w:rFonts w:ascii="Calibri" w:eastAsia="Times New Roman" w:hAnsi="Calibri" w:cs="Calibri"/>
          <w:iCs/>
          <w:color w:val="000000"/>
          <w:lang w:eastAsia="en-AU"/>
        </w:rPr>
        <w:t>evaluation.</w:t>
      </w:r>
    </w:p>
    <w:p w14:paraId="64775EE6" w14:textId="1CF6E73C" w:rsidR="002A105B" w:rsidRDefault="002A105B" w:rsidP="002C63AC">
      <w:pPr>
        <w:spacing w:before="100" w:beforeAutospacing="1" w:after="100" w:afterAutospacing="1"/>
        <w:jc w:val="both"/>
        <w:rPr>
          <w:rFonts w:ascii="Calibri" w:eastAsia="Times New Roman" w:hAnsi="Calibri" w:cs="Calibri"/>
          <w:iCs/>
          <w:color w:val="000000"/>
          <w:lang w:eastAsia="en-AU"/>
        </w:rPr>
      </w:pPr>
      <w:r w:rsidRPr="002A105B">
        <w:rPr>
          <w:rFonts w:ascii="Calibri" w:eastAsia="Times New Roman" w:hAnsi="Calibri" w:cs="Calibri"/>
          <w:i/>
          <w:iCs/>
          <w:color w:val="000000"/>
          <w:lang w:eastAsia="en-AU"/>
        </w:rPr>
        <w:t xml:space="preserve">Clause </w:t>
      </w:r>
      <w:r w:rsidR="00940A7B">
        <w:rPr>
          <w:rFonts w:ascii="Calibri" w:eastAsia="Times New Roman" w:hAnsi="Calibri" w:cs="Calibri"/>
          <w:i/>
          <w:iCs/>
          <w:color w:val="000000"/>
          <w:lang w:eastAsia="en-AU"/>
        </w:rPr>
        <w:t>3</w:t>
      </w:r>
      <w:r w:rsidR="00493A44">
        <w:rPr>
          <w:rFonts w:ascii="Calibri" w:eastAsia="Times New Roman" w:hAnsi="Calibri" w:cs="Calibri"/>
          <w:i/>
          <w:iCs/>
          <w:color w:val="000000"/>
          <w:lang w:eastAsia="en-AU"/>
        </w:rPr>
        <w:t xml:space="preserve">1 - </w:t>
      </w:r>
      <w:r w:rsidRPr="002A105B">
        <w:rPr>
          <w:rFonts w:ascii="Calibri" w:eastAsia="Times New Roman" w:hAnsi="Calibri" w:cs="Calibri"/>
          <w:i/>
          <w:iCs/>
          <w:color w:val="000000"/>
          <w:lang w:eastAsia="en-AU"/>
        </w:rPr>
        <w:t>Subcontracting</w:t>
      </w:r>
      <w:r w:rsidRPr="002A105B">
        <w:rPr>
          <w:rFonts w:ascii="Calibri" w:eastAsia="Times New Roman" w:hAnsi="Calibri" w:cs="Calibri"/>
          <w:iCs/>
          <w:color w:val="000000"/>
          <w:lang w:eastAsia="en-AU"/>
        </w:rPr>
        <w:t xml:space="preserve"> of the CTA </w:t>
      </w:r>
      <w:r w:rsidR="00AD1899">
        <w:rPr>
          <w:rFonts w:ascii="Calibri" w:eastAsia="Times New Roman" w:hAnsi="Calibri" w:cs="Calibri"/>
          <w:iCs/>
          <w:color w:val="000000"/>
          <w:lang w:eastAsia="en-AU"/>
        </w:rPr>
        <w:t>D</w:t>
      </w:r>
      <w:r w:rsidRPr="002A105B">
        <w:rPr>
          <w:rFonts w:ascii="Calibri" w:eastAsia="Times New Roman" w:hAnsi="Calibri" w:cs="Calibri"/>
          <w:iCs/>
          <w:color w:val="000000"/>
          <w:lang w:eastAsia="en-AU"/>
        </w:rPr>
        <w:t xml:space="preserve">raft Deed provides, among other </w:t>
      </w:r>
      <w:r w:rsidR="003C013C" w:rsidRPr="002A105B">
        <w:rPr>
          <w:rFonts w:ascii="Calibri" w:eastAsia="Times New Roman" w:hAnsi="Calibri" w:cs="Calibri"/>
          <w:iCs/>
          <w:color w:val="000000"/>
          <w:lang w:eastAsia="en-AU"/>
        </w:rPr>
        <w:t>things</w:t>
      </w:r>
      <w:r w:rsidR="003C013C">
        <w:rPr>
          <w:rFonts w:ascii="Calibri" w:eastAsia="Times New Roman" w:hAnsi="Calibri" w:cs="Calibri"/>
          <w:iCs/>
          <w:color w:val="000000"/>
          <w:lang w:eastAsia="en-AU"/>
        </w:rPr>
        <w:t xml:space="preserve"> that</w:t>
      </w:r>
      <w:r w:rsidRPr="002A105B">
        <w:rPr>
          <w:rFonts w:ascii="Calibri" w:eastAsia="Times New Roman" w:hAnsi="Calibri" w:cs="Calibri"/>
          <w:iCs/>
          <w:color w:val="000000"/>
          <w:lang w:eastAsia="en-AU"/>
        </w:rPr>
        <w:t xml:space="preserve"> a CTA </w:t>
      </w:r>
      <w:r w:rsidR="003C013C">
        <w:rPr>
          <w:rFonts w:ascii="Calibri" w:eastAsia="Times New Roman" w:hAnsi="Calibri" w:cs="Calibri"/>
          <w:iCs/>
          <w:color w:val="000000"/>
          <w:lang w:eastAsia="en-AU"/>
        </w:rPr>
        <w:t>P</w:t>
      </w:r>
      <w:r w:rsidRPr="002A105B">
        <w:rPr>
          <w:rFonts w:ascii="Calibri" w:eastAsia="Times New Roman" w:hAnsi="Calibri" w:cs="Calibri"/>
          <w:iCs/>
          <w:color w:val="000000"/>
          <w:lang w:eastAsia="en-AU"/>
        </w:rPr>
        <w:t xml:space="preserve">rovider must not enter into a subcontract without the </w:t>
      </w:r>
      <w:r w:rsidR="00D307F5">
        <w:rPr>
          <w:rFonts w:ascii="Calibri" w:eastAsia="Times New Roman" w:hAnsi="Calibri" w:cs="Calibri"/>
          <w:iCs/>
          <w:color w:val="000000"/>
          <w:lang w:eastAsia="en-AU"/>
        </w:rPr>
        <w:t>d</w:t>
      </w:r>
      <w:r w:rsidRPr="002A105B">
        <w:rPr>
          <w:rFonts w:ascii="Calibri" w:eastAsia="Times New Roman" w:hAnsi="Calibri" w:cs="Calibri"/>
          <w:iCs/>
          <w:color w:val="000000"/>
          <w:lang w:eastAsia="en-AU"/>
        </w:rPr>
        <w:t>epartment’s prior written approval.</w:t>
      </w:r>
    </w:p>
    <w:p w14:paraId="4971BFAA" w14:textId="6C8DE273" w:rsidR="002A105B" w:rsidRDefault="002A105B" w:rsidP="002C63AC">
      <w:pPr>
        <w:spacing w:before="100" w:beforeAutospacing="1" w:after="100" w:afterAutospacing="1"/>
        <w:jc w:val="both"/>
        <w:rPr>
          <w:rFonts w:ascii="Calibri" w:eastAsia="Times New Roman" w:hAnsi="Calibri" w:cs="Calibri"/>
          <w:i/>
          <w:iCs/>
          <w:color w:val="000000"/>
          <w:lang w:eastAsia="en-AU"/>
        </w:rPr>
      </w:pPr>
      <w:r>
        <w:rPr>
          <w:rFonts w:ascii="Calibri" w:eastAsia="Times New Roman" w:hAnsi="Calibri" w:cs="Calibri"/>
          <w:i/>
          <w:iCs/>
          <w:color w:val="000000"/>
          <w:lang w:eastAsia="en-AU"/>
        </w:rPr>
        <w:t xml:space="preserve">References: </w:t>
      </w:r>
      <w:r w:rsidR="00A45149">
        <w:rPr>
          <w:rFonts w:ascii="Calibri" w:eastAsia="Times New Roman" w:hAnsi="Calibri" w:cs="Calibri"/>
          <w:i/>
          <w:iCs/>
          <w:color w:val="000000"/>
          <w:lang w:eastAsia="en-AU"/>
        </w:rPr>
        <w:t>RFT</w:t>
      </w:r>
      <w:r>
        <w:rPr>
          <w:rFonts w:ascii="Calibri" w:eastAsia="Times New Roman" w:hAnsi="Calibri" w:cs="Calibri"/>
          <w:i/>
          <w:iCs/>
          <w:color w:val="000000"/>
          <w:lang w:eastAsia="en-AU"/>
        </w:rPr>
        <w:t xml:space="preserve"> </w:t>
      </w:r>
      <w:r w:rsidRPr="000C371F">
        <w:rPr>
          <w:rFonts w:ascii="Calibri" w:eastAsia="Times New Roman" w:hAnsi="Calibri" w:cs="Calibri"/>
          <w:i/>
          <w:iCs/>
          <w:color w:val="000000"/>
          <w:lang w:eastAsia="en-AU"/>
        </w:rPr>
        <w:t>Section 4.4—Subcontracting Arrangements</w:t>
      </w:r>
      <w:r>
        <w:rPr>
          <w:rFonts w:ascii="Calibri" w:eastAsia="Times New Roman" w:hAnsi="Calibri" w:cs="Calibri"/>
          <w:i/>
          <w:iCs/>
          <w:color w:val="000000"/>
          <w:lang w:eastAsia="en-AU"/>
        </w:rPr>
        <w:t xml:space="preserve">, and Draft Deed Clause </w:t>
      </w:r>
      <w:r w:rsidR="00F4489D">
        <w:rPr>
          <w:rFonts w:ascii="Calibri" w:eastAsia="Times New Roman" w:hAnsi="Calibri" w:cs="Calibri"/>
          <w:i/>
          <w:iCs/>
          <w:color w:val="000000"/>
          <w:lang w:eastAsia="en-AU"/>
        </w:rPr>
        <w:t>30</w:t>
      </w:r>
    </w:p>
    <w:p w14:paraId="304D57ED" w14:textId="4E1545C4" w:rsidR="0057426D" w:rsidRPr="00E720AB" w:rsidRDefault="0057426D" w:rsidP="002C63AC">
      <w:pPr>
        <w:pStyle w:val="Heading2"/>
        <w:spacing w:before="100" w:beforeAutospacing="1" w:after="100" w:afterAutospacing="1"/>
        <w:ind w:left="567" w:hanging="567"/>
        <w:jc w:val="both"/>
      </w:pPr>
      <w:r w:rsidRPr="00E720AB">
        <w:t xml:space="preserve">When </w:t>
      </w:r>
      <w:proofErr w:type="gramStart"/>
      <w:r w:rsidRPr="00E720AB">
        <w:t xml:space="preserve">will </w:t>
      </w:r>
      <w:r w:rsidR="007F1AC2" w:rsidRPr="00E720AB">
        <w:t xml:space="preserve">successful </w:t>
      </w:r>
      <w:r w:rsidR="00066E1F" w:rsidRPr="00E720AB">
        <w:t>CTA</w:t>
      </w:r>
      <w:r w:rsidR="00BC1F78" w:rsidRPr="00E720AB">
        <w:t xml:space="preserve"> P</w:t>
      </w:r>
      <w:r w:rsidR="008B5888" w:rsidRPr="00E720AB">
        <w:t>roviders be notified</w:t>
      </w:r>
      <w:proofErr w:type="gramEnd"/>
      <w:r w:rsidR="008B5888" w:rsidRPr="00E720AB">
        <w:t>?</w:t>
      </w:r>
    </w:p>
    <w:p w14:paraId="2232DA4B" w14:textId="5CB22DAF" w:rsidR="0057426D" w:rsidRPr="00E720AB" w:rsidRDefault="00C24222" w:rsidP="002C63AC">
      <w:pPr>
        <w:spacing w:before="100" w:beforeAutospacing="1" w:after="100" w:afterAutospacing="1"/>
        <w:jc w:val="both"/>
        <w:rPr>
          <w:rFonts w:eastAsiaTheme="minorEastAsia"/>
        </w:rPr>
      </w:pPr>
      <w:r w:rsidRPr="00E720AB">
        <w:rPr>
          <w:rFonts w:eastAsiaTheme="minorEastAsia"/>
        </w:rPr>
        <w:t xml:space="preserve">It </w:t>
      </w:r>
      <w:proofErr w:type="gramStart"/>
      <w:r w:rsidRPr="00E720AB">
        <w:rPr>
          <w:rFonts w:eastAsiaTheme="minorEastAsia"/>
        </w:rPr>
        <w:t>is anticipated</w:t>
      </w:r>
      <w:proofErr w:type="gramEnd"/>
      <w:r w:rsidRPr="00E720AB">
        <w:rPr>
          <w:rFonts w:eastAsiaTheme="minorEastAsia"/>
        </w:rPr>
        <w:t xml:space="preserve"> that n</w:t>
      </w:r>
      <w:r w:rsidR="000A4A6B" w:rsidRPr="00E720AB">
        <w:rPr>
          <w:rFonts w:eastAsiaTheme="minorEastAsia"/>
        </w:rPr>
        <w:t xml:space="preserve">otification to </w:t>
      </w:r>
      <w:r w:rsidR="00066E1F" w:rsidRPr="00E720AB">
        <w:rPr>
          <w:rFonts w:eastAsiaTheme="minorEastAsia"/>
        </w:rPr>
        <w:t>Respondents</w:t>
      </w:r>
      <w:r w:rsidR="006B203A">
        <w:rPr>
          <w:rFonts w:eastAsiaTheme="minorEastAsia"/>
        </w:rPr>
        <w:t xml:space="preserve"> and a</w:t>
      </w:r>
      <w:r w:rsidR="0057426D" w:rsidRPr="00E720AB">
        <w:rPr>
          <w:rFonts w:eastAsiaTheme="minorEastAsia"/>
        </w:rPr>
        <w:t xml:space="preserve">nnouncement of outcomes will be made </w:t>
      </w:r>
      <w:r w:rsidR="00B6792B">
        <w:rPr>
          <w:rFonts w:eastAsiaTheme="minorEastAsia"/>
        </w:rPr>
        <w:t xml:space="preserve">in </w:t>
      </w:r>
      <w:r w:rsidR="006B203A">
        <w:t xml:space="preserve">late March to </w:t>
      </w:r>
      <w:r w:rsidR="00B6792B" w:rsidRPr="0016050C">
        <w:t>early April 2019</w:t>
      </w:r>
      <w:r w:rsidR="009C69A1" w:rsidRPr="00E720AB">
        <w:rPr>
          <w:rFonts w:eastAsiaTheme="minorEastAsia"/>
        </w:rPr>
        <w:t>.</w:t>
      </w:r>
    </w:p>
    <w:p w14:paraId="6E37CA40" w14:textId="782D13A3" w:rsidR="0057426D" w:rsidRPr="00E720AB" w:rsidRDefault="009569BE" w:rsidP="002C63AC">
      <w:pPr>
        <w:spacing w:before="100" w:beforeAutospacing="1" w:after="100" w:afterAutospacing="1"/>
        <w:jc w:val="both"/>
        <w:rPr>
          <w:lang w:eastAsia="en-AU"/>
        </w:rPr>
      </w:pPr>
      <w:r w:rsidRPr="00E720AB">
        <w:rPr>
          <w:rFonts w:eastAsiaTheme="minorEastAsia"/>
          <w:i/>
        </w:rPr>
        <w:t xml:space="preserve">Reference: </w:t>
      </w:r>
      <w:r w:rsidR="00A45149" w:rsidRPr="00E720AB">
        <w:rPr>
          <w:rFonts w:eastAsiaTheme="minorEastAsia"/>
          <w:i/>
        </w:rPr>
        <w:t>RFT</w:t>
      </w:r>
      <w:r w:rsidRPr="00E720AB">
        <w:rPr>
          <w:rFonts w:eastAsiaTheme="minorEastAsia"/>
          <w:i/>
        </w:rPr>
        <w:t xml:space="preserve"> </w:t>
      </w:r>
      <w:r w:rsidR="00C57C57" w:rsidRPr="00E720AB">
        <w:rPr>
          <w:rFonts w:eastAsiaTheme="minorEastAsia"/>
          <w:i/>
        </w:rPr>
        <w:t>Indicative Timeline (page ii)</w:t>
      </w:r>
    </w:p>
    <w:sectPr w:rsidR="0057426D" w:rsidRPr="00E720AB" w:rsidSect="00582EDF">
      <w:footerReference w:type="default" r:id="rId25"/>
      <w:type w:val="continuous"/>
      <w:pgSz w:w="11906" w:h="16838"/>
      <w:pgMar w:top="1276" w:right="991" w:bottom="1276" w:left="1418" w:header="708" w:footer="58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1B0D2E" w16cid:durableId="1F8FCF8E"/>
  <w16cid:commentId w16cid:paraId="5D9289F3" w16cid:durableId="1F8FD048"/>
  <w16cid:commentId w16cid:paraId="0A3ABD67" w16cid:durableId="1F8FD0F9"/>
  <w16cid:commentId w16cid:paraId="38D44A38" w16cid:durableId="1F8FF152"/>
  <w16cid:commentId w16cid:paraId="602AB246" w16cid:durableId="1F8FD322"/>
  <w16cid:commentId w16cid:paraId="03890E01" w16cid:durableId="1F8FD379"/>
  <w16cid:commentId w16cid:paraId="50FAD30F" w16cid:durableId="1F8FD3D1"/>
  <w16cid:commentId w16cid:paraId="0BBC716E" w16cid:durableId="1F8FF1E4"/>
  <w16cid:commentId w16cid:paraId="7BA307ED" w16cid:durableId="1F8FD926"/>
  <w16cid:commentId w16cid:paraId="3C1AADAD" w16cid:durableId="1F8FF20B"/>
  <w16cid:commentId w16cid:paraId="152A38F5" w16cid:durableId="1F8FDA76"/>
  <w16cid:commentId w16cid:paraId="4A74E506" w16cid:durableId="1F8FDA83"/>
  <w16cid:commentId w16cid:paraId="3C7B1181" w16cid:durableId="1F8FDAC5"/>
  <w16cid:commentId w16cid:paraId="7FAE2416" w16cid:durableId="1F8FDB8A"/>
  <w16cid:commentId w16cid:paraId="71CD2162" w16cid:durableId="1F8FDBAE"/>
  <w16cid:commentId w16cid:paraId="2CFD084B" w16cid:durableId="1F8FE7C9"/>
  <w16cid:commentId w16cid:paraId="39E1073F" w16cid:durableId="1F8FF3EB"/>
  <w16cid:commentId w16cid:paraId="6808B559" w16cid:durableId="1F8FF3E7"/>
  <w16cid:commentId w16cid:paraId="4F451AB2" w16cid:durableId="1F8FF40F"/>
  <w16cid:commentId w16cid:paraId="3E85D19C" w16cid:durableId="1F8FEE4A"/>
  <w16cid:commentId w16cid:paraId="182C1165" w16cid:durableId="1F8FEFB1"/>
  <w16cid:commentId w16cid:paraId="66F0F4AF" w16cid:durableId="1F8FEFF8"/>
  <w16cid:commentId w16cid:paraId="43F0E39E" w16cid:durableId="1F8FF03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EF661" w14:textId="77777777" w:rsidR="00595A13" w:rsidRDefault="00595A13" w:rsidP="00DA1463">
      <w:pPr>
        <w:spacing w:after="0" w:line="240" w:lineRule="auto"/>
      </w:pPr>
      <w:r>
        <w:separator/>
      </w:r>
    </w:p>
  </w:endnote>
  <w:endnote w:type="continuationSeparator" w:id="0">
    <w:p w14:paraId="4D56B0AB" w14:textId="77777777" w:rsidR="00595A13" w:rsidRDefault="00595A13" w:rsidP="00DA1463">
      <w:pPr>
        <w:spacing w:after="0" w:line="240" w:lineRule="auto"/>
      </w:pPr>
      <w:r>
        <w:continuationSeparator/>
      </w:r>
    </w:p>
  </w:endnote>
  <w:endnote w:type="continuationNotice" w:id="1">
    <w:p w14:paraId="3988F85D" w14:textId="77777777" w:rsidR="00595A13" w:rsidRDefault="00595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variable"/>
    <w:sig w:usb0="00000003" w:usb1="00000000" w:usb2="00000000" w:usb3="00000000" w:csb0="00000001" w:csb1="00000000"/>
  </w:font>
  <w:font w:name="StoneSans LT">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D03B5" w14:textId="0B923E55" w:rsidR="00881E25" w:rsidRDefault="00881E25">
    <w:pPr>
      <w:pStyle w:val="Footer"/>
    </w:pPr>
  </w:p>
  <w:p w14:paraId="046E03B2" w14:textId="0B907BB7" w:rsidR="00881E25" w:rsidRPr="00881E25" w:rsidRDefault="00881E25">
    <w:pPr>
      <w:pStyle w:val="Footer"/>
      <w:rPr>
        <w:rFonts w:ascii="Arial" w:hAnsi="Arial" w:cs="Arial"/>
        <w:sz w:val="14"/>
      </w:rPr>
    </w:pPr>
    <w:r w:rsidRPr="00881E25">
      <w:rPr>
        <w:rFonts w:ascii="Arial" w:hAnsi="Arial" w:cs="Arial"/>
        <w:sz w:val="14"/>
      </w:rPr>
      <w:t>[7330215: 22862029_2]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308759490"/>
      <w:docPartObj>
        <w:docPartGallery w:val="Page Numbers (Bottom of Page)"/>
        <w:docPartUnique/>
      </w:docPartObj>
    </w:sdtPr>
    <w:sdtEndPr>
      <w:rPr>
        <w:noProof/>
      </w:rPr>
    </w:sdtEndPr>
    <w:sdtContent>
      <w:p w14:paraId="467C3412" w14:textId="6C372E3E" w:rsidR="00595A13" w:rsidRDefault="00595A13" w:rsidP="00AC3BAA">
        <w:pPr>
          <w:pStyle w:val="Footer"/>
          <w:pBdr>
            <w:top w:val="single" w:sz="4" w:space="1" w:color="auto"/>
          </w:pBdr>
          <w:tabs>
            <w:tab w:val="clear" w:pos="9026"/>
            <w:tab w:val="right" w:pos="9497"/>
          </w:tabs>
          <w:rPr>
            <w:noProof/>
            <w:sz w:val="20"/>
          </w:rPr>
        </w:pPr>
        <w:r>
          <w:rPr>
            <w:sz w:val="20"/>
          </w:rPr>
          <w:t>Frequently Asked Questions—Request for Tender Career Transition Assistance (CTA) 2019–2021</w:t>
        </w:r>
        <w:r w:rsidRPr="00450936">
          <w:rPr>
            <w:sz w:val="20"/>
          </w:rPr>
          <w:tab/>
        </w:r>
        <w:r>
          <w:rPr>
            <w:sz w:val="20"/>
          </w:rPr>
          <w:fldChar w:fldCharType="begin"/>
        </w:r>
        <w:r>
          <w:rPr>
            <w:sz w:val="20"/>
          </w:rPr>
          <w:instrText xml:space="preserve"> PAGE  \* roman  \* MERGEFORMAT </w:instrText>
        </w:r>
        <w:r>
          <w:rPr>
            <w:sz w:val="20"/>
          </w:rPr>
          <w:fldChar w:fldCharType="separate"/>
        </w:r>
        <w:r w:rsidR="00405D48">
          <w:rPr>
            <w:noProof/>
            <w:sz w:val="20"/>
          </w:rPr>
          <w:t>iii</w:t>
        </w:r>
        <w:r>
          <w:rPr>
            <w:sz w:val="20"/>
          </w:rPr>
          <w:fldChar w:fldCharType="end"/>
        </w:r>
      </w:p>
    </w:sdtContent>
  </w:sdt>
  <w:p w14:paraId="15AC070C" w14:textId="2572863F" w:rsidR="00881E25" w:rsidRPr="00881E25" w:rsidRDefault="00881E25" w:rsidP="00AC3BAA">
    <w:pPr>
      <w:pStyle w:val="Footer"/>
      <w:pBdr>
        <w:top w:val="single" w:sz="4" w:space="1" w:color="auto"/>
      </w:pBdr>
      <w:tabs>
        <w:tab w:val="clear" w:pos="9026"/>
        <w:tab w:val="right" w:pos="9497"/>
      </w:tabs>
      <w:rPr>
        <w:rFonts w:ascii="Arial" w:hAnsi="Arial" w:cs="Arial"/>
        <w:sz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B40B0" w14:textId="722AFB58" w:rsidR="00881E25" w:rsidRDefault="00881E25">
    <w:pPr>
      <w:pStyle w:val="Footer"/>
    </w:pPr>
  </w:p>
  <w:p w14:paraId="75F9543B" w14:textId="79213F9C" w:rsidR="00881E25" w:rsidRPr="00881E25" w:rsidRDefault="00881E25">
    <w:pPr>
      <w:pStyle w:val="Footer"/>
      <w:rPr>
        <w:rFonts w:ascii="Arial" w:hAnsi="Arial" w:cs="Arial"/>
        <w:sz w:val="14"/>
      </w:rPr>
    </w:pPr>
    <w:r w:rsidRPr="00881E25">
      <w:rPr>
        <w:rFonts w:ascii="Arial" w:hAnsi="Arial" w:cs="Arial"/>
        <w:sz w:val="14"/>
      </w:rPr>
      <w:t>[7330215: 22862029_2]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00875405"/>
      <w:docPartObj>
        <w:docPartGallery w:val="Page Numbers (Bottom of Page)"/>
        <w:docPartUnique/>
      </w:docPartObj>
    </w:sdtPr>
    <w:sdtEndPr>
      <w:rPr>
        <w:noProof/>
      </w:rPr>
    </w:sdtEndPr>
    <w:sdtContent>
      <w:p w14:paraId="305FE80E" w14:textId="411B9B60" w:rsidR="00595A13" w:rsidRDefault="00595A13" w:rsidP="009C780E">
        <w:pPr>
          <w:pStyle w:val="Footer"/>
          <w:pBdr>
            <w:top w:val="single" w:sz="4" w:space="1" w:color="auto"/>
          </w:pBdr>
          <w:tabs>
            <w:tab w:val="clear" w:pos="9026"/>
            <w:tab w:val="right" w:pos="9497"/>
          </w:tabs>
          <w:rPr>
            <w:noProof/>
            <w:sz w:val="20"/>
          </w:rPr>
        </w:pPr>
        <w:r>
          <w:rPr>
            <w:sz w:val="20"/>
          </w:rPr>
          <w:t>Frequently Asked Questions—Request for Tender Career Transition Assistance (CTA) 2019–2021</w:t>
        </w:r>
        <w:r w:rsidRPr="00450936">
          <w:rPr>
            <w:sz w:val="20"/>
          </w:rPr>
          <w:tab/>
        </w:r>
        <w:r>
          <w:rPr>
            <w:sz w:val="20"/>
          </w:rPr>
          <w:fldChar w:fldCharType="begin"/>
        </w:r>
        <w:r>
          <w:rPr>
            <w:sz w:val="20"/>
          </w:rPr>
          <w:instrText xml:space="preserve"> PAGE  \* Arabic  \* MERGEFORMAT </w:instrText>
        </w:r>
        <w:r>
          <w:rPr>
            <w:sz w:val="20"/>
          </w:rPr>
          <w:fldChar w:fldCharType="separate"/>
        </w:r>
        <w:r w:rsidR="00405D48">
          <w:rPr>
            <w:noProof/>
            <w:sz w:val="20"/>
          </w:rPr>
          <w:t>16</w:t>
        </w:r>
        <w:r>
          <w:rPr>
            <w:sz w:val="20"/>
          </w:rPr>
          <w:fldChar w:fldCharType="end"/>
        </w:r>
      </w:p>
    </w:sdtContent>
  </w:sdt>
  <w:p w14:paraId="70DAE778" w14:textId="1D9693E0" w:rsidR="00881E25" w:rsidRPr="00881E25" w:rsidRDefault="00881E25" w:rsidP="009C780E">
    <w:pPr>
      <w:pStyle w:val="Footer"/>
      <w:pBdr>
        <w:top w:val="single" w:sz="4" w:space="1" w:color="auto"/>
      </w:pBdr>
      <w:tabs>
        <w:tab w:val="clear" w:pos="9026"/>
        <w:tab w:val="right" w:pos="9497"/>
      </w:tabs>
      <w:rPr>
        <w:rFonts w:ascii="Arial" w:hAnsi="Arial" w:cs="Arial"/>
        <w:sz w:val="14"/>
      </w:rPr>
    </w:pPr>
    <w:r w:rsidRPr="00881E25">
      <w:rPr>
        <w:rFonts w:ascii="Arial" w:hAnsi="Arial" w:cs="Arial"/>
        <w:sz w:val="14"/>
      </w:rPr>
      <w:t>[7330215: 22862029_2]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BBCB4" w14:textId="77777777" w:rsidR="00595A13" w:rsidRDefault="00595A13" w:rsidP="00DA1463">
      <w:pPr>
        <w:spacing w:after="0" w:line="240" w:lineRule="auto"/>
      </w:pPr>
      <w:r>
        <w:separator/>
      </w:r>
    </w:p>
  </w:footnote>
  <w:footnote w:type="continuationSeparator" w:id="0">
    <w:p w14:paraId="343A8151" w14:textId="77777777" w:rsidR="00595A13" w:rsidRDefault="00595A13" w:rsidP="00DA1463">
      <w:pPr>
        <w:spacing w:after="0" w:line="240" w:lineRule="auto"/>
      </w:pPr>
      <w:r>
        <w:continuationSeparator/>
      </w:r>
    </w:p>
  </w:footnote>
  <w:footnote w:type="continuationNotice" w:id="1">
    <w:p w14:paraId="18A64E3E" w14:textId="77777777" w:rsidR="00595A13" w:rsidRDefault="00595A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2DF5A" w14:textId="77777777" w:rsidR="00CF22A1" w:rsidRDefault="00CF2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13CC9" w14:textId="4EF42572" w:rsidR="00595A13" w:rsidRPr="00DD7DD5" w:rsidRDefault="00595A13" w:rsidP="006953B4">
    <w:pPr>
      <w:pStyle w:val="Header"/>
      <w:tabs>
        <w:tab w:val="clear" w:pos="4513"/>
        <w:tab w:val="clear" w:pos="9026"/>
        <w:tab w:val="left" w:pos="5176"/>
      </w:tabs>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E9178" w14:textId="77777777" w:rsidR="00CF22A1" w:rsidRDefault="00CF2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multilevel"/>
    <w:tmpl w:val="FB4AE8FA"/>
    <w:lvl w:ilvl="0">
      <w:start w:val="1"/>
      <w:numFmt w:val="decimal"/>
      <w:pStyle w:val="Heading1"/>
      <w:lvlText w:val="%1."/>
      <w:lvlJc w:val="left"/>
      <w:pPr>
        <w:tabs>
          <w:tab w:val="num" w:pos="360"/>
        </w:tabs>
        <w:ind w:left="360" w:hanging="360"/>
      </w:pPr>
      <w:rPr>
        <w:rFonts w:asciiTheme="minorHAnsi" w:eastAsiaTheme="majorEastAsia" w:hAnsiTheme="minorHAnsi" w:cstheme="majorBidi"/>
      </w:rPr>
    </w:lvl>
    <w:lvl w:ilvl="1">
      <w:start w:val="1"/>
      <w:numFmt w:val="decimal"/>
      <w:pStyle w:val="Heading2"/>
      <w:isLgl/>
      <w:lvlText w:val="%1.%2"/>
      <w:lvlJc w:val="left"/>
      <w:pPr>
        <w:ind w:left="360" w:hanging="360"/>
      </w:pPr>
      <w:rPr>
        <w:rFonts w:hint="default"/>
        <w:b/>
        <w:i w:val="0"/>
        <w:color w:val="00797D"/>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FFFFFF89"/>
    <w:multiLevelType w:val="singleLevel"/>
    <w:tmpl w:val="7E2000B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F938F4"/>
    <w:multiLevelType w:val="hybridMultilevel"/>
    <w:tmpl w:val="7096C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4" w15:restartNumberingAfterBreak="0">
    <w:nsid w:val="18301AFA"/>
    <w:multiLevelType w:val="hybridMultilevel"/>
    <w:tmpl w:val="17D216D4"/>
    <w:lvl w:ilvl="0" w:tplc="1FF6A542">
      <w:start w:val="1"/>
      <w:numFmt w:val="bullet"/>
      <w:pStyle w:val="Bullets"/>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B70A24"/>
    <w:multiLevelType w:val="hybridMultilevel"/>
    <w:tmpl w:val="5E484A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8307510"/>
    <w:multiLevelType w:val="hybridMultilevel"/>
    <w:tmpl w:val="D5BAFC60"/>
    <w:lvl w:ilvl="0" w:tplc="EA3471DA">
      <w:start w:val="1"/>
      <w:numFmt w:val="bullet"/>
      <w:pStyle w:val="chapterpageH2headings"/>
      <w:lvlText w:val=""/>
      <w:lvlJc w:val="left"/>
      <w:pPr>
        <w:ind w:left="360" w:hanging="360"/>
      </w:pPr>
      <w:rPr>
        <w:rFonts w:ascii="Symbol" w:hAnsi="Symbol" w:hint="default"/>
        <w:b w:val="0"/>
        <w:i w:val="0"/>
        <w:color w:val="auto"/>
        <w:sz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6D734E"/>
    <w:multiLevelType w:val="hybridMultilevel"/>
    <w:tmpl w:val="C304EAD6"/>
    <w:lvl w:ilvl="0" w:tplc="C7B29D96">
      <w:start w:val="1"/>
      <w:numFmt w:val="bullet"/>
      <w:pStyle w:val="dotpoints"/>
      <w:lvlText w:val=""/>
      <w:lvlJc w:val="left"/>
      <w:pPr>
        <w:ind w:left="360" w:hanging="360"/>
      </w:pPr>
      <w:rPr>
        <w:rFonts w:ascii="Symbol" w:hAnsi="Symbol" w:hint="default"/>
      </w:rPr>
    </w:lvl>
    <w:lvl w:ilvl="1" w:tplc="DFF6A0BC">
      <w:numFmt w:val="bullet"/>
      <w:lvlText w:val="•"/>
      <w:lvlJc w:val="left"/>
      <w:pPr>
        <w:ind w:left="1440" w:hanging="72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F512B78"/>
    <w:multiLevelType w:val="multilevel"/>
    <w:tmpl w:val="185CFE1C"/>
    <w:lvl w:ilvl="0">
      <w:start w:val="1"/>
      <w:numFmt w:val="decimal"/>
      <w:pStyle w:val="ClauseHeadings1xxxx"/>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webHidden w:val="0"/>
        <w:color w:val="000000"/>
        <w:spacing w:val="0"/>
        <w:kern w:val="0"/>
        <w:position w:val="0"/>
        <w:sz w:val="22"/>
        <w:szCs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clausetext11xxxxx"/>
      <w:lvlText w:val="%1.%2"/>
      <w:lvlJc w:val="left"/>
      <w:pPr>
        <w:tabs>
          <w:tab w:val="num" w:pos="737"/>
        </w:tabs>
        <w:ind w:left="737" w:hanging="737"/>
      </w:pPr>
      <w:rPr>
        <w:rFonts w:asciiTheme="minorHAnsi" w:hAnsiTheme="minorHAnsi" w:cstheme="minorHAnsi" w:hint="default"/>
        <w:b w:val="0"/>
        <w:i w:val="0"/>
      </w:rPr>
    </w:lvl>
    <w:lvl w:ilvl="2">
      <w:start w:val="1"/>
      <w:numFmt w:val="lowerLetter"/>
      <w:pStyle w:val="clausetexta"/>
      <w:lvlText w:val="(%3)"/>
      <w:lvlJc w:val="left"/>
      <w:pPr>
        <w:tabs>
          <w:tab w:val="num" w:pos="880"/>
        </w:tabs>
        <w:ind w:left="1362" w:hanging="510"/>
      </w:pPr>
      <w:rPr>
        <w:rFonts w:ascii="Calibri" w:eastAsia="Times New Roman" w:hAnsi="Calibri" w:cs="Times New Roman"/>
        <w:b w:val="0"/>
        <w:bCs w:val="0"/>
        <w:i w:val="0"/>
        <w:iCs w:val="0"/>
        <w:caps w:val="0"/>
        <w:smallCaps w:val="0"/>
        <w:strike w:val="0"/>
        <w:dstrike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clausetexti"/>
      <w:lvlText w:val="(%4)"/>
      <w:lvlJc w:val="left"/>
      <w:pPr>
        <w:tabs>
          <w:tab w:val="num" w:pos="1304"/>
        </w:tabs>
        <w:ind w:left="1758" w:hanging="454"/>
      </w:pPr>
      <w:rPr>
        <w:rFonts w:ascii="Calibri" w:eastAsia="Times New Roman" w:hAnsi="Calibri" w:cs="Times New Roman" w:hint="default"/>
        <w:b w:val="0"/>
      </w:rPr>
    </w:lvl>
    <w:lvl w:ilvl="4">
      <w:start w:val="1"/>
      <w:numFmt w:val="upperLetter"/>
      <w:pStyle w:val="clausetextA0"/>
      <w:lvlText w:val="(%5)"/>
      <w:lvlJc w:val="left"/>
      <w:pPr>
        <w:tabs>
          <w:tab w:val="num" w:pos="737"/>
        </w:tabs>
        <w:ind w:left="737" w:hanging="737"/>
      </w:pPr>
      <w:rPr>
        <w:rFonts w:ascii="Calibri" w:eastAsia="Times New Roman" w:hAnsi="Calibri" w:cs="Times New Roman" w:hint="default"/>
      </w:rPr>
    </w:lvl>
    <w:lvl w:ilvl="5">
      <w:start w:val="1"/>
      <w:numFmt w:val="decimal"/>
      <w:lvlText w:val="%1.%2.%3.%4.%5.%6."/>
      <w:lvlJc w:val="left"/>
      <w:pPr>
        <w:tabs>
          <w:tab w:val="num" w:pos="737"/>
        </w:tabs>
        <w:ind w:left="737" w:hanging="737"/>
      </w:pPr>
    </w:lvl>
    <w:lvl w:ilvl="6">
      <w:start w:val="1"/>
      <w:numFmt w:val="decimal"/>
      <w:lvlText w:val="%1.%2.%3.%4.%5.%6.%7."/>
      <w:lvlJc w:val="left"/>
      <w:pPr>
        <w:tabs>
          <w:tab w:val="num" w:pos="737"/>
        </w:tabs>
        <w:ind w:left="737" w:hanging="737"/>
      </w:pPr>
    </w:lvl>
    <w:lvl w:ilvl="7">
      <w:start w:val="1"/>
      <w:numFmt w:val="decimal"/>
      <w:lvlText w:val="%1.%2.%3.%4.%5.%6.%7.%8."/>
      <w:lvlJc w:val="left"/>
      <w:pPr>
        <w:tabs>
          <w:tab w:val="num" w:pos="737"/>
        </w:tabs>
        <w:ind w:left="737" w:hanging="737"/>
      </w:pPr>
    </w:lvl>
    <w:lvl w:ilvl="8">
      <w:start w:val="1"/>
      <w:numFmt w:val="decimal"/>
      <w:lvlText w:val="%1.%2.%3.%4.%5.%6.%7.%8.%9."/>
      <w:lvlJc w:val="left"/>
      <w:pPr>
        <w:tabs>
          <w:tab w:val="num" w:pos="737"/>
        </w:tabs>
        <w:ind w:left="737" w:hanging="737"/>
      </w:pPr>
    </w:lvl>
  </w:abstractNum>
  <w:abstractNum w:abstractNumId="9" w15:restartNumberingAfterBreak="0">
    <w:nsid w:val="53007971"/>
    <w:multiLevelType w:val="multilevel"/>
    <w:tmpl w:val="819CE05E"/>
    <w:lvl w:ilvl="0">
      <w:start w:val="1"/>
      <w:numFmt w:val="decimal"/>
      <w:lvlText w:val="%1"/>
      <w:lvlJc w:val="left"/>
      <w:pPr>
        <w:ind w:left="1709"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107"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52161DC"/>
    <w:multiLevelType w:val="hybridMultilevel"/>
    <w:tmpl w:val="9DB82402"/>
    <w:lvl w:ilvl="0" w:tplc="7BCA550E">
      <w:start w:val="1"/>
      <w:numFmt w:val="bullet"/>
      <w:pStyle w:val="bulletbullets"/>
      <w:lvlText w:val=""/>
      <w:lvlJc w:val="left"/>
      <w:pPr>
        <w:tabs>
          <w:tab w:val="num" w:pos="284"/>
        </w:tabs>
        <w:ind w:left="284" w:hanging="284"/>
      </w:pPr>
      <w:rPr>
        <w:rFonts w:ascii="Symbol" w:hAnsi="Symbol" w:hint="default"/>
        <w:color w:val="auto"/>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801389"/>
    <w:multiLevelType w:val="hybridMultilevel"/>
    <w:tmpl w:val="CDA49FC2"/>
    <w:lvl w:ilvl="0" w:tplc="506EECB2">
      <w:start w:val="1"/>
      <w:numFmt w:val="upperLetter"/>
      <w:pStyle w:val="Heading8"/>
      <w:lvlText w:val="APPENDIX %1 "/>
      <w:lvlJc w:val="left"/>
      <w:pPr>
        <w:ind w:left="163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CF02D3"/>
    <w:multiLevelType w:val="multilevel"/>
    <w:tmpl w:val="250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F31B1"/>
    <w:multiLevelType w:val="hybridMultilevel"/>
    <w:tmpl w:val="69961AAA"/>
    <w:lvl w:ilvl="0" w:tplc="3DCAC0CA">
      <w:start w:val="1"/>
      <w:numFmt w:val="bullet"/>
      <w:pStyle w:val="bullet2nd"/>
      <w:lvlText w:val="–"/>
      <w:lvlJc w:val="left"/>
      <w:pPr>
        <w:tabs>
          <w:tab w:val="num" w:pos="1057"/>
        </w:tabs>
        <w:ind w:left="1057" w:hanging="360"/>
      </w:pPr>
      <w:rPr>
        <w:rFonts w:ascii="Trebuchet MS" w:hAnsi="Trebuchet MS" w:hint="default"/>
      </w:rPr>
    </w:lvl>
    <w:lvl w:ilvl="1" w:tplc="880CAC64" w:tentative="1">
      <w:start w:val="1"/>
      <w:numFmt w:val="bullet"/>
      <w:lvlText w:val="o"/>
      <w:lvlJc w:val="left"/>
      <w:pPr>
        <w:tabs>
          <w:tab w:val="num" w:pos="1780"/>
        </w:tabs>
        <w:ind w:left="1780" w:hanging="360"/>
      </w:pPr>
      <w:rPr>
        <w:rFonts w:ascii="Courier New" w:hAnsi="Courier New" w:hint="default"/>
      </w:rPr>
    </w:lvl>
    <w:lvl w:ilvl="2" w:tplc="0E5E9E1A" w:tentative="1">
      <w:start w:val="1"/>
      <w:numFmt w:val="bullet"/>
      <w:lvlText w:val=""/>
      <w:lvlJc w:val="left"/>
      <w:pPr>
        <w:tabs>
          <w:tab w:val="num" w:pos="2500"/>
        </w:tabs>
        <w:ind w:left="2500" w:hanging="360"/>
      </w:pPr>
      <w:rPr>
        <w:rFonts w:ascii="Wingdings" w:hAnsi="Wingdings" w:hint="default"/>
      </w:rPr>
    </w:lvl>
    <w:lvl w:ilvl="3" w:tplc="B4DCFA3A" w:tentative="1">
      <w:start w:val="1"/>
      <w:numFmt w:val="bullet"/>
      <w:lvlText w:val=""/>
      <w:lvlJc w:val="left"/>
      <w:pPr>
        <w:tabs>
          <w:tab w:val="num" w:pos="3220"/>
        </w:tabs>
        <w:ind w:left="3220" w:hanging="360"/>
      </w:pPr>
      <w:rPr>
        <w:rFonts w:ascii="Symbol" w:hAnsi="Symbol" w:hint="default"/>
      </w:rPr>
    </w:lvl>
    <w:lvl w:ilvl="4" w:tplc="1D663104" w:tentative="1">
      <w:start w:val="1"/>
      <w:numFmt w:val="bullet"/>
      <w:lvlText w:val="o"/>
      <w:lvlJc w:val="left"/>
      <w:pPr>
        <w:tabs>
          <w:tab w:val="num" w:pos="3940"/>
        </w:tabs>
        <w:ind w:left="3940" w:hanging="360"/>
      </w:pPr>
      <w:rPr>
        <w:rFonts w:ascii="Courier New" w:hAnsi="Courier New" w:hint="default"/>
      </w:rPr>
    </w:lvl>
    <w:lvl w:ilvl="5" w:tplc="EB34F0D4" w:tentative="1">
      <w:start w:val="1"/>
      <w:numFmt w:val="bullet"/>
      <w:lvlText w:val=""/>
      <w:lvlJc w:val="left"/>
      <w:pPr>
        <w:tabs>
          <w:tab w:val="num" w:pos="4660"/>
        </w:tabs>
        <w:ind w:left="4660" w:hanging="360"/>
      </w:pPr>
      <w:rPr>
        <w:rFonts w:ascii="Wingdings" w:hAnsi="Wingdings" w:hint="default"/>
      </w:rPr>
    </w:lvl>
    <w:lvl w:ilvl="6" w:tplc="955A0D0A" w:tentative="1">
      <w:start w:val="1"/>
      <w:numFmt w:val="bullet"/>
      <w:lvlText w:val=""/>
      <w:lvlJc w:val="left"/>
      <w:pPr>
        <w:tabs>
          <w:tab w:val="num" w:pos="5380"/>
        </w:tabs>
        <w:ind w:left="5380" w:hanging="360"/>
      </w:pPr>
      <w:rPr>
        <w:rFonts w:ascii="Symbol" w:hAnsi="Symbol" w:hint="default"/>
      </w:rPr>
    </w:lvl>
    <w:lvl w:ilvl="7" w:tplc="9468E7EC" w:tentative="1">
      <w:start w:val="1"/>
      <w:numFmt w:val="bullet"/>
      <w:lvlText w:val="o"/>
      <w:lvlJc w:val="left"/>
      <w:pPr>
        <w:tabs>
          <w:tab w:val="num" w:pos="6100"/>
        </w:tabs>
        <w:ind w:left="6100" w:hanging="360"/>
      </w:pPr>
      <w:rPr>
        <w:rFonts w:ascii="Courier New" w:hAnsi="Courier New" w:hint="default"/>
      </w:rPr>
    </w:lvl>
    <w:lvl w:ilvl="8" w:tplc="DF54521A" w:tentative="1">
      <w:start w:val="1"/>
      <w:numFmt w:val="bullet"/>
      <w:lvlText w:val=""/>
      <w:lvlJc w:val="left"/>
      <w:pPr>
        <w:tabs>
          <w:tab w:val="num" w:pos="6820"/>
        </w:tabs>
        <w:ind w:left="6820" w:hanging="360"/>
      </w:pPr>
      <w:rPr>
        <w:rFonts w:ascii="Wingdings" w:hAnsi="Wingdings" w:hint="default"/>
      </w:rPr>
    </w:lvl>
  </w:abstractNum>
  <w:abstractNum w:abstractNumId="14" w15:restartNumberingAfterBreak="0">
    <w:nsid w:val="7E1E086A"/>
    <w:multiLevelType w:val="multilevel"/>
    <w:tmpl w:val="121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41481"/>
    <w:multiLevelType w:val="hybridMultilevel"/>
    <w:tmpl w:val="B06811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7"/>
  </w:num>
  <w:num w:numId="5">
    <w:abstractNumId w:val="6"/>
  </w:num>
  <w:num w:numId="6">
    <w:abstractNumId w:val="13"/>
  </w:num>
  <w:num w:numId="7">
    <w:abstractNumId w:val="1"/>
  </w:num>
  <w:num w:numId="8">
    <w:abstractNumId w:val="1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5"/>
  </w:num>
  <w:num w:numId="12">
    <w:abstractNumId w:val="3"/>
  </w:num>
  <w:num w:numId="13">
    <w:abstractNumId w:val="12"/>
  </w:num>
  <w:num w:numId="14">
    <w:abstractNumId w:val="14"/>
  </w:num>
  <w:num w:numId="15">
    <w:abstractNumId w:val="15"/>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Formatting/>
  <w:defaultTabStop w:val="567"/>
  <w:characterSpacingControl w:val="doNotCompress"/>
  <w:hdrShapeDefaults>
    <o:shapedefaults v:ext="edit" spidmax="2007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DA1463"/>
    <w:rsid w:val="0000151C"/>
    <w:rsid w:val="00001539"/>
    <w:rsid w:val="00001BBC"/>
    <w:rsid w:val="00001FEC"/>
    <w:rsid w:val="000022FF"/>
    <w:rsid w:val="000027CB"/>
    <w:rsid w:val="00005570"/>
    <w:rsid w:val="00012123"/>
    <w:rsid w:val="00012382"/>
    <w:rsid w:val="0001589C"/>
    <w:rsid w:val="00017193"/>
    <w:rsid w:val="0001776F"/>
    <w:rsid w:val="00017BE3"/>
    <w:rsid w:val="000208BA"/>
    <w:rsid w:val="00024C71"/>
    <w:rsid w:val="00025CD0"/>
    <w:rsid w:val="00025DB5"/>
    <w:rsid w:val="00031061"/>
    <w:rsid w:val="000344AF"/>
    <w:rsid w:val="00040146"/>
    <w:rsid w:val="00040E1C"/>
    <w:rsid w:val="0004216D"/>
    <w:rsid w:val="00042ED6"/>
    <w:rsid w:val="0004311D"/>
    <w:rsid w:val="00044F71"/>
    <w:rsid w:val="000455FC"/>
    <w:rsid w:val="00046A83"/>
    <w:rsid w:val="0005016B"/>
    <w:rsid w:val="00050468"/>
    <w:rsid w:val="00052466"/>
    <w:rsid w:val="00052B66"/>
    <w:rsid w:val="000536AE"/>
    <w:rsid w:val="0005433E"/>
    <w:rsid w:val="000547BC"/>
    <w:rsid w:val="00055A14"/>
    <w:rsid w:val="00056B99"/>
    <w:rsid w:val="00056BC3"/>
    <w:rsid w:val="000621EB"/>
    <w:rsid w:val="000637AD"/>
    <w:rsid w:val="00064373"/>
    <w:rsid w:val="0006497B"/>
    <w:rsid w:val="00064BD0"/>
    <w:rsid w:val="0006625D"/>
    <w:rsid w:val="00066E1F"/>
    <w:rsid w:val="000715B3"/>
    <w:rsid w:val="000733CE"/>
    <w:rsid w:val="000759A3"/>
    <w:rsid w:val="00080162"/>
    <w:rsid w:val="0008377A"/>
    <w:rsid w:val="000848C9"/>
    <w:rsid w:val="0008627F"/>
    <w:rsid w:val="000866F4"/>
    <w:rsid w:val="00086DFC"/>
    <w:rsid w:val="00087111"/>
    <w:rsid w:val="00090009"/>
    <w:rsid w:val="0009036B"/>
    <w:rsid w:val="00090E86"/>
    <w:rsid w:val="00091078"/>
    <w:rsid w:val="00093050"/>
    <w:rsid w:val="0009361C"/>
    <w:rsid w:val="0009480D"/>
    <w:rsid w:val="0009497D"/>
    <w:rsid w:val="000954A5"/>
    <w:rsid w:val="00096D73"/>
    <w:rsid w:val="000A4604"/>
    <w:rsid w:val="000A4A6B"/>
    <w:rsid w:val="000A4B4C"/>
    <w:rsid w:val="000A5CD6"/>
    <w:rsid w:val="000A6D6E"/>
    <w:rsid w:val="000A6DCF"/>
    <w:rsid w:val="000B252B"/>
    <w:rsid w:val="000B41BD"/>
    <w:rsid w:val="000B4F0F"/>
    <w:rsid w:val="000B5615"/>
    <w:rsid w:val="000B64B0"/>
    <w:rsid w:val="000B6568"/>
    <w:rsid w:val="000B758F"/>
    <w:rsid w:val="000C07CD"/>
    <w:rsid w:val="000C19B4"/>
    <w:rsid w:val="000C2F80"/>
    <w:rsid w:val="000C35D1"/>
    <w:rsid w:val="000C371F"/>
    <w:rsid w:val="000C5B02"/>
    <w:rsid w:val="000C5C50"/>
    <w:rsid w:val="000C617E"/>
    <w:rsid w:val="000C7D67"/>
    <w:rsid w:val="000D17B1"/>
    <w:rsid w:val="000D3561"/>
    <w:rsid w:val="000D41C5"/>
    <w:rsid w:val="000D449F"/>
    <w:rsid w:val="000D584A"/>
    <w:rsid w:val="000D74BF"/>
    <w:rsid w:val="000E04B3"/>
    <w:rsid w:val="000E21AE"/>
    <w:rsid w:val="000E500D"/>
    <w:rsid w:val="000E5F4C"/>
    <w:rsid w:val="000E6B2D"/>
    <w:rsid w:val="000F1B9F"/>
    <w:rsid w:val="000F1C01"/>
    <w:rsid w:val="000F501E"/>
    <w:rsid w:val="000F7F9B"/>
    <w:rsid w:val="00101AFD"/>
    <w:rsid w:val="00102D04"/>
    <w:rsid w:val="00103446"/>
    <w:rsid w:val="00103B31"/>
    <w:rsid w:val="00104CD5"/>
    <w:rsid w:val="001052B9"/>
    <w:rsid w:val="00105ADF"/>
    <w:rsid w:val="001065D5"/>
    <w:rsid w:val="001126C3"/>
    <w:rsid w:val="001131DA"/>
    <w:rsid w:val="00114A05"/>
    <w:rsid w:val="00115A85"/>
    <w:rsid w:val="001165C4"/>
    <w:rsid w:val="00116616"/>
    <w:rsid w:val="0012140E"/>
    <w:rsid w:val="00121636"/>
    <w:rsid w:val="0012180B"/>
    <w:rsid w:val="001252EE"/>
    <w:rsid w:val="00125CE3"/>
    <w:rsid w:val="00126A50"/>
    <w:rsid w:val="001270EC"/>
    <w:rsid w:val="00127B31"/>
    <w:rsid w:val="00130875"/>
    <w:rsid w:val="0013365B"/>
    <w:rsid w:val="00134AD9"/>
    <w:rsid w:val="0013744E"/>
    <w:rsid w:val="00140304"/>
    <w:rsid w:val="0014049B"/>
    <w:rsid w:val="00141CFF"/>
    <w:rsid w:val="0014239A"/>
    <w:rsid w:val="00144E5C"/>
    <w:rsid w:val="00144E80"/>
    <w:rsid w:val="00147A2E"/>
    <w:rsid w:val="001504EA"/>
    <w:rsid w:val="001506F2"/>
    <w:rsid w:val="00151E67"/>
    <w:rsid w:val="00154500"/>
    <w:rsid w:val="001548F4"/>
    <w:rsid w:val="00154F0C"/>
    <w:rsid w:val="00155258"/>
    <w:rsid w:val="001554DD"/>
    <w:rsid w:val="00155F40"/>
    <w:rsid w:val="00156065"/>
    <w:rsid w:val="00156292"/>
    <w:rsid w:val="00156FBC"/>
    <w:rsid w:val="001602E9"/>
    <w:rsid w:val="00160741"/>
    <w:rsid w:val="001614D1"/>
    <w:rsid w:val="00162426"/>
    <w:rsid w:val="00163655"/>
    <w:rsid w:val="00165BBB"/>
    <w:rsid w:val="00167C71"/>
    <w:rsid w:val="00172E7B"/>
    <w:rsid w:val="00173D02"/>
    <w:rsid w:val="00174191"/>
    <w:rsid w:val="0017427E"/>
    <w:rsid w:val="001748A3"/>
    <w:rsid w:val="00174D17"/>
    <w:rsid w:val="00175D3F"/>
    <w:rsid w:val="00176FFA"/>
    <w:rsid w:val="00180386"/>
    <w:rsid w:val="00180D81"/>
    <w:rsid w:val="00181833"/>
    <w:rsid w:val="00182852"/>
    <w:rsid w:val="00186CAC"/>
    <w:rsid w:val="001872D8"/>
    <w:rsid w:val="001903F4"/>
    <w:rsid w:val="00192205"/>
    <w:rsid w:val="001956D2"/>
    <w:rsid w:val="00196828"/>
    <w:rsid w:val="0019792B"/>
    <w:rsid w:val="00197FD6"/>
    <w:rsid w:val="001A0E36"/>
    <w:rsid w:val="001A59D9"/>
    <w:rsid w:val="001A64CE"/>
    <w:rsid w:val="001A6C9E"/>
    <w:rsid w:val="001A6E66"/>
    <w:rsid w:val="001B0047"/>
    <w:rsid w:val="001B186C"/>
    <w:rsid w:val="001B264B"/>
    <w:rsid w:val="001B2F16"/>
    <w:rsid w:val="001B646B"/>
    <w:rsid w:val="001B7216"/>
    <w:rsid w:val="001B726E"/>
    <w:rsid w:val="001B7C9B"/>
    <w:rsid w:val="001C0F8F"/>
    <w:rsid w:val="001C3753"/>
    <w:rsid w:val="001C69DC"/>
    <w:rsid w:val="001C77A2"/>
    <w:rsid w:val="001D310E"/>
    <w:rsid w:val="001D35FB"/>
    <w:rsid w:val="001D3DFC"/>
    <w:rsid w:val="001D4B17"/>
    <w:rsid w:val="001D5596"/>
    <w:rsid w:val="001D70F8"/>
    <w:rsid w:val="001E1388"/>
    <w:rsid w:val="001E5EAD"/>
    <w:rsid w:val="001E763B"/>
    <w:rsid w:val="001F0528"/>
    <w:rsid w:val="001F0715"/>
    <w:rsid w:val="001F19F9"/>
    <w:rsid w:val="001F3E83"/>
    <w:rsid w:val="001F4C1D"/>
    <w:rsid w:val="001F62E8"/>
    <w:rsid w:val="00200405"/>
    <w:rsid w:val="002012C5"/>
    <w:rsid w:val="002022B9"/>
    <w:rsid w:val="00206C9A"/>
    <w:rsid w:val="002103B8"/>
    <w:rsid w:val="00210726"/>
    <w:rsid w:val="002131BF"/>
    <w:rsid w:val="002133FE"/>
    <w:rsid w:val="0021516D"/>
    <w:rsid w:val="0021598E"/>
    <w:rsid w:val="0021681E"/>
    <w:rsid w:val="00216B41"/>
    <w:rsid w:val="00216B51"/>
    <w:rsid w:val="00217529"/>
    <w:rsid w:val="00217EB0"/>
    <w:rsid w:val="00221166"/>
    <w:rsid w:val="00221F7D"/>
    <w:rsid w:val="00222755"/>
    <w:rsid w:val="00222DE5"/>
    <w:rsid w:val="0022402F"/>
    <w:rsid w:val="002241D5"/>
    <w:rsid w:val="002241E7"/>
    <w:rsid w:val="0022524D"/>
    <w:rsid w:val="0022625F"/>
    <w:rsid w:val="00226319"/>
    <w:rsid w:val="00231CE3"/>
    <w:rsid w:val="00232697"/>
    <w:rsid w:val="00233360"/>
    <w:rsid w:val="002343A5"/>
    <w:rsid w:val="002358C8"/>
    <w:rsid w:val="00235AA5"/>
    <w:rsid w:val="00235BC9"/>
    <w:rsid w:val="00236759"/>
    <w:rsid w:val="00237283"/>
    <w:rsid w:val="00237F01"/>
    <w:rsid w:val="0024129F"/>
    <w:rsid w:val="00243178"/>
    <w:rsid w:val="00245C2A"/>
    <w:rsid w:val="00246129"/>
    <w:rsid w:val="00247BA1"/>
    <w:rsid w:val="002518CA"/>
    <w:rsid w:val="00253956"/>
    <w:rsid w:val="00253FC6"/>
    <w:rsid w:val="00254D99"/>
    <w:rsid w:val="00254FD6"/>
    <w:rsid w:val="00255550"/>
    <w:rsid w:val="00255ABB"/>
    <w:rsid w:val="00256EEE"/>
    <w:rsid w:val="00260412"/>
    <w:rsid w:val="002612A1"/>
    <w:rsid w:val="00261746"/>
    <w:rsid w:val="0026275D"/>
    <w:rsid w:val="002627B3"/>
    <w:rsid w:val="002673A4"/>
    <w:rsid w:val="0027070F"/>
    <w:rsid w:val="00272500"/>
    <w:rsid w:val="00272F92"/>
    <w:rsid w:val="0027421F"/>
    <w:rsid w:val="00274C87"/>
    <w:rsid w:val="002829A1"/>
    <w:rsid w:val="00286570"/>
    <w:rsid w:val="0029192F"/>
    <w:rsid w:val="00294DF3"/>
    <w:rsid w:val="0029550F"/>
    <w:rsid w:val="00295F82"/>
    <w:rsid w:val="00297EE0"/>
    <w:rsid w:val="002A063F"/>
    <w:rsid w:val="002A105B"/>
    <w:rsid w:val="002A12F0"/>
    <w:rsid w:val="002A1316"/>
    <w:rsid w:val="002A2044"/>
    <w:rsid w:val="002A20A8"/>
    <w:rsid w:val="002A273D"/>
    <w:rsid w:val="002A2C04"/>
    <w:rsid w:val="002A44AA"/>
    <w:rsid w:val="002A44ED"/>
    <w:rsid w:val="002A56A0"/>
    <w:rsid w:val="002A668F"/>
    <w:rsid w:val="002A72F4"/>
    <w:rsid w:val="002B0554"/>
    <w:rsid w:val="002B3363"/>
    <w:rsid w:val="002B35F8"/>
    <w:rsid w:val="002B457E"/>
    <w:rsid w:val="002B4FB0"/>
    <w:rsid w:val="002B5C0C"/>
    <w:rsid w:val="002C06F2"/>
    <w:rsid w:val="002C0A42"/>
    <w:rsid w:val="002C0CA5"/>
    <w:rsid w:val="002C1AF2"/>
    <w:rsid w:val="002C4635"/>
    <w:rsid w:val="002C63AC"/>
    <w:rsid w:val="002C706F"/>
    <w:rsid w:val="002D23D4"/>
    <w:rsid w:val="002D2955"/>
    <w:rsid w:val="002D598A"/>
    <w:rsid w:val="002D59B8"/>
    <w:rsid w:val="002D6958"/>
    <w:rsid w:val="002D6B6B"/>
    <w:rsid w:val="002D7F92"/>
    <w:rsid w:val="002E0E3F"/>
    <w:rsid w:val="002E2783"/>
    <w:rsid w:val="002E2788"/>
    <w:rsid w:val="002E345A"/>
    <w:rsid w:val="002E4E8E"/>
    <w:rsid w:val="002E6419"/>
    <w:rsid w:val="002F11B5"/>
    <w:rsid w:val="002F1D61"/>
    <w:rsid w:val="002F3A58"/>
    <w:rsid w:val="002F5D09"/>
    <w:rsid w:val="002F6367"/>
    <w:rsid w:val="003004F0"/>
    <w:rsid w:val="00303143"/>
    <w:rsid w:val="003054C0"/>
    <w:rsid w:val="003063CE"/>
    <w:rsid w:val="00312311"/>
    <w:rsid w:val="00313161"/>
    <w:rsid w:val="003147BA"/>
    <w:rsid w:val="00314ACD"/>
    <w:rsid w:val="003168CF"/>
    <w:rsid w:val="00321B34"/>
    <w:rsid w:val="00326310"/>
    <w:rsid w:val="00327EEA"/>
    <w:rsid w:val="003308B7"/>
    <w:rsid w:val="00332950"/>
    <w:rsid w:val="00337088"/>
    <w:rsid w:val="003376AD"/>
    <w:rsid w:val="00341513"/>
    <w:rsid w:val="003455F6"/>
    <w:rsid w:val="00345A06"/>
    <w:rsid w:val="00346406"/>
    <w:rsid w:val="0034713D"/>
    <w:rsid w:val="00352A8D"/>
    <w:rsid w:val="0035385C"/>
    <w:rsid w:val="003541A8"/>
    <w:rsid w:val="00354594"/>
    <w:rsid w:val="00354F33"/>
    <w:rsid w:val="00355EC7"/>
    <w:rsid w:val="00360896"/>
    <w:rsid w:val="00361B71"/>
    <w:rsid w:val="00364285"/>
    <w:rsid w:val="0036786C"/>
    <w:rsid w:val="003705DE"/>
    <w:rsid w:val="00373190"/>
    <w:rsid w:val="0037551B"/>
    <w:rsid w:val="00376934"/>
    <w:rsid w:val="00377818"/>
    <w:rsid w:val="0038077D"/>
    <w:rsid w:val="00380A07"/>
    <w:rsid w:val="00383BDE"/>
    <w:rsid w:val="00384B26"/>
    <w:rsid w:val="00385247"/>
    <w:rsid w:val="00385402"/>
    <w:rsid w:val="00385916"/>
    <w:rsid w:val="00385D73"/>
    <w:rsid w:val="00390E15"/>
    <w:rsid w:val="0039252F"/>
    <w:rsid w:val="00393112"/>
    <w:rsid w:val="003968A9"/>
    <w:rsid w:val="003A27EF"/>
    <w:rsid w:val="003A2B62"/>
    <w:rsid w:val="003A2E6F"/>
    <w:rsid w:val="003A336D"/>
    <w:rsid w:val="003A378B"/>
    <w:rsid w:val="003A3791"/>
    <w:rsid w:val="003A43FA"/>
    <w:rsid w:val="003A5CE6"/>
    <w:rsid w:val="003A739D"/>
    <w:rsid w:val="003B4C8D"/>
    <w:rsid w:val="003B62DC"/>
    <w:rsid w:val="003C013C"/>
    <w:rsid w:val="003C083D"/>
    <w:rsid w:val="003C2B81"/>
    <w:rsid w:val="003C57E5"/>
    <w:rsid w:val="003D05A9"/>
    <w:rsid w:val="003D31A7"/>
    <w:rsid w:val="003D6D03"/>
    <w:rsid w:val="003E06C5"/>
    <w:rsid w:val="003E0E01"/>
    <w:rsid w:val="003E242F"/>
    <w:rsid w:val="003E2EA7"/>
    <w:rsid w:val="003E36E3"/>
    <w:rsid w:val="003E3B42"/>
    <w:rsid w:val="003E4373"/>
    <w:rsid w:val="003E6903"/>
    <w:rsid w:val="003F3EF0"/>
    <w:rsid w:val="003F4DF6"/>
    <w:rsid w:val="003F5387"/>
    <w:rsid w:val="003F56AE"/>
    <w:rsid w:val="003F6B08"/>
    <w:rsid w:val="004016D8"/>
    <w:rsid w:val="004042C1"/>
    <w:rsid w:val="00405D48"/>
    <w:rsid w:val="004079F3"/>
    <w:rsid w:val="00410FEF"/>
    <w:rsid w:val="004144C5"/>
    <w:rsid w:val="0041629A"/>
    <w:rsid w:val="0041786D"/>
    <w:rsid w:val="00420529"/>
    <w:rsid w:val="00422556"/>
    <w:rsid w:val="00424B1D"/>
    <w:rsid w:val="004256A6"/>
    <w:rsid w:val="004279D3"/>
    <w:rsid w:val="004308FD"/>
    <w:rsid w:val="00434597"/>
    <w:rsid w:val="0043519C"/>
    <w:rsid w:val="00444CC6"/>
    <w:rsid w:val="004458B1"/>
    <w:rsid w:val="004461F1"/>
    <w:rsid w:val="00446472"/>
    <w:rsid w:val="004466E4"/>
    <w:rsid w:val="00446C12"/>
    <w:rsid w:val="004470B2"/>
    <w:rsid w:val="00450936"/>
    <w:rsid w:val="0045157A"/>
    <w:rsid w:val="00451C7B"/>
    <w:rsid w:val="004553FA"/>
    <w:rsid w:val="004554F6"/>
    <w:rsid w:val="00457F96"/>
    <w:rsid w:val="00461AB5"/>
    <w:rsid w:val="00461F69"/>
    <w:rsid w:val="00467993"/>
    <w:rsid w:val="00470E6D"/>
    <w:rsid w:val="00472DEC"/>
    <w:rsid w:val="004740E1"/>
    <w:rsid w:val="00474D3C"/>
    <w:rsid w:val="00475E30"/>
    <w:rsid w:val="00476806"/>
    <w:rsid w:val="0047680F"/>
    <w:rsid w:val="00480627"/>
    <w:rsid w:val="004808AF"/>
    <w:rsid w:val="00481182"/>
    <w:rsid w:val="00481EBB"/>
    <w:rsid w:val="00482912"/>
    <w:rsid w:val="00483D67"/>
    <w:rsid w:val="00486F9E"/>
    <w:rsid w:val="004909A6"/>
    <w:rsid w:val="00493A44"/>
    <w:rsid w:val="00494B2F"/>
    <w:rsid w:val="00495186"/>
    <w:rsid w:val="004954B3"/>
    <w:rsid w:val="00496C15"/>
    <w:rsid w:val="00497167"/>
    <w:rsid w:val="004A29D9"/>
    <w:rsid w:val="004A2EE0"/>
    <w:rsid w:val="004A359E"/>
    <w:rsid w:val="004A488F"/>
    <w:rsid w:val="004A619B"/>
    <w:rsid w:val="004B0B98"/>
    <w:rsid w:val="004B4225"/>
    <w:rsid w:val="004B5BDA"/>
    <w:rsid w:val="004B6AC1"/>
    <w:rsid w:val="004B71FA"/>
    <w:rsid w:val="004B7648"/>
    <w:rsid w:val="004B793D"/>
    <w:rsid w:val="004C1BDA"/>
    <w:rsid w:val="004C1D24"/>
    <w:rsid w:val="004C2D55"/>
    <w:rsid w:val="004C674E"/>
    <w:rsid w:val="004C6E0D"/>
    <w:rsid w:val="004D0F18"/>
    <w:rsid w:val="004D0FA8"/>
    <w:rsid w:val="004D597C"/>
    <w:rsid w:val="004D68C3"/>
    <w:rsid w:val="004D7F26"/>
    <w:rsid w:val="004E216C"/>
    <w:rsid w:val="004E3A17"/>
    <w:rsid w:val="004E60A8"/>
    <w:rsid w:val="004F356C"/>
    <w:rsid w:val="004F3B45"/>
    <w:rsid w:val="0050012B"/>
    <w:rsid w:val="00500A96"/>
    <w:rsid w:val="005023CD"/>
    <w:rsid w:val="00502F30"/>
    <w:rsid w:val="0050452E"/>
    <w:rsid w:val="005059BF"/>
    <w:rsid w:val="00505F32"/>
    <w:rsid w:val="0050735E"/>
    <w:rsid w:val="00507926"/>
    <w:rsid w:val="0051043F"/>
    <w:rsid w:val="00511C2D"/>
    <w:rsid w:val="00511E67"/>
    <w:rsid w:val="00517216"/>
    <w:rsid w:val="00517803"/>
    <w:rsid w:val="00517BA3"/>
    <w:rsid w:val="0052212E"/>
    <w:rsid w:val="005222C9"/>
    <w:rsid w:val="005251ED"/>
    <w:rsid w:val="00525DC6"/>
    <w:rsid w:val="005301D5"/>
    <w:rsid w:val="005307C7"/>
    <w:rsid w:val="00530A94"/>
    <w:rsid w:val="00531958"/>
    <w:rsid w:val="00531BBE"/>
    <w:rsid w:val="00535899"/>
    <w:rsid w:val="005362AC"/>
    <w:rsid w:val="005401E2"/>
    <w:rsid w:val="00543EA5"/>
    <w:rsid w:val="00544B5B"/>
    <w:rsid w:val="0054571D"/>
    <w:rsid w:val="005464EB"/>
    <w:rsid w:val="00551F1F"/>
    <w:rsid w:val="00552495"/>
    <w:rsid w:val="00552941"/>
    <w:rsid w:val="00554E46"/>
    <w:rsid w:val="00555EA0"/>
    <w:rsid w:val="00557415"/>
    <w:rsid w:val="005578A8"/>
    <w:rsid w:val="00561002"/>
    <w:rsid w:val="00561B7E"/>
    <w:rsid w:val="0056477A"/>
    <w:rsid w:val="00564F65"/>
    <w:rsid w:val="0056678F"/>
    <w:rsid w:val="005700E7"/>
    <w:rsid w:val="00571A71"/>
    <w:rsid w:val="00571D80"/>
    <w:rsid w:val="005721C6"/>
    <w:rsid w:val="00572DCB"/>
    <w:rsid w:val="0057426D"/>
    <w:rsid w:val="005749BB"/>
    <w:rsid w:val="00574A4A"/>
    <w:rsid w:val="005751F9"/>
    <w:rsid w:val="005754EB"/>
    <w:rsid w:val="00575727"/>
    <w:rsid w:val="005767DD"/>
    <w:rsid w:val="00577078"/>
    <w:rsid w:val="00582EDF"/>
    <w:rsid w:val="00583267"/>
    <w:rsid w:val="005833DE"/>
    <w:rsid w:val="005843A1"/>
    <w:rsid w:val="00584CF4"/>
    <w:rsid w:val="005909F2"/>
    <w:rsid w:val="00591078"/>
    <w:rsid w:val="00594685"/>
    <w:rsid w:val="00594696"/>
    <w:rsid w:val="0059477E"/>
    <w:rsid w:val="00595A13"/>
    <w:rsid w:val="005969AB"/>
    <w:rsid w:val="00597565"/>
    <w:rsid w:val="00597703"/>
    <w:rsid w:val="005A270B"/>
    <w:rsid w:val="005A315D"/>
    <w:rsid w:val="005A4AE4"/>
    <w:rsid w:val="005A60A1"/>
    <w:rsid w:val="005B0336"/>
    <w:rsid w:val="005B03FC"/>
    <w:rsid w:val="005B0C7B"/>
    <w:rsid w:val="005B0E7E"/>
    <w:rsid w:val="005B3F41"/>
    <w:rsid w:val="005B467F"/>
    <w:rsid w:val="005B59C7"/>
    <w:rsid w:val="005C2AFD"/>
    <w:rsid w:val="005C30F2"/>
    <w:rsid w:val="005C34D5"/>
    <w:rsid w:val="005C37FC"/>
    <w:rsid w:val="005C3B6D"/>
    <w:rsid w:val="005C7A5D"/>
    <w:rsid w:val="005D3E32"/>
    <w:rsid w:val="005D45A7"/>
    <w:rsid w:val="005D48C6"/>
    <w:rsid w:val="005D5591"/>
    <w:rsid w:val="005D6049"/>
    <w:rsid w:val="005D6731"/>
    <w:rsid w:val="005E04B8"/>
    <w:rsid w:val="005E0B93"/>
    <w:rsid w:val="005E1524"/>
    <w:rsid w:val="005E18B3"/>
    <w:rsid w:val="005E4C00"/>
    <w:rsid w:val="005E64A0"/>
    <w:rsid w:val="005E724D"/>
    <w:rsid w:val="005F0F0E"/>
    <w:rsid w:val="005F1B46"/>
    <w:rsid w:val="005F24CA"/>
    <w:rsid w:val="005F24EE"/>
    <w:rsid w:val="005F260B"/>
    <w:rsid w:val="005F3B22"/>
    <w:rsid w:val="005F4CFD"/>
    <w:rsid w:val="005F5615"/>
    <w:rsid w:val="005F65BC"/>
    <w:rsid w:val="0060071D"/>
    <w:rsid w:val="00600CF4"/>
    <w:rsid w:val="00601350"/>
    <w:rsid w:val="006034C7"/>
    <w:rsid w:val="00603BEC"/>
    <w:rsid w:val="00604726"/>
    <w:rsid w:val="00604F68"/>
    <w:rsid w:val="00605FE6"/>
    <w:rsid w:val="00606191"/>
    <w:rsid w:val="006116C2"/>
    <w:rsid w:val="00612DBB"/>
    <w:rsid w:val="006133C3"/>
    <w:rsid w:val="00614195"/>
    <w:rsid w:val="006157FE"/>
    <w:rsid w:val="00620187"/>
    <w:rsid w:val="006227A3"/>
    <w:rsid w:val="00622FD3"/>
    <w:rsid w:val="006232FE"/>
    <w:rsid w:val="00623440"/>
    <w:rsid w:val="00624357"/>
    <w:rsid w:val="0062436F"/>
    <w:rsid w:val="00625804"/>
    <w:rsid w:val="0062656E"/>
    <w:rsid w:val="0062672C"/>
    <w:rsid w:val="006316B7"/>
    <w:rsid w:val="00634A6A"/>
    <w:rsid w:val="00636DBB"/>
    <w:rsid w:val="00637221"/>
    <w:rsid w:val="006379D8"/>
    <w:rsid w:val="00640E72"/>
    <w:rsid w:val="006412AC"/>
    <w:rsid w:val="00641346"/>
    <w:rsid w:val="00641A90"/>
    <w:rsid w:val="00642EE3"/>
    <w:rsid w:val="00643048"/>
    <w:rsid w:val="006431F8"/>
    <w:rsid w:val="006446F0"/>
    <w:rsid w:val="00645ADC"/>
    <w:rsid w:val="00650CDA"/>
    <w:rsid w:val="00654C81"/>
    <w:rsid w:val="00656728"/>
    <w:rsid w:val="00660366"/>
    <w:rsid w:val="00661355"/>
    <w:rsid w:val="00661B96"/>
    <w:rsid w:val="00664B7B"/>
    <w:rsid w:val="00664C9B"/>
    <w:rsid w:val="00667F46"/>
    <w:rsid w:val="00670289"/>
    <w:rsid w:val="006705E2"/>
    <w:rsid w:val="00671798"/>
    <w:rsid w:val="006717C6"/>
    <w:rsid w:val="00672FC3"/>
    <w:rsid w:val="006762B3"/>
    <w:rsid w:val="00676A32"/>
    <w:rsid w:val="00680002"/>
    <w:rsid w:val="00680A0C"/>
    <w:rsid w:val="006843B4"/>
    <w:rsid w:val="00685DCF"/>
    <w:rsid w:val="0068612D"/>
    <w:rsid w:val="00687957"/>
    <w:rsid w:val="00687DC2"/>
    <w:rsid w:val="006901E4"/>
    <w:rsid w:val="00691C0C"/>
    <w:rsid w:val="0069368E"/>
    <w:rsid w:val="00693C77"/>
    <w:rsid w:val="0069410F"/>
    <w:rsid w:val="006941DB"/>
    <w:rsid w:val="006953B4"/>
    <w:rsid w:val="00695777"/>
    <w:rsid w:val="00695A5A"/>
    <w:rsid w:val="006A3849"/>
    <w:rsid w:val="006A6B18"/>
    <w:rsid w:val="006B203A"/>
    <w:rsid w:val="006B2E40"/>
    <w:rsid w:val="006B32EC"/>
    <w:rsid w:val="006B38C1"/>
    <w:rsid w:val="006B5EE1"/>
    <w:rsid w:val="006B61E4"/>
    <w:rsid w:val="006B642B"/>
    <w:rsid w:val="006C0B0B"/>
    <w:rsid w:val="006C22ED"/>
    <w:rsid w:val="006C270A"/>
    <w:rsid w:val="006C2DB6"/>
    <w:rsid w:val="006C598E"/>
    <w:rsid w:val="006C6A58"/>
    <w:rsid w:val="006D1BA1"/>
    <w:rsid w:val="006D22B7"/>
    <w:rsid w:val="006D2720"/>
    <w:rsid w:val="006D308A"/>
    <w:rsid w:val="006D7C64"/>
    <w:rsid w:val="006E130B"/>
    <w:rsid w:val="006E3948"/>
    <w:rsid w:val="006E467E"/>
    <w:rsid w:val="006E4C84"/>
    <w:rsid w:val="006E4D89"/>
    <w:rsid w:val="006E4F18"/>
    <w:rsid w:val="006F100C"/>
    <w:rsid w:val="006F1D6D"/>
    <w:rsid w:val="006F320D"/>
    <w:rsid w:val="006F4E0B"/>
    <w:rsid w:val="006F7F02"/>
    <w:rsid w:val="00700912"/>
    <w:rsid w:val="00703504"/>
    <w:rsid w:val="00704779"/>
    <w:rsid w:val="007052B4"/>
    <w:rsid w:val="00711E8C"/>
    <w:rsid w:val="00712E00"/>
    <w:rsid w:val="00716D8D"/>
    <w:rsid w:val="007172B2"/>
    <w:rsid w:val="00717D6E"/>
    <w:rsid w:val="007205E1"/>
    <w:rsid w:val="007222C0"/>
    <w:rsid w:val="00722DAD"/>
    <w:rsid w:val="007247F1"/>
    <w:rsid w:val="00724BA7"/>
    <w:rsid w:val="00725EC9"/>
    <w:rsid w:val="0072785E"/>
    <w:rsid w:val="00731E01"/>
    <w:rsid w:val="0073314A"/>
    <w:rsid w:val="007365B6"/>
    <w:rsid w:val="00742CAF"/>
    <w:rsid w:val="00750FBE"/>
    <w:rsid w:val="00751BC2"/>
    <w:rsid w:val="007520B2"/>
    <w:rsid w:val="00752B26"/>
    <w:rsid w:val="00752FF1"/>
    <w:rsid w:val="0075389B"/>
    <w:rsid w:val="00754AA3"/>
    <w:rsid w:val="00754CEC"/>
    <w:rsid w:val="007550A4"/>
    <w:rsid w:val="00756194"/>
    <w:rsid w:val="0075629E"/>
    <w:rsid w:val="00757D87"/>
    <w:rsid w:val="00760301"/>
    <w:rsid w:val="00760433"/>
    <w:rsid w:val="007626A3"/>
    <w:rsid w:val="00762FD0"/>
    <w:rsid w:val="00764669"/>
    <w:rsid w:val="007649A8"/>
    <w:rsid w:val="007672E7"/>
    <w:rsid w:val="00771F84"/>
    <w:rsid w:val="00772845"/>
    <w:rsid w:val="007737FD"/>
    <w:rsid w:val="00775DF4"/>
    <w:rsid w:val="00776325"/>
    <w:rsid w:val="00777430"/>
    <w:rsid w:val="00777BA6"/>
    <w:rsid w:val="00780212"/>
    <w:rsid w:val="007804C0"/>
    <w:rsid w:val="007839B8"/>
    <w:rsid w:val="00786B59"/>
    <w:rsid w:val="007870BB"/>
    <w:rsid w:val="007878D2"/>
    <w:rsid w:val="00787A1A"/>
    <w:rsid w:val="0079077A"/>
    <w:rsid w:val="00791650"/>
    <w:rsid w:val="007927B3"/>
    <w:rsid w:val="007933B1"/>
    <w:rsid w:val="007A1D2C"/>
    <w:rsid w:val="007A758D"/>
    <w:rsid w:val="007B023D"/>
    <w:rsid w:val="007B1A79"/>
    <w:rsid w:val="007B4A0D"/>
    <w:rsid w:val="007B6CCB"/>
    <w:rsid w:val="007C00FA"/>
    <w:rsid w:val="007C06F8"/>
    <w:rsid w:val="007C6164"/>
    <w:rsid w:val="007C7C20"/>
    <w:rsid w:val="007D39AE"/>
    <w:rsid w:val="007D3AFF"/>
    <w:rsid w:val="007D4093"/>
    <w:rsid w:val="007D608E"/>
    <w:rsid w:val="007D775D"/>
    <w:rsid w:val="007D7D0D"/>
    <w:rsid w:val="007E0387"/>
    <w:rsid w:val="007E06DA"/>
    <w:rsid w:val="007E1A96"/>
    <w:rsid w:val="007E3012"/>
    <w:rsid w:val="007E38BE"/>
    <w:rsid w:val="007E40FF"/>
    <w:rsid w:val="007E424B"/>
    <w:rsid w:val="007E4B68"/>
    <w:rsid w:val="007E67C5"/>
    <w:rsid w:val="007E6BF5"/>
    <w:rsid w:val="007F191E"/>
    <w:rsid w:val="007F1AC2"/>
    <w:rsid w:val="007F1F85"/>
    <w:rsid w:val="007F2645"/>
    <w:rsid w:val="007F2AEB"/>
    <w:rsid w:val="007F47EF"/>
    <w:rsid w:val="007F6729"/>
    <w:rsid w:val="007F6E24"/>
    <w:rsid w:val="008002A3"/>
    <w:rsid w:val="00801CB1"/>
    <w:rsid w:val="0080214F"/>
    <w:rsid w:val="008029C3"/>
    <w:rsid w:val="00803D21"/>
    <w:rsid w:val="0080449B"/>
    <w:rsid w:val="00805148"/>
    <w:rsid w:val="00806DD7"/>
    <w:rsid w:val="008072F0"/>
    <w:rsid w:val="008117C6"/>
    <w:rsid w:val="008119FC"/>
    <w:rsid w:val="008122D2"/>
    <w:rsid w:val="00812DD7"/>
    <w:rsid w:val="008133C4"/>
    <w:rsid w:val="00813DE0"/>
    <w:rsid w:val="00814A48"/>
    <w:rsid w:val="00814D21"/>
    <w:rsid w:val="00816AD2"/>
    <w:rsid w:val="00817170"/>
    <w:rsid w:val="00820181"/>
    <w:rsid w:val="00820F6C"/>
    <w:rsid w:val="0082429C"/>
    <w:rsid w:val="0082480C"/>
    <w:rsid w:val="00824A00"/>
    <w:rsid w:val="00825538"/>
    <w:rsid w:val="00825B8C"/>
    <w:rsid w:val="00830EB2"/>
    <w:rsid w:val="00830FD6"/>
    <w:rsid w:val="008311FB"/>
    <w:rsid w:val="00832228"/>
    <w:rsid w:val="0083227C"/>
    <w:rsid w:val="00832632"/>
    <w:rsid w:val="00833447"/>
    <w:rsid w:val="0083347F"/>
    <w:rsid w:val="00833C84"/>
    <w:rsid w:val="008367CE"/>
    <w:rsid w:val="00837629"/>
    <w:rsid w:val="00841F90"/>
    <w:rsid w:val="008424CA"/>
    <w:rsid w:val="008508CD"/>
    <w:rsid w:val="00850AC9"/>
    <w:rsid w:val="0085149D"/>
    <w:rsid w:val="008560C1"/>
    <w:rsid w:val="00860CC9"/>
    <w:rsid w:val="00860EB5"/>
    <w:rsid w:val="008610AD"/>
    <w:rsid w:val="00864361"/>
    <w:rsid w:val="00865239"/>
    <w:rsid w:val="00867238"/>
    <w:rsid w:val="008675A9"/>
    <w:rsid w:val="008679B5"/>
    <w:rsid w:val="00867EA1"/>
    <w:rsid w:val="0087134C"/>
    <w:rsid w:val="00871FC7"/>
    <w:rsid w:val="008723C5"/>
    <w:rsid w:val="00873782"/>
    <w:rsid w:val="00873882"/>
    <w:rsid w:val="00873F61"/>
    <w:rsid w:val="00874669"/>
    <w:rsid w:val="00881E25"/>
    <w:rsid w:val="008858C6"/>
    <w:rsid w:val="00887C63"/>
    <w:rsid w:val="008900E0"/>
    <w:rsid w:val="0089106A"/>
    <w:rsid w:val="00891566"/>
    <w:rsid w:val="00893677"/>
    <w:rsid w:val="00894CE2"/>
    <w:rsid w:val="008958F1"/>
    <w:rsid w:val="00895DA8"/>
    <w:rsid w:val="00896644"/>
    <w:rsid w:val="008A2408"/>
    <w:rsid w:val="008A2C7B"/>
    <w:rsid w:val="008A33F3"/>
    <w:rsid w:val="008A392C"/>
    <w:rsid w:val="008A453D"/>
    <w:rsid w:val="008A4C21"/>
    <w:rsid w:val="008A4C9C"/>
    <w:rsid w:val="008A4E39"/>
    <w:rsid w:val="008A53FE"/>
    <w:rsid w:val="008A58DE"/>
    <w:rsid w:val="008A5BDD"/>
    <w:rsid w:val="008A7430"/>
    <w:rsid w:val="008A7536"/>
    <w:rsid w:val="008B0FF6"/>
    <w:rsid w:val="008B1899"/>
    <w:rsid w:val="008B2401"/>
    <w:rsid w:val="008B38FA"/>
    <w:rsid w:val="008B3EE5"/>
    <w:rsid w:val="008B5888"/>
    <w:rsid w:val="008B7850"/>
    <w:rsid w:val="008C13D4"/>
    <w:rsid w:val="008C14E7"/>
    <w:rsid w:val="008C1AA5"/>
    <w:rsid w:val="008C63E5"/>
    <w:rsid w:val="008C744D"/>
    <w:rsid w:val="008D0A8C"/>
    <w:rsid w:val="008D6425"/>
    <w:rsid w:val="008D6AD3"/>
    <w:rsid w:val="008D717F"/>
    <w:rsid w:val="008E14EE"/>
    <w:rsid w:val="008E2CC8"/>
    <w:rsid w:val="008E372C"/>
    <w:rsid w:val="008E4385"/>
    <w:rsid w:val="008E6FDD"/>
    <w:rsid w:val="008F2AE9"/>
    <w:rsid w:val="008F3AE1"/>
    <w:rsid w:val="008F442A"/>
    <w:rsid w:val="008F5423"/>
    <w:rsid w:val="00901F67"/>
    <w:rsid w:val="009048AB"/>
    <w:rsid w:val="0090754B"/>
    <w:rsid w:val="00911A4A"/>
    <w:rsid w:val="00914A6B"/>
    <w:rsid w:val="00915324"/>
    <w:rsid w:val="009164E4"/>
    <w:rsid w:val="00916598"/>
    <w:rsid w:val="00920BDA"/>
    <w:rsid w:val="00922538"/>
    <w:rsid w:val="00923847"/>
    <w:rsid w:val="00925742"/>
    <w:rsid w:val="0093336C"/>
    <w:rsid w:val="009340AC"/>
    <w:rsid w:val="00934860"/>
    <w:rsid w:val="00935307"/>
    <w:rsid w:val="00940A7B"/>
    <w:rsid w:val="009446EB"/>
    <w:rsid w:val="009465A2"/>
    <w:rsid w:val="00953DD7"/>
    <w:rsid w:val="00955CF6"/>
    <w:rsid w:val="009569BE"/>
    <w:rsid w:val="00956D1A"/>
    <w:rsid w:val="0095716C"/>
    <w:rsid w:val="00957A4B"/>
    <w:rsid w:val="00957D9D"/>
    <w:rsid w:val="00960014"/>
    <w:rsid w:val="00960360"/>
    <w:rsid w:val="00961161"/>
    <w:rsid w:val="0096360E"/>
    <w:rsid w:val="00963AFA"/>
    <w:rsid w:val="009657B4"/>
    <w:rsid w:val="009725C3"/>
    <w:rsid w:val="00972F29"/>
    <w:rsid w:val="00973467"/>
    <w:rsid w:val="00973FA9"/>
    <w:rsid w:val="00974E85"/>
    <w:rsid w:val="00975242"/>
    <w:rsid w:val="009777A5"/>
    <w:rsid w:val="009800E9"/>
    <w:rsid w:val="009807EF"/>
    <w:rsid w:val="0098495D"/>
    <w:rsid w:val="00985E9C"/>
    <w:rsid w:val="009908A5"/>
    <w:rsid w:val="00991407"/>
    <w:rsid w:val="009928B8"/>
    <w:rsid w:val="009931F6"/>
    <w:rsid w:val="00993DC8"/>
    <w:rsid w:val="009951BA"/>
    <w:rsid w:val="00996CDA"/>
    <w:rsid w:val="00997912"/>
    <w:rsid w:val="009A466D"/>
    <w:rsid w:val="009B1378"/>
    <w:rsid w:val="009B38CD"/>
    <w:rsid w:val="009B4B9B"/>
    <w:rsid w:val="009B5070"/>
    <w:rsid w:val="009B5909"/>
    <w:rsid w:val="009B62EC"/>
    <w:rsid w:val="009B7A1D"/>
    <w:rsid w:val="009C0E37"/>
    <w:rsid w:val="009C182B"/>
    <w:rsid w:val="009C3B0E"/>
    <w:rsid w:val="009C41FC"/>
    <w:rsid w:val="009C66FA"/>
    <w:rsid w:val="009C69A1"/>
    <w:rsid w:val="009C7162"/>
    <w:rsid w:val="009C780E"/>
    <w:rsid w:val="009D0F21"/>
    <w:rsid w:val="009D3514"/>
    <w:rsid w:val="009D5BAD"/>
    <w:rsid w:val="009D6075"/>
    <w:rsid w:val="009D7A36"/>
    <w:rsid w:val="009E1C36"/>
    <w:rsid w:val="009E2918"/>
    <w:rsid w:val="009E5901"/>
    <w:rsid w:val="009E6E50"/>
    <w:rsid w:val="009E74F7"/>
    <w:rsid w:val="009F44FC"/>
    <w:rsid w:val="009F4661"/>
    <w:rsid w:val="009F657F"/>
    <w:rsid w:val="009F6C47"/>
    <w:rsid w:val="00A008D5"/>
    <w:rsid w:val="00A026C8"/>
    <w:rsid w:val="00A03369"/>
    <w:rsid w:val="00A03D39"/>
    <w:rsid w:val="00A0509F"/>
    <w:rsid w:val="00A0682A"/>
    <w:rsid w:val="00A06E43"/>
    <w:rsid w:val="00A10E3B"/>
    <w:rsid w:val="00A11214"/>
    <w:rsid w:val="00A1235A"/>
    <w:rsid w:val="00A12AF8"/>
    <w:rsid w:val="00A148B5"/>
    <w:rsid w:val="00A153BF"/>
    <w:rsid w:val="00A175D5"/>
    <w:rsid w:val="00A17819"/>
    <w:rsid w:val="00A17F49"/>
    <w:rsid w:val="00A208D3"/>
    <w:rsid w:val="00A217B4"/>
    <w:rsid w:val="00A22111"/>
    <w:rsid w:val="00A23FDE"/>
    <w:rsid w:val="00A24A34"/>
    <w:rsid w:val="00A254CC"/>
    <w:rsid w:val="00A306E1"/>
    <w:rsid w:val="00A309E8"/>
    <w:rsid w:val="00A31CDC"/>
    <w:rsid w:val="00A35E5C"/>
    <w:rsid w:val="00A35ECF"/>
    <w:rsid w:val="00A36A3D"/>
    <w:rsid w:val="00A37482"/>
    <w:rsid w:val="00A37AA9"/>
    <w:rsid w:val="00A4079D"/>
    <w:rsid w:val="00A40A15"/>
    <w:rsid w:val="00A44FA4"/>
    <w:rsid w:val="00A45149"/>
    <w:rsid w:val="00A45B82"/>
    <w:rsid w:val="00A465F0"/>
    <w:rsid w:val="00A46A1A"/>
    <w:rsid w:val="00A50461"/>
    <w:rsid w:val="00A51A78"/>
    <w:rsid w:val="00A536EF"/>
    <w:rsid w:val="00A5441B"/>
    <w:rsid w:val="00A54A72"/>
    <w:rsid w:val="00A55233"/>
    <w:rsid w:val="00A55BB0"/>
    <w:rsid w:val="00A6115D"/>
    <w:rsid w:val="00A62953"/>
    <w:rsid w:val="00A62C1C"/>
    <w:rsid w:val="00A62EAE"/>
    <w:rsid w:val="00A638E3"/>
    <w:rsid w:val="00A6442C"/>
    <w:rsid w:val="00A65B0A"/>
    <w:rsid w:val="00A66688"/>
    <w:rsid w:val="00A67CF9"/>
    <w:rsid w:val="00A7310C"/>
    <w:rsid w:val="00A74429"/>
    <w:rsid w:val="00A77A40"/>
    <w:rsid w:val="00A80EA1"/>
    <w:rsid w:val="00A814DB"/>
    <w:rsid w:val="00A81C0A"/>
    <w:rsid w:val="00A842B2"/>
    <w:rsid w:val="00A85228"/>
    <w:rsid w:val="00A85B74"/>
    <w:rsid w:val="00A85EF1"/>
    <w:rsid w:val="00A86097"/>
    <w:rsid w:val="00A91429"/>
    <w:rsid w:val="00A923DB"/>
    <w:rsid w:val="00A92405"/>
    <w:rsid w:val="00A93611"/>
    <w:rsid w:val="00A939A9"/>
    <w:rsid w:val="00A93A63"/>
    <w:rsid w:val="00A93D1E"/>
    <w:rsid w:val="00A9445F"/>
    <w:rsid w:val="00A953C3"/>
    <w:rsid w:val="00A95FC4"/>
    <w:rsid w:val="00A969C9"/>
    <w:rsid w:val="00A9728B"/>
    <w:rsid w:val="00A97AB8"/>
    <w:rsid w:val="00AA0EA3"/>
    <w:rsid w:val="00AA1299"/>
    <w:rsid w:val="00AA12B4"/>
    <w:rsid w:val="00AA1F44"/>
    <w:rsid w:val="00AA2B21"/>
    <w:rsid w:val="00AA37A0"/>
    <w:rsid w:val="00AA4864"/>
    <w:rsid w:val="00AA54BD"/>
    <w:rsid w:val="00AA7588"/>
    <w:rsid w:val="00AA7875"/>
    <w:rsid w:val="00AB0619"/>
    <w:rsid w:val="00AB10FB"/>
    <w:rsid w:val="00AB1F22"/>
    <w:rsid w:val="00AB3A53"/>
    <w:rsid w:val="00AC0FF0"/>
    <w:rsid w:val="00AC26AE"/>
    <w:rsid w:val="00AC27C9"/>
    <w:rsid w:val="00AC3BAA"/>
    <w:rsid w:val="00AC3C0F"/>
    <w:rsid w:val="00AC4329"/>
    <w:rsid w:val="00AC7083"/>
    <w:rsid w:val="00AC7B11"/>
    <w:rsid w:val="00AD094A"/>
    <w:rsid w:val="00AD1899"/>
    <w:rsid w:val="00AD2C82"/>
    <w:rsid w:val="00AD3999"/>
    <w:rsid w:val="00AD782E"/>
    <w:rsid w:val="00AE013A"/>
    <w:rsid w:val="00AE0838"/>
    <w:rsid w:val="00AE0C13"/>
    <w:rsid w:val="00AE107C"/>
    <w:rsid w:val="00AE1246"/>
    <w:rsid w:val="00AE171C"/>
    <w:rsid w:val="00AE43E0"/>
    <w:rsid w:val="00AE6300"/>
    <w:rsid w:val="00AE6F61"/>
    <w:rsid w:val="00AE6F6B"/>
    <w:rsid w:val="00AF0B8F"/>
    <w:rsid w:val="00AF1D66"/>
    <w:rsid w:val="00AF1FB3"/>
    <w:rsid w:val="00AF38E0"/>
    <w:rsid w:val="00AF3B9C"/>
    <w:rsid w:val="00AF7C7B"/>
    <w:rsid w:val="00AF7C80"/>
    <w:rsid w:val="00B002D7"/>
    <w:rsid w:val="00B00394"/>
    <w:rsid w:val="00B0065A"/>
    <w:rsid w:val="00B02300"/>
    <w:rsid w:val="00B03DD1"/>
    <w:rsid w:val="00B043B9"/>
    <w:rsid w:val="00B04F74"/>
    <w:rsid w:val="00B061E0"/>
    <w:rsid w:val="00B07313"/>
    <w:rsid w:val="00B07E4F"/>
    <w:rsid w:val="00B11B1F"/>
    <w:rsid w:val="00B12967"/>
    <w:rsid w:val="00B20DAE"/>
    <w:rsid w:val="00B26C64"/>
    <w:rsid w:val="00B31002"/>
    <w:rsid w:val="00B32B74"/>
    <w:rsid w:val="00B33D7E"/>
    <w:rsid w:val="00B37038"/>
    <w:rsid w:val="00B37EE0"/>
    <w:rsid w:val="00B409DA"/>
    <w:rsid w:val="00B40CB2"/>
    <w:rsid w:val="00B42AF1"/>
    <w:rsid w:val="00B42D69"/>
    <w:rsid w:val="00B4544B"/>
    <w:rsid w:val="00B45CEC"/>
    <w:rsid w:val="00B461DB"/>
    <w:rsid w:val="00B462FB"/>
    <w:rsid w:val="00B477CB"/>
    <w:rsid w:val="00B508B0"/>
    <w:rsid w:val="00B50937"/>
    <w:rsid w:val="00B50B4F"/>
    <w:rsid w:val="00B5133E"/>
    <w:rsid w:val="00B51772"/>
    <w:rsid w:val="00B54AB8"/>
    <w:rsid w:val="00B54BE8"/>
    <w:rsid w:val="00B55F78"/>
    <w:rsid w:val="00B57CA2"/>
    <w:rsid w:val="00B60208"/>
    <w:rsid w:val="00B61D72"/>
    <w:rsid w:val="00B61EA1"/>
    <w:rsid w:val="00B65546"/>
    <w:rsid w:val="00B6617E"/>
    <w:rsid w:val="00B66BE0"/>
    <w:rsid w:val="00B6715F"/>
    <w:rsid w:val="00B6730F"/>
    <w:rsid w:val="00B6792B"/>
    <w:rsid w:val="00B706AD"/>
    <w:rsid w:val="00B716AD"/>
    <w:rsid w:val="00B72460"/>
    <w:rsid w:val="00B7788A"/>
    <w:rsid w:val="00B817C3"/>
    <w:rsid w:val="00B83D38"/>
    <w:rsid w:val="00B845B8"/>
    <w:rsid w:val="00B846FF"/>
    <w:rsid w:val="00B84EEC"/>
    <w:rsid w:val="00B85723"/>
    <w:rsid w:val="00B861DF"/>
    <w:rsid w:val="00B87832"/>
    <w:rsid w:val="00B904E3"/>
    <w:rsid w:val="00B928DD"/>
    <w:rsid w:val="00B930E1"/>
    <w:rsid w:val="00B956CE"/>
    <w:rsid w:val="00B95C94"/>
    <w:rsid w:val="00B97EE4"/>
    <w:rsid w:val="00BA1291"/>
    <w:rsid w:val="00BA3015"/>
    <w:rsid w:val="00BA5339"/>
    <w:rsid w:val="00BA5778"/>
    <w:rsid w:val="00BA6AED"/>
    <w:rsid w:val="00BB2E11"/>
    <w:rsid w:val="00BC1F78"/>
    <w:rsid w:val="00BC2309"/>
    <w:rsid w:val="00BC233A"/>
    <w:rsid w:val="00BC258D"/>
    <w:rsid w:val="00BC29A6"/>
    <w:rsid w:val="00BC3A09"/>
    <w:rsid w:val="00BC3A1A"/>
    <w:rsid w:val="00BC4CA7"/>
    <w:rsid w:val="00BC5BC1"/>
    <w:rsid w:val="00BC6848"/>
    <w:rsid w:val="00BD7950"/>
    <w:rsid w:val="00BE3309"/>
    <w:rsid w:val="00BE54B1"/>
    <w:rsid w:val="00BE7F27"/>
    <w:rsid w:val="00BF0593"/>
    <w:rsid w:val="00BF12AC"/>
    <w:rsid w:val="00BF28E7"/>
    <w:rsid w:val="00BF50E1"/>
    <w:rsid w:val="00C00F3C"/>
    <w:rsid w:val="00C01972"/>
    <w:rsid w:val="00C029DB"/>
    <w:rsid w:val="00C14514"/>
    <w:rsid w:val="00C15391"/>
    <w:rsid w:val="00C15C60"/>
    <w:rsid w:val="00C20228"/>
    <w:rsid w:val="00C2062A"/>
    <w:rsid w:val="00C20E7F"/>
    <w:rsid w:val="00C2146F"/>
    <w:rsid w:val="00C22D77"/>
    <w:rsid w:val="00C24222"/>
    <w:rsid w:val="00C242ED"/>
    <w:rsid w:val="00C24812"/>
    <w:rsid w:val="00C24D32"/>
    <w:rsid w:val="00C25E64"/>
    <w:rsid w:val="00C26FC3"/>
    <w:rsid w:val="00C27086"/>
    <w:rsid w:val="00C27FB2"/>
    <w:rsid w:val="00C309E6"/>
    <w:rsid w:val="00C334B8"/>
    <w:rsid w:val="00C36710"/>
    <w:rsid w:val="00C42240"/>
    <w:rsid w:val="00C458F3"/>
    <w:rsid w:val="00C46898"/>
    <w:rsid w:val="00C50DD7"/>
    <w:rsid w:val="00C517E6"/>
    <w:rsid w:val="00C53463"/>
    <w:rsid w:val="00C538F5"/>
    <w:rsid w:val="00C5519C"/>
    <w:rsid w:val="00C55ADB"/>
    <w:rsid w:val="00C57C57"/>
    <w:rsid w:val="00C6081F"/>
    <w:rsid w:val="00C60F57"/>
    <w:rsid w:val="00C617C5"/>
    <w:rsid w:val="00C61CAD"/>
    <w:rsid w:val="00C65EA2"/>
    <w:rsid w:val="00C7092E"/>
    <w:rsid w:val="00C72F62"/>
    <w:rsid w:val="00C747F9"/>
    <w:rsid w:val="00C758C1"/>
    <w:rsid w:val="00C76883"/>
    <w:rsid w:val="00C77EF4"/>
    <w:rsid w:val="00C8151D"/>
    <w:rsid w:val="00C82283"/>
    <w:rsid w:val="00C871C0"/>
    <w:rsid w:val="00C87F61"/>
    <w:rsid w:val="00C9122A"/>
    <w:rsid w:val="00C971D9"/>
    <w:rsid w:val="00CA06BA"/>
    <w:rsid w:val="00CA2639"/>
    <w:rsid w:val="00CA5B56"/>
    <w:rsid w:val="00CA5B98"/>
    <w:rsid w:val="00CA62B3"/>
    <w:rsid w:val="00CA790A"/>
    <w:rsid w:val="00CB1C9F"/>
    <w:rsid w:val="00CB2427"/>
    <w:rsid w:val="00CB3BD9"/>
    <w:rsid w:val="00CB4A61"/>
    <w:rsid w:val="00CB6727"/>
    <w:rsid w:val="00CB7F77"/>
    <w:rsid w:val="00CC11CB"/>
    <w:rsid w:val="00CC3215"/>
    <w:rsid w:val="00CC4BE6"/>
    <w:rsid w:val="00CC4DD9"/>
    <w:rsid w:val="00CC5B3E"/>
    <w:rsid w:val="00CC5BBB"/>
    <w:rsid w:val="00CC7D00"/>
    <w:rsid w:val="00CD0D1D"/>
    <w:rsid w:val="00CD0DC4"/>
    <w:rsid w:val="00CD492E"/>
    <w:rsid w:val="00CD4DFA"/>
    <w:rsid w:val="00CD5361"/>
    <w:rsid w:val="00CD6C21"/>
    <w:rsid w:val="00CD6FAD"/>
    <w:rsid w:val="00CE0D32"/>
    <w:rsid w:val="00CE32E5"/>
    <w:rsid w:val="00CE4D36"/>
    <w:rsid w:val="00CE54C0"/>
    <w:rsid w:val="00CF1592"/>
    <w:rsid w:val="00CF22A1"/>
    <w:rsid w:val="00CF5258"/>
    <w:rsid w:val="00CF6030"/>
    <w:rsid w:val="00CF6407"/>
    <w:rsid w:val="00CF6C4A"/>
    <w:rsid w:val="00CF705F"/>
    <w:rsid w:val="00CF755B"/>
    <w:rsid w:val="00D01631"/>
    <w:rsid w:val="00D02190"/>
    <w:rsid w:val="00D02B5B"/>
    <w:rsid w:val="00D040ED"/>
    <w:rsid w:val="00D06504"/>
    <w:rsid w:val="00D10325"/>
    <w:rsid w:val="00D1115E"/>
    <w:rsid w:val="00D1315C"/>
    <w:rsid w:val="00D14657"/>
    <w:rsid w:val="00D16954"/>
    <w:rsid w:val="00D174A1"/>
    <w:rsid w:val="00D21980"/>
    <w:rsid w:val="00D219E5"/>
    <w:rsid w:val="00D236EC"/>
    <w:rsid w:val="00D24576"/>
    <w:rsid w:val="00D2650D"/>
    <w:rsid w:val="00D26753"/>
    <w:rsid w:val="00D27727"/>
    <w:rsid w:val="00D3033D"/>
    <w:rsid w:val="00D30396"/>
    <w:rsid w:val="00D307F5"/>
    <w:rsid w:val="00D32362"/>
    <w:rsid w:val="00D33C74"/>
    <w:rsid w:val="00D36113"/>
    <w:rsid w:val="00D3613D"/>
    <w:rsid w:val="00D375A2"/>
    <w:rsid w:val="00D37BC3"/>
    <w:rsid w:val="00D41345"/>
    <w:rsid w:val="00D442C8"/>
    <w:rsid w:val="00D46F80"/>
    <w:rsid w:val="00D4797E"/>
    <w:rsid w:val="00D47A06"/>
    <w:rsid w:val="00D51052"/>
    <w:rsid w:val="00D51377"/>
    <w:rsid w:val="00D51590"/>
    <w:rsid w:val="00D5190A"/>
    <w:rsid w:val="00D538E5"/>
    <w:rsid w:val="00D54850"/>
    <w:rsid w:val="00D6127B"/>
    <w:rsid w:val="00D61E07"/>
    <w:rsid w:val="00D630A1"/>
    <w:rsid w:val="00D6359F"/>
    <w:rsid w:val="00D641C1"/>
    <w:rsid w:val="00D66B40"/>
    <w:rsid w:val="00D67E5A"/>
    <w:rsid w:val="00D71B9A"/>
    <w:rsid w:val="00D748D0"/>
    <w:rsid w:val="00D74F0B"/>
    <w:rsid w:val="00D814BC"/>
    <w:rsid w:val="00D85D6A"/>
    <w:rsid w:val="00D907B4"/>
    <w:rsid w:val="00D958C3"/>
    <w:rsid w:val="00D960FC"/>
    <w:rsid w:val="00D96554"/>
    <w:rsid w:val="00DA032D"/>
    <w:rsid w:val="00DA1238"/>
    <w:rsid w:val="00DA1463"/>
    <w:rsid w:val="00DA1C84"/>
    <w:rsid w:val="00DA35EF"/>
    <w:rsid w:val="00DB189C"/>
    <w:rsid w:val="00DB4E5D"/>
    <w:rsid w:val="00DB73F5"/>
    <w:rsid w:val="00DB77AE"/>
    <w:rsid w:val="00DB7E0E"/>
    <w:rsid w:val="00DC00D7"/>
    <w:rsid w:val="00DC03BD"/>
    <w:rsid w:val="00DC1571"/>
    <w:rsid w:val="00DC1896"/>
    <w:rsid w:val="00DC2640"/>
    <w:rsid w:val="00DC2A6C"/>
    <w:rsid w:val="00DC3F53"/>
    <w:rsid w:val="00DC54AF"/>
    <w:rsid w:val="00DC63CB"/>
    <w:rsid w:val="00DD50BE"/>
    <w:rsid w:val="00DD608D"/>
    <w:rsid w:val="00DD6207"/>
    <w:rsid w:val="00DD6835"/>
    <w:rsid w:val="00DE09CF"/>
    <w:rsid w:val="00DE234A"/>
    <w:rsid w:val="00DE3B1A"/>
    <w:rsid w:val="00DE4D74"/>
    <w:rsid w:val="00DE561E"/>
    <w:rsid w:val="00DE6112"/>
    <w:rsid w:val="00DE777E"/>
    <w:rsid w:val="00DF0E9E"/>
    <w:rsid w:val="00DF34D3"/>
    <w:rsid w:val="00DF4601"/>
    <w:rsid w:val="00DF4DE2"/>
    <w:rsid w:val="00DF531B"/>
    <w:rsid w:val="00DF7251"/>
    <w:rsid w:val="00E022F6"/>
    <w:rsid w:val="00E02882"/>
    <w:rsid w:val="00E02C52"/>
    <w:rsid w:val="00E06471"/>
    <w:rsid w:val="00E06C7F"/>
    <w:rsid w:val="00E10F76"/>
    <w:rsid w:val="00E11D2D"/>
    <w:rsid w:val="00E14786"/>
    <w:rsid w:val="00E15311"/>
    <w:rsid w:val="00E16623"/>
    <w:rsid w:val="00E17BEB"/>
    <w:rsid w:val="00E21449"/>
    <w:rsid w:val="00E2252C"/>
    <w:rsid w:val="00E226B6"/>
    <w:rsid w:val="00E22E8D"/>
    <w:rsid w:val="00E276AD"/>
    <w:rsid w:val="00E278AA"/>
    <w:rsid w:val="00E31625"/>
    <w:rsid w:val="00E31E62"/>
    <w:rsid w:val="00E32619"/>
    <w:rsid w:val="00E34656"/>
    <w:rsid w:val="00E35025"/>
    <w:rsid w:val="00E361BC"/>
    <w:rsid w:val="00E37ABC"/>
    <w:rsid w:val="00E42928"/>
    <w:rsid w:val="00E42B0B"/>
    <w:rsid w:val="00E42D91"/>
    <w:rsid w:val="00E45097"/>
    <w:rsid w:val="00E46525"/>
    <w:rsid w:val="00E468EE"/>
    <w:rsid w:val="00E46A59"/>
    <w:rsid w:val="00E50BDB"/>
    <w:rsid w:val="00E50D06"/>
    <w:rsid w:val="00E5137E"/>
    <w:rsid w:val="00E52477"/>
    <w:rsid w:val="00E52E25"/>
    <w:rsid w:val="00E60534"/>
    <w:rsid w:val="00E6223E"/>
    <w:rsid w:val="00E634D7"/>
    <w:rsid w:val="00E65D19"/>
    <w:rsid w:val="00E720AB"/>
    <w:rsid w:val="00E74ED1"/>
    <w:rsid w:val="00E759CC"/>
    <w:rsid w:val="00E760EF"/>
    <w:rsid w:val="00E769A6"/>
    <w:rsid w:val="00E76B42"/>
    <w:rsid w:val="00E80AE0"/>
    <w:rsid w:val="00E811C0"/>
    <w:rsid w:val="00E82128"/>
    <w:rsid w:val="00E856B2"/>
    <w:rsid w:val="00E85894"/>
    <w:rsid w:val="00E87E6B"/>
    <w:rsid w:val="00E9040E"/>
    <w:rsid w:val="00E93961"/>
    <w:rsid w:val="00E94AB2"/>
    <w:rsid w:val="00E95467"/>
    <w:rsid w:val="00E95C7D"/>
    <w:rsid w:val="00EA053E"/>
    <w:rsid w:val="00EA32E1"/>
    <w:rsid w:val="00EA4D35"/>
    <w:rsid w:val="00EA5085"/>
    <w:rsid w:val="00EB1094"/>
    <w:rsid w:val="00EB1CF5"/>
    <w:rsid w:val="00EB4254"/>
    <w:rsid w:val="00EB4478"/>
    <w:rsid w:val="00EB4BC0"/>
    <w:rsid w:val="00EB5089"/>
    <w:rsid w:val="00EB7D0E"/>
    <w:rsid w:val="00EC63AC"/>
    <w:rsid w:val="00EC6B87"/>
    <w:rsid w:val="00EC7279"/>
    <w:rsid w:val="00ED0908"/>
    <w:rsid w:val="00ED173C"/>
    <w:rsid w:val="00ED1AE8"/>
    <w:rsid w:val="00ED3675"/>
    <w:rsid w:val="00ED3DE7"/>
    <w:rsid w:val="00ED4F79"/>
    <w:rsid w:val="00ED5CA7"/>
    <w:rsid w:val="00ED5EF6"/>
    <w:rsid w:val="00ED7D07"/>
    <w:rsid w:val="00EE0714"/>
    <w:rsid w:val="00EE0E93"/>
    <w:rsid w:val="00EE45A6"/>
    <w:rsid w:val="00EE5134"/>
    <w:rsid w:val="00EE6756"/>
    <w:rsid w:val="00EF0509"/>
    <w:rsid w:val="00EF1794"/>
    <w:rsid w:val="00EF3B2C"/>
    <w:rsid w:val="00EF7B42"/>
    <w:rsid w:val="00EF7DCB"/>
    <w:rsid w:val="00F01273"/>
    <w:rsid w:val="00F02BC0"/>
    <w:rsid w:val="00F0565E"/>
    <w:rsid w:val="00F069AD"/>
    <w:rsid w:val="00F07697"/>
    <w:rsid w:val="00F078E3"/>
    <w:rsid w:val="00F10668"/>
    <w:rsid w:val="00F117CE"/>
    <w:rsid w:val="00F12CF2"/>
    <w:rsid w:val="00F12EB4"/>
    <w:rsid w:val="00F14178"/>
    <w:rsid w:val="00F14542"/>
    <w:rsid w:val="00F15B12"/>
    <w:rsid w:val="00F15D65"/>
    <w:rsid w:val="00F17156"/>
    <w:rsid w:val="00F25225"/>
    <w:rsid w:val="00F25C19"/>
    <w:rsid w:val="00F25DD0"/>
    <w:rsid w:val="00F26D72"/>
    <w:rsid w:val="00F30B36"/>
    <w:rsid w:val="00F3165F"/>
    <w:rsid w:val="00F346A0"/>
    <w:rsid w:val="00F360CF"/>
    <w:rsid w:val="00F3659A"/>
    <w:rsid w:val="00F369D7"/>
    <w:rsid w:val="00F402A5"/>
    <w:rsid w:val="00F42017"/>
    <w:rsid w:val="00F42E06"/>
    <w:rsid w:val="00F43A3C"/>
    <w:rsid w:val="00F4489D"/>
    <w:rsid w:val="00F4709B"/>
    <w:rsid w:val="00F51E07"/>
    <w:rsid w:val="00F54D65"/>
    <w:rsid w:val="00F570F9"/>
    <w:rsid w:val="00F57678"/>
    <w:rsid w:val="00F578C9"/>
    <w:rsid w:val="00F61322"/>
    <w:rsid w:val="00F61500"/>
    <w:rsid w:val="00F61D98"/>
    <w:rsid w:val="00F6323B"/>
    <w:rsid w:val="00F64601"/>
    <w:rsid w:val="00F656E6"/>
    <w:rsid w:val="00F707EC"/>
    <w:rsid w:val="00F72A82"/>
    <w:rsid w:val="00F72EED"/>
    <w:rsid w:val="00F730CB"/>
    <w:rsid w:val="00F747C7"/>
    <w:rsid w:val="00F7562E"/>
    <w:rsid w:val="00F773EE"/>
    <w:rsid w:val="00F80A12"/>
    <w:rsid w:val="00F80D8E"/>
    <w:rsid w:val="00F812AE"/>
    <w:rsid w:val="00F81558"/>
    <w:rsid w:val="00F81FDD"/>
    <w:rsid w:val="00F83832"/>
    <w:rsid w:val="00F84097"/>
    <w:rsid w:val="00F853CA"/>
    <w:rsid w:val="00F85467"/>
    <w:rsid w:val="00F8694D"/>
    <w:rsid w:val="00F906A0"/>
    <w:rsid w:val="00F95264"/>
    <w:rsid w:val="00F95EE9"/>
    <w:rsid w:val="00FA068A"/>
    <w:rsid w:val="00FA177C"/>
    <w:rsid w:val="00FA2E53"/>
    <w:rsid w:val="00FA5156"/>
    <w:rsid w:val="00FA6EFD"/>
    <w:rsid w:val="00FA7913"/>
    <w:rsid w:val="00FB0956"/>
    <w:rsid w:val="00FB291A"/>
    <w:rsid w:val="00FB3328"/>
    <w:rsid w:val="00FB7645"/>
    <w:rsid w:val="00FB7796"/>
    <w:rsid w:val="00FB7E87"/>
    <w:rsid w:val="00FC2746"/>
    <w:rsid w:val="00FC2995"/>
    <w:rsid w:val="00FC2BBB"/>
    <w:rsid w:val="00FC3425"/>
    <w:rsid w:val="00FC4E6C"/>
    <w:rsid w:val="00FC5175"/>
    <w:rsid w:val="00FD0248"/>
    <w:rsid w:val="00FD1432"/>
    <w:rsid w:val="00FD2DE7"/>
    <w:rsid w:val="00FD4BBA"/>
    <w:rsid w:val="00FD4F7C"/>
    <w:rsid w:val="00FD62C7"/>
    <w:rsid w:val="00FD76A2"/>
    <w:rsid w:val="00FE00B3"/>
    <w:rsid w:val="00FE0C2F"/>
    <w:rsid w:val="00FE0E08"/>
    <w:rsid w:val="00FE1E8A"/>
    <w:rsid w:val="00FF01B6"/>
    <w:rsid w:val="00FF0F36"/>
    <w:rsid w:val="00FF1F29"/>
    <w:rsid w:val="00FF4DFC"/>
    <w:rsid w:val="00FF52AF"/>
    <w:rsid w:val="00FF5B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0705"/>
    <o:shapelayout v:ext="edit">
      <o:idmap v:ext="edit" data="1"/>
    </o:shapelayout>
  </w:shapeDefaults>
  <w:decimalSymbol w:val="."/>
  <w:listSeparator w:val=","/>
  <w14:docId w14:val="5F4D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iPriority="99"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F4C"/>
    <w:pPr>
      <w:spacing w:after="120" w:line="276" w:lineRule="auto"/>
    </w:pPr>
    <w:rPr>
      <w:rFonts w:asciiTheme="minorHAnsi" w:eastAsiaTheme="minorHAnsi" w:hAnsiTheme="minorHAnsi" w:cstheme="minorBidi"/>
      <w:sz w:val="22"/>
      <w:szCs w:val="22"/>
      <w:lang w:eastAsia="en-US"/>
    </w:rPr>
  </w:style>
  <w:style w:type="paragraph" w:styleId="Heading1">
    <w:name w:val="heading 1"/>
    <w:basedOn w:val="ListContinue"/>
    <w:next w:val="Normal"/>
    <w:link w:val="Heading1Char"/>
    <w:autoRedefine/>
    <w:uiPriority w:val="9"/>
    <w:qFormat/>
    <w:rsid w:val="006116C2"/>
    <w:pPr>
      <w:pageBreakBefore/>
      <w:numPr>
        <w:numId w:val="10"/>
      </w:numPr>
      <w:suppressAutoHyphens/>
      <w:spacing w:after="240"/>
      <w:contextualSpacing w:val="0"/>
      <w:outlineLvl w:val="0"/>
    </w:pPr>
    <w:rPr>
      <w:rFonts w:eastAsiaTheme="majorEastAsia" w:cstheme="majorBidi"/>
      <w:b/>
      <w:bCs/>
      <w:color w:val="007D79"/>
      <w:sz w:val="44"/>
      <w:szCs w:val="44"/>
    </w:rPr>
  </w:style>
  <w:style w:type="paragraph" w:styleId="Heading2">
    <w:name w:val="heading 2"/>
    <w:basedOn w:val="ListParagraph"/>
    <w:next w:val="Normal"/>
    <w:link w:val="Heading2Char"/>
    <w:uiPriority w:val="9"/>
    <w:unhideWhenUsed/>
    <w:qFormat/>
    <w:rsid w:val="006116C2"/>
    <w:pPr>
      <w:numPr>
        <w:ilvl w:val="1"/>
        <w:numId w:val="10"/>
      </w:numPr>
      <w:suppressAutoHyphens/>
      <w:spacing w:before="200" w:after="200" w:line="276" w:lineRule="auto"/>
      <w:contextualSpacing w:val="0"/>
      <w:outlineLvl w:val="1"/>
    </w:pPr>
    <w:rPr>
      <w:rFonts w:eastAsiaTheme="majorEastAsia" w:cstheme="majorBidi"/>
      <w:b/>
      <w:bCs/>
      <w:color w:val="00797D"/>
    </w:rPr>
  </w:style>
  <w:style w:type="paragraph" w:styleId="Heading3">
    <w:name w:val="heading 3"/>
    <w:basedOn w:val="Normal"/>
    <w:next w:val="Normal"/>
    <w:link w:val="Heading3Char"/>
    <w:uiPriority w:val="9"/>
    <w:unhideWhenUsed/>
    <w:qFormat/>
    <w:rsid w:val="00BE54B1"/>
    <w:pPr>
      <w:spacing w:before="100" w:beforeAutospacing="1" w:after="0"/>
      <w:jc w:val="both"/>
      <w:outlineLvl w:val="2"/>
    </w:pPr>
    <w:rPr>
      <w:b/>
    </w:rPr>
  </w:style>
  <w:style w:type="paragraph" w:styleId="Heading4">
    <w:name w:val="heading 4"/>
    <w:basedOn w:val="Normal"/>
    <w:next w:val="Normal"/>
    <w:link w:val="Heading4Char"/>
    <w:uiPriority w:val="9"/>
    <w:unhideWhenUsed/>
    <w:qFormat/>
    <w:rsid w:val="00DA1463"/>
    <w:pPr>
      <w:keepNext/>
      <w:keepLines/>
      <w:numPr>
        <w:ilvl w:val="3"/>
        <w:numId w:val="2"/>
      </w:numPr>
      <w:spacing w:before="200"/>
      <w:outlineLvl w:val="3"/>
    </w:pPr>
    <w:rPr>
      <w:rFonts w:eastAsiaTheme="majorEastAsia" w:cstheme="majorBidi"/>
      <w:b/>
      <w:bCs/>
      <w:iCs/>
      <w:color w:val="007D79"/>
      <w:sz w:val="24"/>
    </w:rPr>
  </w:style>
  <w:style w:type="paragraph" w:styleId="Heading5">
    <w:name w:val="heading 5"/>
    <w:basedOn w:val="Normal"/>
    <w:next w:val="Normal"/>
    <w:link w:val="Heading5Char"/>
    <w:uiPriority w:val="9"/>
    <w:unhideWhenUsed/>
    <w:qFormat/>
    <w:rsid w:val="00DA146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46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A146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ppendix"/>
    <w:basedOn w:val="Normal"/>
    <w:next w:val="Normal"/>
    <w:link w:val="Heading8Char"/>
    <w:uiPriority w:val="9"/>
    <w:unhideWhenUsed/>
    <w:qFormat/>
    <w:rsid w:val="00DA1463"/>
    <w:pPr>
      <w:keepNext/>
      <w:keepLines/>
      <w:pageBreakBefore/>
      <w:numPr>
        <w:numId w:val="8"/>
      </w:numPr>
      <w:pBdr>
        <w:bottom w:val="single" w:sz="4" w:space="1" w:color="auto"/>
      </w:pBdr>
      <w:tabs>
        <w:tab w:val="left" w:pos="2552"/>
      </w:tabs>
      <w:spacing w:before="200" w:after="0"/>
      <w:ind w:left="2552" w:hanging="2552"/>
      <w:outlineLvl w:val="7"/>
    </w:pPr>
    <w:rPr>
      <w:rFonts w:eastAsiaTheme="minorEastAsia" w:cstheme="majorBidi"/>
      <w:b/>
      <w:caps/>
      <w:color w:val="007D79"/>
      <w:sz w:val="44"/>
      <w:szCs w:val="56"/>
    </w:rPr>
  </w:style>
  <w:style w:type="paragraph" w:styleId="Heading9">
    <w:name w:val="heading 9"/>
    <w:basedOn w:val="Normal"/>
    <w:next w:val="Normal"/>
    <w:link w:val="Heading9Char"/>
    <w:uiPriority w:val="9"/>
    <w:unhideWhenUsed/>
    <w:qFormat/>
    <w:rsid w:val="00DA146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A1463"/>
    <w:rPr>
      <w:sz w:val="24"/>
      <w:szCs w:val="24"/>
    </w:rPr>
  </w:style>
  <w:style w:type="paragraph" w:styleId="BalloonText">
    <w:name w:val="Balloon Text"/>
    <w:basedOn w:val="Normal"/>
    <w:link w:val="BalloonTextChar"/>
    <w:uiPriority w:val="99"/>
    <w:rsid w:val="00DA1463"/>
    <w:rPr>
      <w:rFonts w:ascii="Tahoma" w:hAnsi="Tahoma" w:cs="Tahoma"/>
      <w:sz w:val="16"/>
      <w:szCs w:val="16"/>
    </w:rPr>
  </w:style>
  <w:style w:type="character" w:customStyle="1" w:styleId="BalloonTextChar">
    <w:name w:val="Balloon Text Char"/>
    <w:basedOn w:val="DefaultParagraphFont"/>
    <w:link w:val="BalloonText"/>
    <w:uiPriority w:val="99"/>
    <w:rsid w:val="00DA1463"/>
    <w:rPr>
      <w:rFonts w:ascii="Tahoma" w:hAnsi="Tahoma" w:cs="Tahoma"/>
      <w:sz w:val="16"/>
      <w:szCs w:val="16"/>
    </w:rPr>
  </w:style>
  <w:style w:type="character" w:customStyle="1" w:styleId="Heading1Char">
    <w:name w:val="Heading 1 Char"/>
    <w:basedOn w:val="DefaultParagraphFont"/>
    <w:link w:val="Heading1"/>
    <w:uiPriority w:val="9"/>
    <w:rsid w:val="006116C2"/>
    <w:rPr>
      <w:rFonts w:asciiTheme="minorHAnsi" w:eastAsiaTheme="majorEastAsia" w:hAnsiTheme="minorHAnsi" w:cstheme="majorBidi"/>
      <w:b/>
      <w:bCs/>
      <w:color w:val="007D79"/>
      <w:sz w:val="44"/>
      <w:szCs w:val="44"/>
      <w:lang w:eastAsia="en-US"/>
    </w:rPr>
  </w:style>
  <w:style w:type="character" w:customStyle="1" w:styleId="Heading2Char">
    <w:name w:val="Heading 2 Char"/>
    <w:basedOn w:val="DefaultParagraphFont"/>
    <w:link w:val="Heading2"/>
    <w:uiPriority w:val="9"/>
    <w:rsid w:val="006116C2"/>
    <w:rPr>
      <w:rFonts w:asciiTheme="minorHAnsi" w:eastAsiaTheme="majorEastAsia" w:hAnsiTheme="minorHAnsi" w:cstheme="majorBidi"/>
      <w:b/>
      <w:bCs/>
      <w:color w:val="00797D"/>
      <w:sz w:val="22"/>
      <w:szCs w:val="22"/>
    </w:rPr>
  </w:style>
  <w:style w:type="character" w:customStyle="1" w:styleId="Heading3Char">
    <w:name w:val="Heading 3 Char"/>
    <w:basedOn w:val="DefaultParagraphFont"/>
    <w:link w:val="Heading3"/>
    <w:uiPriority w:val="9"/>
    <w:rsid w:val="00BE54B1"/>
    <w:rPr>
      <w:rFonts w:asciiTheme="minorHAnsi" w:eastAsiaTheme="minorHAnsi" w:hAnsiTheme="minorHAnsi" w:cstheme="minorBidi"/>
      <w:b/>
      <w:sz w:val="22"/>
      <w:szCs w:val="22"/>
      <w:lang w:eastAsia="en-US"/>
    </w:rPr>
  </w:style>
  <w:style w:type="character" w:customStyle="1" w:styleId="Heading4Char">
    <w:name w:val="Heading 4 Char"/>
    <w:basedOn w:val="DefaultParagraphFont"/>
    <w:link w:val="Heading4"/>
    <w:uiPriority w:val="9"/>
    <w:rsid w:val="00DA1463"/>
    <w:rPr>
      <w:rFonts w:asciiTheme="minorHAnsi" w:eastAsiaTheme="majorEastAsia" w:hAnsiTheme="minorHAnsi" w:cstheme="majorBidi"/>
      <w:b/>
      <w:bCs/>
      <w:iCs/>
      <w:color w:val="007D79"/>
      <w:sz w:val="24"/>
      <w:szCs w:val="22"/>
      <w:lang w:eastAsia="en-US"/>
    </w:rPr>
  </w:style>
  <w:style w:type="character" w:customStyle="1" w:styleId="Heading5Char">
    <w:name w:val="Heading 5 Char"/>
    <w:basedOn w:val="DefaultParagraphFont"/>
    <w:link w:val="Heading5"/>
    <w:uiPriority w:val="9"/>
    <w:rsid w:val="00DA1463"/>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DA1463"/>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rsid w:val="00DA146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aliases w:val="Appendix Char"/>
    <w:basedOn w:val="DefaultParagraphFont"/>
    <w:link w:val="Heading8"/>
    <w:uiPriority w:val="9"/>
    <w:rsid w:val="00DA1463"/>
    <w:rPr>
      <w:rFonts w:asciiTheme="minorHAnsi" w:eastAsiaTheme="minorEastAsia" w:hAnsiTheme="minorHAnsi" w:cstheme="majorBidi"/>
      <w:b/>
      <w:caps/>
      <w:color w:val="007D79"/>
      <w:sz w:val="44"/>
      <w:szCs w:val="56"/>
      <w:lang w:eastAsia="en-US"/>
    </w:rPr>
  </w:style>
  <w:style w:type="character" w:customStyle="1" w:styleId="Heading9Char">
    <w:name w:val="Heading 9 Char"/>
    <w:basedOn w:val="DefaultParagraphFont"/>
    <w:link w:val="Heading9"/>
    <w:uiPriority w:val="9"/>
    <w:rsid w:val="00DA1463"/>
    <w:rPr>
      <w:rFonts w:asciiTheme="majorHAnsi" w:eastAsiaTheme="majorEastAsia" w:hAnsiTheme="majorHAnsi" w:cstheme="majorBidi"/>
      <w:i/>
      <w:iCs/>
      <w:color w:val="404040" w:themeColor="text1" w:themeTint="BF"/>
      <w:lang w:eastAsia="en-US"/>
    </w:rPr>
  </w:style>
  <w:style w:type="paragraph" w:styleId="ListParagraph">
    <w:name w:val="List Paragraph"/>
    <w:aliases w:val="Recommendation,List Paragraph1,List Paragraph11,L,Bullet Point,Bullet points,Content descriptions,Body Bullets 1,Bullet point,Main,CV text,Table text,F5 List Paragraph,Dot pt,List Paragraph111,Medium Grid 1 - Accent 21,Numbered Paragraph"/>
    <w:basedOn w:val="Normal"/>
    <w:link w:val="ListParagraphChar"/>
    <w:uiPriority w:val="34"/>
    <w:qFormat/>
    <w:rsid w:val="00DA1463"/>
    <w:pPr>
      <w:spacing w:line="288" w:lineRule="auto"/>
      <w:ind w:left="720"/>
      <w:contextualSpacing/>
    </w:pPr>
    <w:rPr>
      <w:rFonts w:eastAsia="Times New Roman" w:cstheme="minorHAnsi"/>
      <w:lang w:eastAsia="en-AU"/>
    </w:rPr>
  </w:style>
  <w:style w:type="character" w:customStyle="1" w:styleId="ListParagraphChar">
    <w:name w:val="List Paragraph Char"/>
    <w:aliases w:val="Recommendation Char,List Paragraph1 Char,List Paragraph11 Char,L Char,Bullet Point Char,Bullet points Char,Content descriptions Char,Body Bullets 1 Char,Bullet point Char,Main Char,CV text Char,Table text Char,F5 List Paragraph Char"/>
    <w:basedOn w:val="DefaultParagraphFont"/>
    <w:link w:val="ListParagraph"/>
    <w:uiPriority w:val="34"/>
    <w:qFormat/>
    <w:locked/>
    <w:rsid w:val="00DA1463"/>
    <w:rPr>
      <w:rFonts w:asciiTheme="minorHAnsi" w:hAnsiTheme="minorHAnsi" w:cstheme="minorHAnsi"/>
      <w:sz w:val="22"/>
      <w:szCs w:val="22"/>
    </w:rPr>
  </w:style>
  <w:style w:type="paragraph" w:customStyle="1" w:styleId="header2">
    <w:name w:val="header 2"/>
    <w:basedOn w:val="Normal"/>
    <w:rsid w:val="00DA1463"/>
    <w:pPr>
      <w:autoSpaceDE w:val="0"/>
      <w:autoSpaceDN w:val="0"/>
      <w:adjustRightInd w:val="0"/>
      <w:spacing w:line="288" w:lineRule="auto"/>
      <w:textAlignment w:val="center"/>
    </w:pPr>
    <w:rPr>
      <w:rFonts w:eastAsia="Times New Roman" w:cstheme="minorHAnsi"/>
      <w:caps/>
      <w:color w:val="000000"/>
      <w:sz w:val="36"/>
      <w:lang w:val="en-GB" w:eastAsia="en-AU"/>
    </w:rPr>
  </w:style>
  <w:style w:type="paragraph" w:styleId="Header">
    <w:name w:val="header"/>
    <w:basedOn w:val="Normal"/>
    <w:link w:val="HeaderChar"/>
    <w:uiPriority w:val="99"/>
    <w:unhideWhenUsed/>
    <w:rsid w:val="00DA1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463"/>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DA1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463"/>
    <w:rPr>
      <w:rFonts w:asciiTheme="minorHAnsi" w:eastAsiaTheme="minorHAnsi" w:hAnsiTheme="minorHAnsi" w:cstheme="minorBidi"/>
      <w:sz w:val="22"/>
      <w:szCs w:val="22"/>
      <w:lang w:eastAsia="en-US"/>
    </w:rPr>
  </w:style>
  <w:style w:type="paragraph" w:customStyle="1" w:styleId="bulletbullets">
    <w:name w:val="bullet (bullets)"/>
    <w:basedOn w:val="Normal"/>
    <w:link w:val="bulletbulletsCharChar"/>
    <w:rsid w:val="00DA1463"/>
    <w:pPr>
      <w:numPr>
        <w:numId w:val="1"/>
      </w:numPr>
      <w:suppressAutoHyphens/>
      <w:autoSpaceDE w:val="0"/>
      <w:autoSpaceDN w:val="0"/>
      <w:adjustRightInd w:val="0"/>
      <w:spacing w:line="288" w:lineRule="auto"/>
      <w:textAlignment w:val="center"/>
    </w:pPr>
    <w:rPr>
      <w:rFonts w:eastAsia="Times New Roman" w:cs="Myriad Pro Light"/>
      <w:color w:val="000000"/>
      <w:szCs w:val="20"/>
      <w:lang w:val="en-GB" w:eastAsia="en-AU"/>
    </w:rPr>
  </w:style>
  <w:style w:type="character" w:customStyle="1" w:styleId="bulletbulletsCharChar">
    <w:name w:val="bullet (bullets) Char Char"/>
    <w:basedOn w:val="DefaultParagraphFont"/>
    <w:link w:val="bulletbullets"/>
    <w:locked/>
    <w:rsid w:val="00DA1463"/>
    <w:rPr>
      <w:rFonts w:asciiTheme="minorHAnsi" w:hAnsiTheme="minorHAnsi" w:cs="Myriad Pro Light"/>
      <w:color w:val="000000"/>
      <w:sz w:val="22"/>
      <w:lang w:val="en-GB"/>
    </w:rPr>
  </w:style>
  <w:style w:type="character" w:customStyle="1" w:styleId="bold">
    <w:name w:val="bold"/>
    <w:rsid w:val="00DA1463"/>
    <w:rPr>
      <w:b/>
    </w:rPr>
  </w:style>
  <w:style w:type="paragraph" w:customStyle="1" w:styleId="Default">
    <w:name w:val="Default"/>
    <w:rsid w:val="00DA1463"/>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rsid w:val="001126C3"/>
    <w:rPr>
      <w:color w:val="0000FF" w:themeColor="hyperlink"/>
      <w:u w:val="single"/>
    </w:rPr>
  </w:style>
  <w:style w:type="paragraph" w:styleId="TOC1">
    <w:name w:val="toc 1"/>
    <w:basedOn w:val="Normal"/>
    <w:next w:val="Normal"/>
    <w:autoRedefine/>
    <w:uiPriority w:val="39"/>
    <w:unhideWhenUsed/>
    <w:qFormat/>
    <w:rsid w:val="00BE54B1"/>
    <w:pPr>
      <w:framePr w:h="5521" w:hRule="exact" w:wrap="around" w:vAnchor="text" w:hAnchor="page" w:x="1456" w:y="86"/>
      <w:tabs>
        <w:tab w:val="left" w:pos="567"/>
        <w:tab w:val="left" w:pos="9072"/>
      </w:tabs>
      <w:spacing w:after="100"/>
    </w:pPr>
    <w:rPr>
      <w:noProof/>
    </w:rPr>
  </w:style>
  <w:style w:type="paragraph" w:styleId="TOC2">
    <w:name w:val="toc 2"/>
    <w:basedOn w:val="Normal"/>
    <w:next w:val="Normal"/>
    <w:autoRedefine/>
    <w:uiPriority w:val="39"/>
    <w:unhideWhenUsed/>
    <w:qFormat/>
    <w:rsid w:val="00DA1463"/>
    <w:pPr>
      <w:tabs>
        <w:tab w:val="left" w:pos="880"/>
        <w:tab w:val="right" w:leader="dot" w:pos="9016"/>
      </w:tabs>
      <w:spacing w:after="100"/>
      <w:ind w:left="221"/>
      <w:outlineLvl w:val="7"/>
    </w:pPr>
  </w:style>
  <w:style w:type="character" w:styleId="FollowedHyperlink">
    <w:name w:val="FollowedHyperlink"/>
    <w:basedOn w:val="DefaultParagraphFont"/>
    <w:uiPriority w:val="99"/>
    <w:unhideWhenUsed/>
    <w:rsid w:val="00DA1463"/>
    <w:rPr>
      <w:color w:val="800080" w:themeColor="followedHyperlink"/>
      <w:u w:val="single"/>
    </w:rPr>
  </w:style>
  <w:style w:type="character" w:styleId="CommentReference">
    <w:name w:val="annotation reference"/>
    <w:basedOn w:val="DefaultParagraphFont"/>
    <w:unhideWhenUsed/>
    <w:rsid w:val="00DA1463"/>
    <w:rPr>
      <w:sz w:val="16"/>
      <w:szCs w:val="16"/>
    </w:rPr>
  </w:style>
  <w:style w:type="paragraph" w:styleId="CommentText">
    <w:name w:val="annotation text"/>
    <w:basedOn w:val="Normal"/>
    <w:link w:val="CommentTextChar"/>
    <w:unhideWhenUsed/>
    <w:rsid w:val="00DA1463"/>
    <w:pPr>
      <w:spacing w:line="240" w:lineRule="auto"/>
    </w:pPr>
    <w:rPr>
      <w:sz w:val="20"/>
      <w:szCs w:val="20"/>
    </w:rPr>
  </w:style>
  <w:style w:type="character" w:customStyle="1" w:styleId="CommentTextChar">
    <w:name w:val="Comment Text Char"/>
    <w:basedOn w:val="DefaultParagraphFont"/>
    <w:link w:val="CommentText"/>
    <w:rsid w:val="00DA1463"/>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unhideWhenUsed/>
    <w:rsid w:val="00DA1463"/>
    <w:rPr>
      <w:b/>
      <w:bCs/>
    </w:rPr>
  </w:style>
  <w:style w:type="character" w:customStyle="1" w:styleId="CommentSubjectChar">
    <w:name w:val="Comment Subject Char"/>
    <w:basedOn w:val="CommentTextChar"/>
    <w:link w:val="CommentSubject"/>
    <w:uiPriority w:val="99"/>
    <w:rsid w:val="00DA1463"/>
    <w:rPr>
      <w:rFonts w:asciiTheme="minorHAnsi" w:eastAsiaTheme="minorHAnsi" w:hAnsiTheme="minorHAnsi" w:cstheme="minorBidi"/>
      <w:b/>
      <w:bCs/>
      <w:lang w:eastAsia="en-US"/>
    </w:rPr>
  </w:style>
  <w:style w:type="paragraph" w:customStyle="1" w:styleId="Bullets">
    <w:name w:val="Bullets"/>
    <w:basedOn w:val="ListParagraph"/>
    <w:link w:val="BulletsChar"/>
    <w:qFormat/>
    <w:rsid w:val="00DA1463"/>
    <w:pPr>
      <w:numPr>
        <w:numId w:val="3"/>
      </w:numPr>
      <w:spacing w:before="60" w:after="80" w:line="264" w:lineRule="auto"/>
    </w:pPr>
  </w:style>
  <w:style w:type="character" w:customStyle="1" w:styleId="BulletsChar">
    <w:name w:val="Bullets Char"/>
    <w:basedOn w:val="ListParagraphChar"/>
    <w:link w:val="Bullets"/>
    <w:rsid w:val="00DA1463"/>
    <w:rPr>
      <w:rFonts w:asciiTheme="minorHAnsi" w:hAnsiTheme="minorHAnsi" w:cstheme="minorHAnsi"/>
      <w:sz w:val="22"/>
      <w:szCs w:val="22"/>
    </w:rPr>
  </w:style>
  <w:style w:type="paragraph" w:customStyle="1" w:styleId="BodyIndent0">
    <w:name w:val="Body Indent 0"/>
    <w:link w:val="BodyIndent0Char"/>
    <w:uiPriority w:val="99"/>
    <w:rsid w:val="00DA1463"/>
    <w:pPr>
      <w:keepLines/>
      <w:suppressAutoHyphens/>
      <w:spacing w:after="120" w:line="288" w:lineRule="auto"/>
    </w:pPr>
    <w:rPr>
      <w:rFonts w:ascii="Trebuchet MS" w:hAnsi="Trebuchet MS"/>
      <w:sz w:val="22"/>
      <w:szCs w:val="24"/>
    </w:rPr>
  </w:style>
  <w:style w:type="character" w:customStyle="1" w:styleId="BodyIndent0Char">
    <w:name w:val="Body Indent 0 Char"/>
    <w:basedOn w:val="DefaultParagraphFont"/>
    <w:link w:val="BodyIndent0"/>
    <w:uiPriority w:val="99"/>
    <w:rsid w:val="00DA1463"/>
    <w:rPr>
      <w:rFonts w:ascii="Trebuchet MS" w:hAnsi="Trebuchet MS"/>
      <w:sz w:val="22"/>
      <w:szCs w:val="24"/>
    </w:rPr>
  </w:style>
  <w:style w:type="paragraph" w:customStyle="1" w:styleId="Normalwithbullets">
    <w:name w:val="Normal with bullets"/>
    <w:basedOn w:val="ListParagraph"/>
    <w:link w:val="NormalwithbulletsChar"/>
    <w:qFormat/>
    <w:rsid w:val="00DA1463"/>
    <w:pPr>
      <w:ind w:left="0"/>
    </w:pPr>
    <w:rPr>
      <w:szCs w:val="20"/>
      <w:lang w:eastAsia="en-US"/>
    </w:rPr>
  </w:style>
  <w:style w:type="character" w:customStyle="1" w:styleId="NormalwithbulletsChar">
    <w:name w:val="Normal with bullets Char"/>
    <w:basedOn w:val="DefaultParagraphFont"/>
    <w:link w:val="Normalwithbullets"/>
    <w:rsid w:val="00DA1463"/>
    <w:rPr>
      <w:rFonts w:asciiTheme="minorHAnsi" w:hAnsiTheme="minorHAnsi" w:cstheme="minorHAnsi"/>
      <w:sz w:val="22"/>
      <w:lang w:eastAsia="en-US"/>
    </w:rPr>
  </w:style>
  <w:style w:type="character" w:customStyle="1" w:styleId="CharacterItalic">
    <w:name w:val="Character + Italic"/>
    <w:basedOn w:val="DefaultParagraphFont"/>
    <w:rsid w:val="00DA1463"/>
    <w:rPr>
      <w:i/>
      <w:lang w:val="en-AU" w:eastAsia="en-AU"/>
    </w:rPr>
  </w:style>
  <w:style w:type="table" w:styleId="TableGrid">
    <w:name w:val="Table Grid"/>
    <w:basedOn w:val="TableNormal"/>
    <w:uiPriority w:val="59"/>
    <w:rsid w:val="00DA1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5">
    <w:name w:val="List Bullet 5"/>
    <w:basedOn w:val="Normal"/>
    <w:rsid w:val="00DA1463"/>
    <w:pPr>
      <w:tabs>
        <w:tab w:val="num" w:pos="1800"/>
      </w:tabs>
      <w:spacing w:after="60" w:line="288" w:lineRule="auto"/>
      <w:ind w:left="1800" w:hanging="360"/>
    </w:pPr>
    <w:rPr>
      <w:rFonts w:eastAsia="Times New Roman" w:cs="Times New Roman"/>
      <w:szCs w:val="20"/>
    </w:rPr>
  </w:style>
  <w:style w:type="paragraph" w:customStyle="1" w:styleId="NormalBold">
    <w:name w:val="Normal Bold"/>
    <w:basedOn w:val="Heading4"/>
    <w:link w:val="NormalBoldChar"/>
    <w:qFormat/>
    <w:rsid w:val="00DA1463"/>
    <w:pPr>
      <w:spacing w:before="120" w:line="264" w:lineRule="auto"/>
    </w:pPr>
    <w:rPr>
      <w:rFonts w:ascii="Calibri" w:hAnsi="Calibri"/>
      <w:b w:val="0"/>
      <w:color w:val="004674"/>
      <w:szCs w:val="20"/>
    </w:rPr>
  </w:style>
  <w:style w:type="character" w:customStyle="1" w:styleId="NormalBoldChar">
    <w:name w:val="Normal Bold Char"/>
    <w:basedOn w:val="DefaultParagraphFont"/>
    <w:link w:val="NormalBold"/>
    <w:rsid w:val="00DA1463"/>
    <w:rPr>
      <w:rFonts w:ascii="Calibri" w:eastAsiaTheme="majorEastAsia" w:hAnsi="Calibri" w:cstheme="majorBidi"/>
      <w:bCs/>
      <w:iCs/>
      <w:color w:val="004674"/>
      <w:sz w:val="24"/>
      <w:lang w:eastAsia="en-US"/>
    </w:rPr>
  </w:style>
  <w:style w:type="paragraph" w:styleId="TOC3">
    <w:name w:val="toc 3"/>
    <w:basedOn w:val="Normal"/>
    <w:next w:val="Normal"/>
    <w:autoRedefine/>
    <w:uiPriority w:val="39"/>
    <w:unhideWhenUsed/>
    <w:qFormat/>
    <w:rsid w:val="00DA1463"/>
    <w:pPr>
      <w:tabs>
        <w:tab w:val="left" w:pos="1320"/>
        <w:tab w:val="right" w:leader="dot" w:pos="9016"/>
      </w:tabs>
      <w:spacing w:after="100"/>
      <w:ind w:left="426"/>
    </w:pPr>
  </w:style>
  <w:style w:type="paragraph" w:styleId="TOC4">
    <w:name w:val="toc 4"/>
    <w:basedOn w:val="Normal"/>
    <w:next w:val="Normal"/>
    <w:autoRedefine/>
    <w:uiPriority w:val="39"/>
    <w:unhideWhenUsed/>
    <w:rsid w:val="00DA1463"/>
    <w:pPr>
      <w:tabs>
        <w:tab w:val="left" w:pos="1966"/>
        <w:tab w:val="right" w:leader="dot" w:pos="9016"/>
      </w:tabs>
      <w:spacing w:after="100"/>
      <w:ind w:left="284"/>
    </w:pPr>
  </w:style>
  <w:style w:type="paragraph" w:customStyle="1" w:styleId="H4notTOC">
    <w:name w:val="H4 (not TOC)"/>
    <w:basedOn w:val="Normal"/>
    <w:next w:val="BodyIndent0"/>
    <w:link w:val="H4notTOCChar"/>
    <w:rsid w:val="00DA1463"/>
    <w:pPr>
      <w:keepNext/>
      <w:keepLines/>
      <w:tabs>
        <w:tab w:val="left" w:pos="964"/>
      </w:tabs>
      <w:suppressAutoHyphens/>
      <w:adjustRightInd w:val="0"/>
      <w:spacing w:before="360" w:after="240" w:line="288" w:lineRule="auto"/>
      <w:outlineLvl w:val="3"/>
    </w:pPr>
    <w:rPr>
      <w:rFonts w:eastAsia="Times New Roman" w:cstheme="minorHAnsi"/>
      <w:b/>
      <w:color w:val="006666"/>
      <w:sz w:val="26"/>
      <w:szCs w:val="32"/>
      <w:lang w:eastAsia="en-AU"/>
    </w:rPr>
  </w:style>
  <w:style w:type="character" w:customStyle="1" w:styleId="H4notTOCChar">
    <w:name w:val="H4 (not TOC) Char"/>
    <w:basedOn w:val="DefaultParagraphFont"/>
    <w:link w:val="H4notTOC"/>
    <w:locked/>
    <w:rsid w:val="00DA1463"/>
    <w:rPr>
      <w:rFonts w:asciiTheme="minorHAnsi" w:hAnsiTheme="minorHAnsi" w:cstheme="minorHAnsi"/>
      <w:b/>
      <w:color w:val="006666"/>
      <w:sz w:val="26"/>
      <w:szCs w:val="32"/>
    </w:rPr>
  </w:style>
  <w:style w:type="character" w:customStyle="1" w:styleId="JSAHEAD3Char">
    <w:name w:val="JSA HEAD3 Char"/>
    <w:basedOn w:val="DefaultParagraphFont"/>
    <w:link w:val="JSAHEAD3"/>
    <w:locked/>
    <w:rsid w:val="00DA1463"/>
    <w:rPr>
      <w:rFonts w:eastAsiaTheme="majorEastAsia" w:cstheme="minorHAnsi"/>
      <w:b/>
      <w:caps/>
      <w:color w:val="1E3D6B"/>
      <w:sz w:val="32"/>
      <w:szCs w:val="32"/>
      <w14:scene3d>
        <w14:camera w14:prst="orthographicFront"/>
        <w14:lightRig w14:rig="threePt" w14:dir="t">
          <w14:rot w14:lat="0" w14:lon="0" w14:rev="0"/>
        </w14:lightRig>
      </w14:scene3d>
    </w:rPr>
  </w:style>
  <w:style w:type="paragraph" w:customStyle="1" w:styleId="JSAHEAD3">
    <w:name w:val="JSA HEAD3"/>
    <w:basedOn w:val="Heading2"/>
    <w:link w:val="JSAHEAD3Char"/>
    <w:qFormat/>
    <w:rsid w:val="00DA1463"/>
    <w:pPr>
      <w:spacing w:before="360" w:after="240"/>
      <w:ind w:left="1418" w:hanging="1418"/>
    </w:pPr>
    <w:rPr>
      <w:rFonts w:ascii="Times New Roman" w:hAnsi="Times New Roman" w:cstheme="minorHAnsi"/>
      <w:bCs w:val="0"/>
      <w:caps/>
      <w:color w:val="1E3D6B"/>
      <w:sz w:val="32"/>
      <w:szCs w:val="32"/>
      <w14:scene3d>
        <w14:camera w14:prst="orthographicFront"/>
        <w14:lightRig w14:rig="threePt" w14:dir="t">
          <w14:rot w14:lat="0" w14:lon="0" w14:rev="0"/>
        </w14:lightRig>
      </w14:scene3d>
    </w:rPr>
  </w:style>
  <w:style w:type="paragraph" w:customStyle="1" w:styleId="Heading4JSA">
    <w:name w:val="Heading 4 JSA"/>
    <w:basedOn w:val="ListParagraph"/>
    <w:qFormat/>
    <w:rsid w:val="00DA1463"/>
    <w:pPr>
      <w:tabs>
        <w:tab w:val="num" w:pos="360"/>
      </w:tabs>
    </w:pPr>
    <w:rPr>
      <w:color w:val="006666"/>
      <w:sz w:val="28"/>
    </w:rPr>
  </w:style>
  <w:style w:type="character" w:customStyle="1" w:styleId="italic">
    <w:name w:val="italic"/>
    <w:basedOn w:val="DefaultParagraphFont"/>
    <w:rsid w:val="00DA1463"/>
    <w:rPr>
      <w:rFonts w:ascii="Times New Roman" w:hAnsi="Times New Roman" w:cs="Times New Roman" w:hint="default"/>
      <w:i/>
      <w:iCs/>
    </w:rPr>
  </w:style>
  <w:style w:type="paragraph" w:styleId="TOC5">
    <w:name w:val="toc 5"/>
    <w:basedOn w:val="Normal"/>
    <w:next w:val="Normal"/>
    <w:autoRedefine/>
    <w:uiPriority w:val="39"/>
    <w:unhideWhenUsed/>
    <w:rsid w:val="00DA1463"/>
    <w:pPr>
      <w:spacing w:after="100"/>
      <w:ind w:left="880"/>
    </w:pPr>
    <w:rPr>
      <w:rFonts w:eastAsiaTheme="minorEastAsia"/>
      <w:lang w:eastAsia="en-AU"/>
    </w:rPr>
  </w:style>
  <w:style w:type="paragraph" w:styleId="TOC6">
    <w:name w:val="toc 6"/>
    <w:basedOn w:val="Normal"/>
    <w:next w:val="Normal"/>
    <w:autoRedefine/>
    <w:uiPriority w:val="39"/>
    <w:unhideWhenUsed/>
    <w:rsid w:val="00DA1463"/>
    <w:pPr>
      <w:spacing w:after="100"/>
      <w:ind w:left="1100"/>
    </w:pPr>
    <w:rPr>
      <w:rFonts w:eastAsiaTheme="minorEastAsia"/>
      <w:lang w:eastAsia="en-AU"/>
    </w:rPr>
  </w:style>
  <w:style w:type="paragraph" w:styleId="TOC7">
    <w:name w:val="toc 7"/>
    <w:basedOn w:val="Normal"/>
    <w:next w:val="Normal"/>
    <w:autoRedefine/>
    <w:uiPriority w:val="39"/>
    <w:unhideWhenUsed/>
    <w:rsid w:val="00DA1463"/>
    <w:pPr>
      <w:spacing w:after="100"/>
      <w:ind w:left="1320"/>
    </w:pPr>
    <w:rPr>
      <w:rFonts w:eastAsiaTheme="minorEastAsia"/>
      <w:lang w:eastAsia="en-AU"/>
    </w:rPr>
  </w:style>
  <w:style w:type="paragraph" w:styleId="TOC8">
    <w:name w:val="toc 8"/>
    <w:basedOn w:val="Normal"/>
    <w:next w:val="Normal"/>
    <w:autoRedefine/>
    <w:uiPriority w:val="39"/>
    <w:unhideWhenUsed/>
    <w:rsid w:val="00DA1463"/>
    <w:pPr>
      <w:spacing w:after="100"/>
    </w:pPr>
    <w:rPr>
      <w:rFonts w:eastAsiaTheme="minorEastAsia"/>
      <w:lang w:eastAsia="en-AU"/>
    </w:rPr>
  </w:style>
  <w:style w:type="paragraph" w:styleId="TOC9">
    <w:name w:val="toc 9"/>
    <w:basedOn w:val="Normal"/>
    <w:next w:val="Normal"/>
    <w:autoRedefine/>
    <w:uiPriority w:val="39"/>
    <w:unhideWhenUsed/>
    <w:rsid w:val="00DA1463"/>
    <w:pPr>
      <w:spacing w:after="100"/>
      <w:ind w:left="1760"/>
    </w:pPr>
    <w:rPr>
      <w:rFonts w:eastAsiaTheme="minorEastAsia"/>
      <w:lang w:eastAsia="en-AU"/>
    </w:rPr>
  </w:style>
  <w:style w:type="paragraph" w:customStyle="1" w:styleId="dotpoints">
    <w:name w:val="dot points"/>
    <w:basedOn w:val="ListParagraph"/>
    <w:link w:val="dotpointsChar"/>
    <w:qFormat/>
    <w:rsid w:val="00DA1463"/>
    <w:pPr>
      <w:numPr>
        <w:numId w:val="4"/>
      </w:numPr>
      <w:spacing w:before="120"/>
    </w:pPr>
  </w:style>
  <w:style w:type="character" w:customStyle="1" w:styleId="dotpointsChar">
    <w:name w:val="dot points Char"/>
    <w:basedOn w:val="ListParagraphChar"/>
    <w:link w:val="dotpoints"/>
    <w:rsid w:val="00DA1463"/>
    <w:rPr>
      <w:rFonts w:asciiTheme="minorHAnsi" w:hAnsiTheme="minorHAnsi" w:cstheme="minorHAnsi"/>
      <w:sz w:val="22"/>
      <w:szCs w:val="22"/>
    </w:rPr>
  </w:style>
  <w:style w:type="paragraph" w:customStyle="1" w:styleId="chapterpageH2headings">
    <w:name w:val="chapter page H2 (headings)"/>
    <w:basedOn w:val="Normal"/>
    <w:rsid w:val="00DA1463"/>
    <w:pPr>
      <w:numPr>
        <w:numId w:val="5"/>
      </w:numPr>
      <w:suppressAutoHyphens/>
      <w:autoSpaceDE w:val="0"/>
      <w:autoSpaceDN w:val="0"/>
      <w:adjustRightInd w:val="0"/>
      <w:spacing w:line="520" w:lineRule="atLeast"/>
      <w:ind w:left="0" w:firstLine="0"/>
      <w:textAlignment w:val="center"/>
    </w:pPr>
    <w:rPr>
      <w:rFonts w:eastAsia="Times New Roman" w:cs="StoneSans LT"/>
      <w:caps/>
      <w:color w:val="000000"/>
      <w:sz w:val="32"/>
      <w:szCs w:val="32"/>
      <w:lang w:val="en-GB" w:eastAsia="en-AU"/>
    </w:rPr>
  </w:style>
  <w:style w:type="paragraph" w:styleId="BodyText">
    <w:name w:val="Body Text"/>
    <w:basedOn w:val="Normal"/>
    <w:link w:val="BodyTextChar"/>
    <w:rsid w:val="00973FA9"/>
    <w:pPr>
      <w:keepNext/>
      <w:keepLines/>
      <w:spacing w:before="200"/>
    </w:pPr>
  </w:style>
  <w:style w:type="character" w:customStyle="1" w:styleId="BodyTextChar">
    <w:name w:val="Body Text Char"/>
    <w:basedOn w:val="DefaultParagraphFont"/>
    <w:link w:val="BodyText"/>
    <w:rsid w:val="00973FA9"/>
    <w:rPr>
      <w:rFonts w:asciiTheme="minorHAnsi" w:eastAsiaTheme="minorHAnsi" w:hAnsiTheme="minorHAnsi" w:cstheme="minorBidi"/>
      <w:sz w:val="22"/>
      <w:szCs w:val="22"/>
      <w:lang w:eastAsia="en-US"/>
    </w:rPr>
  </w:style>
  <w:style w:type="paragraph" w:customStyle="1" w:styleId="ListBullet1Indent0">
    <w:name w:val="List Bullet 1 Indent 0"/>
    <w:basedOn w:val="bulletbullets"/>
    <w:uiPriority w:val="99"/>
    <w:rsid w:val="00DA1463"/>
    <w:rPr>
      <w:rFonts w:cstheme="minorHAnsi"/>
      <w:color w:val="auto"/>
    </w:rPr>
  </w:style>
  <w:style w:type="paragraph" w:customStyle="1" w:styleId="chapterpageH1headings">
    <w:name w:val="chapter page H1 (headings)"/>
    <w:basedOn w:val="Normal"/>
    <w:link w:val="chapterpageH1headingsChar"/>
    <w:rsid w:val="00DA1463"/>
    <w:pPr>
      <w:keepLines/>
      <w:tabs>
        <w:tab w:val="left" w:pos="3828"/>
      </w:tabs>
      <w:suppressAutoHyphens/>
      <w:spacing w:before="120" w:after="240" w:line="288" w:lineRule="auto"/>
      <w:ind w:left="3828" w:hanging="3828"/>
      <w:outlineLvl w:val="0"/>
    </w:pPr>
    <w:rPr>
      <w:rFonts w:eastAsia="Times New Roman" w:cstheme="minorHAnsi"/>
      <w:b/>
      <w:caps/>
      <w:color w:val="006666"/>
      <w:sz w:val="64"/>
      <w:szCs w:val="64"/>
    </w:rPr>
  </w:style>
  <w:style w:type="character" w:customStyle="1" w:styleId="chapterpageH1headingsChar">
    <w:name w:val="chapter page H1 (headings) Char"/>
    <w:basedOn w:val="DefaultParagraphFont"/>
    <w:link w:val="chapterpageH1headings"/>
    <w:rsid w:val="00DA1463"/>
    <w:rPr>
      <w:rFonts w:asciiTheme="minorHAnsi" w:hAnsiTheme="minorHAnsi" w:cstheme="minorHAnsi"/>
      <w:b/>
      <w:caps/>
      <w:color w:val="006666"/>
      <w:sz w:val="64"/>
      <w:szCs w:val="64"/>
      <w:lang w:eastAsia="en-US"/>
    </w:rPr>
  </w:style>
  <w:style w:type="paragraph" w:customStyle="1" w:styleId="bullet2nd">
    <w:name w:val="bullet 2nd"/>
    <w:basedOn w:val="Normal"/>
    <w:rsid w:val="00DA1463"/>
    <w:pPr>
      <w:numPr>
        <w:numId w:val="6"/>
      </w:numPr>
      <w:spacing w:line="288" w:lineRule="auto"/>
    </w:pPr>
    <w:rPr>
      <w:rFonts w:eastAsia="Times New Roman" w:cstheme="minorHAnsi"/>
      <w:color w:val="000000"/>
      <w:lang w:val="en-GB" w:eastAsia="en-AU"/>
    </w:rPr>
  </w:style>
  <w:style w:type="paragraph" w:styleId="FootnoteText">
    <w:name w:val="footnote text"/>
    <w:basedOn w:val="Normal"/>
    <w:link w:val="FootnoteTextChar"/>
    <w:uiPriority w:val="99"/>
    <w:unhideWhenUsed/>
    <w:rsid w:val="00DA1463"/>
    <w:pPr>
      <w:spacing w:after="0" w:line="240" w:lineRule="auto"/>
    </w:pPr>
    <w:rPr>
      <w:sz w:val="20"/>
      <w:szCs w:val="20"/>
    </w:rPr>
  </w:style>
  <w:style w:type="character" w:customStyle="1" w:styleId="FootnoteTextChar">
    <w:name w:val="Footnote Text Char"/>
    <w:basedOn w:val="DefaultParagraphFont"/>
    <w:link w:val="FootnoteText"/>
    <w:uiPriority w:val="99"/>
    <w:rsid w:val="00DA1463"/>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DA1463"/>
    <w:rPr>
      <w:vertAlign w:val="superscript"/>
    </w:rPr>
  </w:style>
  <w:style w:type="paragraph" w:styleId="ListBullet">
    <w:name w:val="List Bullet"/>
    <w:basedOn w:val="Normal"/>
    <w:uiPriority w:val="99"/>
    <w:unhideWhenUsed/>
    <w:rsid w:val="00DA1463"/>
    <w:pPr>
      <w:numPr>
        <w:numId w:val="7"/>
      </w:numPr>
      <w:contextualSpacing/>
    </w:pPr>
  </w:style>
  <w:style w:type="paragraph" w:styleId="NormalWeb">
    <w:name w:val="Normal (Web)"/>
    <w:basedOn w:val="Normal"/>
    <w:uiPriority w:val="99"/>
    <w:unhideWhenUsed/>
    <w:rsid w:val="00DA1463"/>
    <w:pPr>
      <w:spacing w:before="240" w:after="240" w:line="240" w:lineRule="auto"/>
    </w:pPr>
    <w:rPr>
      <w:rFonts w:ascii="Times New Roman" w:eastAsia="Times New Roman" w:hAnsi="Times New Roman" w:cs="Times New Roman"/>
      <w:sz w:val="24"/>
      <w:szCs w:val="24"/>
      <w:lang w:eastAsia="en-AU"/>
    </w:rPr>
  </w:style>
  <w:style w:type="character" w:customStyle="1" w:styleId="visuallyhidden">
    <w:name w:val="visuallyhidden"/>
    <w:basedOn w:val="DefaultParagraphFont"/>
    <w:rsid w:val="00DA1463"/>
  </w:style>
  <w:style w:type="character" w:styleId="Emphasis">
    <w:name w:val="Emphasis"/>
    <w:basedOn w:val="DefaultParagraphFont"/>
    <w:uiPriority w:val="20"/>
    <w:qFormat/>
    <w:rsid w:val="00DA1463"/>
    <w:rPr>
      <w:i/>
      <w:iCs/>
    </w:rPr>
  </w:style>
  <w:style w:type="paragraph" w:customStyle="1" w:styleId="QTBHeading">
    <w:name w:val="QTBHeading"/>
    <w:basedOn w:val="Normal"/>
    <w:uiPriority w:val="99"/>
    <w:rsid w:val="00DA1463"/>
    <w:pPr>
      <w:spacing w:after="240" w:line="240" w:lineRule="auto"/>
    </w:pPr>
    <w:rPr>
      <w:rFonts w:ascii="Garamond" w:hAnsi="Garamond" w:cs="Times New Roman"/>
      <w:b/>
      <w:bCs/>
      <w:caps/>
      <w:sz w:val="28"/>
      <w:szCs w:val="28"/>
      <w:lang w:eastAsia="en-AU"/>
    </w:rPr>
  </w:style>
  <w:style w:type="table" w:customStyle="1" w:styleId="TableGrid4">
    <w:name w:val="Table Grid4"/>
    <w:basedOn w:val="TableNormal"/>
    <w:next w:val="TableGrid"/>
    <w:rsid w:val="00DA1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A1463"/>
    <w:pPr>
      <w:spacing w:after="0" w:line="240" w:lineRule="auto"/>
    </w:pPr>
    <w:rPr>
      <w:sz w:val="20"/>
      <w:szCs w:val="20"/>
    </w:rPr>
  </w:style>
  <w:style w:type="character" w:customStyle="1" w:styleId="EndnoteTextChar">
    <w:name w:val="Endnote Text Char"/>
    <w:basedOn w:val="DefaultParagraphFont"/>
    <w:link w:val="EndnoteText"/>
    <w:uiPriority w:val="99"/>
    <w:rsid w:val="00DA1463"/>
    <w:rPr>
      <w:rFonts w:asciiTheme="minorHAnsi" w:eastAsiaTheme="minorHAnsi" w:hAnsiTheme="minorHAnsi" w:cstheme="minorBidi"/>
      <w:lang w:eastAsia="en-US"/>
    </w:rPr>
  </w:style>
  <w:style w:type="character" w:styleId="EndnoteReference">
    <w:name w:val="endnote reference"/>
    <w:basedOn w:val="DefaultParagraphFont"/>
    <w:uiPriority w:val="99"/>
    <w:unhideWhenUsed/>
    <w:rsid w:val="00DA1463"/>
    <w:rPr>
      <w:vertAlign w:val="superscript"/>
    </w:rPr>
  </w:style>
  <w:style w:type="paragraph" w:customStyle="1" w:styleId="TableBody">
    <w:name w:val="Table Body"/>
    <w:basedOn w:val="BodyIndent0"/>
    <w:uiPriority w:val="99"/>
    <w:rsid w:val="00DA1463"/>
    <w:pPr>
      <w:keepLines w:val="0"/>
    </w:pPr>
    <w:rPr>
      <w:rFonts w:ascii="Calibri" w:hAnsi="Calibri"/>
      <w:lang w:eastAsia="en-US"/>
    </w:rPr>
  </w:style>
  <w:style w:type="paragraph" w:styleId="TOCHeading">
    <w:name w:val="TOC Heading"/>
    <w:basedOn w:val="Heading1"/>
    <w:next w:val="Normal"/>
    <w:uiPriority w:val="39"/>
    <w:semiHidden/>
    <w:unhideWhenUsed/>
    <w:qFormat/>
    <w:rsid w:val="00DA1463"/>
    <w:pPr>
      <w:outlineLvl w:val="9"/>
    </w:pPr>
    <w:rPr>
      <w:rFonts w:asciiTheme="majorHAnsi" w:hAnsiTheme="majorHAnsi"/>
      <w:caps/>
      <w:color w:val="365F91" w:themeColor="accent1" w:themeShade="BF"/>
      <w:sz w:val="28"/>
      <w:szCs w:val="28"/>
      <w:lang w:val="en-US" w:eastAsia="ja-JP"/>
    </w:rPr>
  </w:style>
  <w:style w:type="character" w:customStyle="1" w:styleId="ClauseHeadings1xxxxChar">
    <w:name w:val="Clause Headings (1. xxxx) Char"/>
    <w:basedOn w:val="DefaultParagraphFont"/>
    <w:link w:val="ClauseHeadings1xxxx"/>
    <w:uiPriority w:val="99"/>
    <w:locked/>
    <w:rsid w:val="00DA1463"/>
    <w:rPr>
      <w:rFonts w:ascii="Calibri" w:hAnsi="Calibri"/>
      <w:b/>
    </w:rPr>
  </w:style>
  <w:style w:type="paragraph" w:customStyle="1" w:styleId="ClauseHeadings1xxxx">
    <w:name w:val="Clause Headings (1. xxxx)"/>
    <w:basedOn w:val="Normal"/>
    <w:link w:val="ClauseHeadings1xxxxChar"/>
    <w:uiPriority w:val="99"/>
    <w:qFormat/>
    <w:rsid w:val="00DA1463"/>
    <w:pPr>
      <w:keepNext/>
      <w:keepLines/>
      <w:numPr>
        <w:numId w:val="9"/>
      </w:numPr>
      <w:suppressAutoHyphens/>
      <w:spacing w:before="240" w:line="264" w:lineRule="auto"/>
      <w:outlineLvl w:val="0"/>
    </w:pPr>
    <w:rPr>
      <w:rFonts w:ascii="Calibri" w:eastAsia="Times New Roman" w:hAnsi="Calibri" w:cs="Times New Roman"/>
      <w:b/>
      <w:sz w:val="20"/>
      <w:szCs w:val="20"/>
      <w:lang w:eastAsia="en-AU"/>
    </w:rPr>
  </w:style>
  <w:style w:type="character" w:customStyle="1" w:styleId="clausetext11xxxxxChar">
    <w:name w:val="clause text (1.1 xxxxx) Char"/>
    <w:basedOn w:val="DefaultParagraphFont"/>
    <w:link w:val="clausetext11xxxxx"/>
    <w:uiPriority w:val="99"/>
    <w:locked/>
    <w:rsid w:val="00DA1463"/>
    <w:rPr>
      <w:rFonts w:ascii="Calibri" w:hAnsi="Calibri"/>
      <w:color w:val="000000"/>
    </w:rPr>
  </w:style>
  <w:style w:type="paragraph" w:customStyle="1" w:styleId="clausetext11xxxxx">
    <w:name w:val="clause text (1.1 xxxxx)"/>
    <w:basedOn w:val="Normal"/>
    <w:link w:val="clausetext11xxxxxChar"/>
    <w:uiPriority w:val="99"/>
    <w:qFormat/>
    <w:rsid w:val="00DA1463"/>
    <w:pPr>
      <w:keepLines/>
      <w:numPr>
        <w:ilvl w:val="1"/>
        <w:numId w:val="9"/>
      </w:numPr>
      <w:suppressAutoHyphens/>
      <w:spacing w:before="120" w:line="264" w:lineRule="auto"/>
      <w:outlineLvl w:val="1"/>
    </w:pPr>
    <w:rPr>
      <w:rFonts w:ascii="Calibri" w:eastAsia="Times New Roman" w:hAnsi="Calibri" w:cs="Times New Roman"/>
      <w:color w:val="000000"/>
      <w:sz w:val="20"/>
      <w:szCs w:val="20"/>
      <w:lang w:eastAsia="en-AU"/>
    </w:rPr>
  </w:style>
  <w:style w:type="paragraph" w:customStyle="1" w:styleId="clausetexta">
    <w:name w:val="clause text (a)"/>
    <w:basedOn w:val="Normal"/>
    <w:link w:val="clausetextaChar"/>
    <w:uiPriority w:val="99"/>
    <w:qFormat/>
    <w:rsid w:val="00DA1463"/>
    <w:pPr>
      <w:keepLines/>
      <w:numPr>
        <w:ilvl w:val="2"/>
        <w:numId w:val="9"/>
      </w:numPr>
      <w:suppressAutoHyphens/>
      <w:spacing w:before="120" w:line="264" w:lineRule="auto"/>
    </w:pPr>
    <w:rPr>
      <w:rFonts w:ascii="Calibri" w:eastAsia="Times New Roman" w:hAnsi="Calibri" w:cs="Times New Roman"/>
      <w:color w:val="000000"/>
      <w:szCs w:val="20"/>
      <w:lang w:eastAsia="en-AU"/>
    </w:rPr>
  </w:style>
  <w:style w:type="paragraph" w:customStyle="1" w:styleId="clausetexti">
    <w:name w:val="clause text (i)"/>
    <w:basedOn w:val="clausetexta"/>
    <w:uiPriority w:val="99"/>
    <w:qFormat/>
    <w:rsid w:val="00DA1463"/>
    <w:pPr>
      <w:numPr>
        <w:ilvl w:val="3"/>
      </w:numPr>
      <w:tabs>
        <w:tab w:val="clear" w:pos="1304"/>
        <w:tab w:val="num" w:pos="360"/>
      </w:tabs>
      <w:ind w:left="2520" w:hanging="360"/>
    </w:pPr>
  </w:style>
  <w:style w:type="paragraph" w:customStyle="1" w:styleId="clausetextA0">
    <w:name w:val="clause text (A)"/>
    <w:basedOn w:val="clausetexti"/>
    <w:uiPriority w:val="99"/>
    <w:qFormat/>
    <w:rsid w:val="00DA1463"/>
    <w:pPr>
      <w:numPr>
        <w:ilvl w:val="4"/>
      </w:numPr>
      <w:tabs>
        <w:tab w:val="clear" w:pos="737"/>
        <w:tab w:val="num" w:pos="360"/>
      </w:tabs>
      <w:ind w:left="3240" w:hanging="360"/>
    </w:pPr>
  </w:style>
  <w:style w:type="character" w:customStyle="1" w:styleId="DefinitiontextChar">
    <w:name w:val="Definition 'text' Char"/>
    <w:basedOn w:val="DefaultParagraphFont"/>
    <w:link w:val="Definitiontext"/>
    <w:locked/>
    <w:rsid w:val="00DA1463"/>
    <w:rPr>
      <w:rFonts w:ascii="Calibri" w:hAnsi="Calibri"/>
    </w:rPr>
  </w:style>
  <w:style w:type="paragraph" w:customStyle="1" w:styleId="Definitiontext">
    <w:name w:val="Definition 'text'"/>
    <w:basedOn w:val="Normal"/>
    <w:link w:val="DefinitiontextChar"/>
    <w:qFormat/>
    <w:rsid w:val="00DA1463"/>
    <w:pPr>
      <w:spacing w:before="60" w:line="240" w:lineRule="auto"/>
    </w:pPr>
    <w:rPr>
      <w:rFonts w:ascii="Calibri" w:eastAsia="Times New Roman" w:hAnsi="Calibri" w:cs="Times New Roman"/>
      <w:sz w:val="20"/>
      <w:szCs w:val="20"/>
      <w:lang w:eastAsia="en-AU"/>
    </w:rPr>
  </w:style>
  <w:style w:type="paragraph" w:customStyle="1" w:styleId="ms-rteelement-p1">
    <w:name w:val="ms-rteelement-p1"/>
    <w:basedOn w:val="Normal"/>
    <w:rsid w:val="00DA1463"/>
    <w:pPr>
      <w:spacing w:before="100" w:beforeAutospacing="1" w:after="100" w:afterAutospacing="1" w:line="240" w:lineRule="auto"/>
    </w:pPr>
    <w:rPr>
      <w:rFonts w:ascii="Times New Roman" w:eastAsia="Times New Roman" w:hAnsi="Times New Roman" w:cs="Times New Roman"/>
      <w:color w:val="576170"/>
      <w:sz w:val="24"/>
      <w:szCs w:val="24"/>
      <w:lang w:eastAsia="en-AU"/>
    </w:rPr>
  </w:style>
  <w:style w:type="character" w:customStyle="1" w:styleId="GDV7-Pink">
    <w:name w:val="GDV 7 - Pink"/>
    <w:basedOn w:val="DefaultParagraphFont"/>
    <w:uiPriority w:val="1"/>
    <w:qFormat/>
    <w:rsid w:val="00DA1463"/>
    <w:rPr>
      <w:rFonts w:ascii="Calibri" w:hAnsi="Calibri" w:cs="Calibri"/>
      <w:color w:val="CE1C93"/>
      <w:sz w:val="22"/>
      <w:szCs w:val="22"/>
    </w:rPr>
  </w:style>
  <w:style w:type="character" w:customStyle="1" w:styleId="GDV5-Orange">
    <w:name w:val="GDV 5 - Orange"/>
    <w:basedOn w:val="DefaultParagraphFont"/>
    <w:uiPriority w:val="1"/>
    <w:qFormat/>
    <w:rsid w:val="00DA1463"/>
    <w:rPr>
      <w:rFonts w:ascii="Calibri" w:hAnsi="Calibri"/>
      <w:color w:val="E36C0A" w:themeColor="accent6" w:themeShade="BF"/>
      <w:sz w:val="22"/>
    </w:rPr>
  </w:style>
  <w:style w:type="character" w:customStyle="1" w:styleId="GDV2Green">
    <w:name w:val="(GDV 2) Green"/>
    <w:basedOn w:val="DefaultParagraphFont"/>
    <w:uiPriority w:val="1"/>
    <w:qFormat/>
    <w:rsid w:val="00DA1463"/>
    <w:rPr>
      <w:rFonts w:ascii="Calibri" w:hAnsi="Calibri" w:cs="Calibri"/>
      <w:color w:val="00B050"/>
      <w:sz w:val="22"/>
    </w:rPr>
  </w:style>
  <w:style w:type="character" w:customStyle="1" w:styleId="clausetextaChar">
    <w:name w:val="clause text (a) Char"/>
    <w:basedOn w:val="DefaultParagraphFont"/>
    <w:link w:val="clausetexta"/>
    <w:uiPriority w:val="99"/>
    <w:rsid w:val="00DA1463"/>
    <w:rPr>
      <w:rFonts w:ascii="Calibri" w:hAnsi="Calibri"/>
      <w:color w:val="000000"/>
      <w:sz w:val="22"/>
    </w:rPr>
  </w:style>
  <w:style w:type="character" w:styleId="Strong">
    <w:name w:val="Strong"/>
    <w:basedOn w:val="DefaultParagraphFont"/>
    <w:uiPriority w:val="22"/>
    <w:qFormat/>
    <w:rsid w:val="00DA1463"/>
    <w:rPr>
      <w:b/>
      <w:bCs/>
    </w:rPr>
  </w:style>
  <w:style w:type="table" w:customStyle="1" w:styleId="TableGrid1">
    <w:name w:val="Table Grid1"/>
    <w:basedOn w:val="TableNormal"/>
    <w:next w:val="TableGrid"/>
    <w:uiPriority w:val="59"/>
    <w:rsid w:val="00DA14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alReplyStyle">
    <w:name w:val="Personal Reply Style"/>
    <w:basedOn w:val="DefaultParagraphFont"/>
    <w:rsid w:val="00DA1463"/>
    <w:rPr>
      <w:rFonts w:ascii="Arial" w:hAnsi="Arial" w:cs="Arial"/>
      <w:color w:val="auto"/>
      <w:sz w:val="20"/>
    </w:rPr>
  </w:style>
  <w:style w:type="paragraph" w:styleId="ListNumber">
    <w:name w:val="List Number"/>
    <w:basedOn w:val="Normal"/>
    <w:rsid w:val="00052466"/>
    <w:pPr>
      <w:contextualSpacing/>
    </w:pPr>
  </w:style>
  <w:style w:type="paragraph" w:styleId="PlainText">
    <w:name w:val="Plain Text"/>
    <w:basedOn w:val="Normal"/>
    <w:link w:val="PlainTextChar"/>
    <w:uiPriority w:val="99"/>
    <w:semiHidden/>
    <w:unhideWhenUsed/>
    <w:rsid w:val="00D67E5A"/>
    <w:pPr>
      <w:spacing w:after="0" w:line="240" w:lineRule="auto"/>
    </w:pPr>
    <w:rPr>
      <w:rFonts w:ascii="Calibri" w:eastAsia="Times New Roman" w:hAnsi="Calibri" w:cs="Times New Roman"/>
    </w:rPr>
  </w:style>
  <w:style w:type="character" w:customStyle="1" w:styleId="PlainTextChar">
    <w:name w:val="Plain Text Char"/>
    <w:basedOn w:val="DefaultParagraphFont"/>
    <w:link w:val="PlainText"/>
    <w:uiPriority w:val="99"/>
    <w:semiHidden/>
    <w:rsid w:val="00D67E5A"/>
    <w:rPr>
      <w:rFonts w:ascii="Calibri" w:hAnsi="Calibri"/>
      <w:sz w:val="22"/>
      <w:szCs w:val="22"/>
      <w:lang w:eastAsia="en-US"/>
    </w:rPr>
  </w:style>
  <w:style w:type="paragraph" w:styleId="Title">
    <w:name w:val="Title"/>
    <w:basedOn w:val="header2"/>
    <w:next w:val="Normal"/>
    <w:link w:val="TitleChar"/>
    <w:qFormat/>
    <w:rsid w:val="00A55BB0"/>
    <w:pPr>
      <w:tabs>
        <w:tab w:val="left" w:pos="2835"/>
      </w:tabs>
      <w:spacing w:before="100" w:beforeAutospacing="1" w:after="100" w:afterAutospacing="1" w:line="240" w:lineRule="auto"/>
      <w:jc w:val="center"/>
    </w:pPr>
    <w:rPr>
      <w:b/>
      <w:caps w:val="0"/>
      <w:noProof/>
      <w:color w:val="007D79"/>
      <w:sz w:val="56"/>
      <w:szCs w:val="72"/>
    </w:rPr>
  </w:style>
  <w:style w:type="character" w:customStyle="1" w:styleId="TitleChar">
    <w:name w:val="Title Char"/>
    <w:basedOn w:val="DefaultParagraphFont"/>
    <w:link w:val="Title"/>
    <w:rsid w:val="00A55BB0"/>
    <w:rPr>
      <w:rFonts w:asciiTheme="minorHAnsi" w:hAnsiTheme="minorHAnsi" w:cstheme="minorHAnsi"/>
      <w:b/>
      <w:noProof/>
      <w:color w:val="007D79"/>
      <w:sz w:val="56"/>
      <w:szCs w:val="72"/>
      <w:lang w:val="en-GB"/>
    </w:rPr>
  </w:style>
  <w:style w:type="paragraph" w:styleId="Subtitle">
    <w:name w:val="Subtitle"/>
    <w:basedOn w:val="header2"/>
    <w:next w:val="Normal"/>
    <w:link w:val="SubtitleChar"/>
    <w:qFormat/>
    <w:rsid w:val="00A55BB0"/>
    <w:pPr>
      <w:tabs>
        <w:tab w:val="left" w:pos="2835"/>
      </w:tabs>
      <w:spacing w:before="240"/>
    </w:pPr>
    <w:rPr>
      <w:b/>
      <w:caps w:val="0"/>
      <w:noProof/>
      <w:color w:val="007D79"/>
      <w:szCs w:val="44"/>
    </w:rPr>
  </w:style>
  <w:style w:type="character" w:customStyle="1" w:styleId="SubtitleChar">
    <w:name w:val="Subtitle Char"/>
    <w:basedOn w:val="DefaultParagraphFont"/>
    <w:link w:val="Subtitle"/>
    <w:rsid w:val="00A55BB0"/>
    <w:rPr>
      <w:rFonts w:asciiTheme="minorHAnsi" w:hAnsiTheme="minorHAnsi" w:cstheme="minorHAnsi"/>
      <w:b/>
      <w:noProof/>
      <w:color w:val="007D79"/>
      <w:sz w:val="36"/>
      <w:szCs w:val="44"/>
      <w:lang w:val="en-GB"/>
    </w:rPr>
  </w:style>
  <w:style w:type="paragraph" w:customStyle="1" w:styleId="Dotpoints0">
    <w:name w:val="Dot points"/>
    <w:basedOn w:val="Normal"/>
    <w:link w:val="DotpointsChar0"/>
    <w:qFormat/>
    <w:rsid w:val="0068612D"/>
    <w:pPr>
      <w:spacing w:before="120" w:line="288" w:lineRule="auto"/>
      <w:ind w:left="360" w:hanging="360"/>
      <w:contextualSpacing/>
    </w:pPr>
    <w:rPr>
      <w:rFonts w:eastAsia="Times New Roman" w:cstheme="minorHAnsi"/>
      <w:lang w:eastAsia="en-AU"/>
    </w:rPr>
  </w:style>
  <w:style w:type="character" w:customStyle="1" w:styleId="DotpointsChar0">
    <w:name w:val="Dot points Char"/>
    <w:basedOn w:val="DefaultParagraphFont"/>
    <w:link w:val="Dotpoints0"/>
    <w:rsid w:val="0068612D"/>
    <w:rPr>
      <w:rFonts w:asciiTheme="minorHAnsi" w:hAnsiTheme="minorHAnsi" w:cstheme="minorHAnsi"/>
      <w:sz w:val="22"/>
      <w:szCs w:val="22"/>
    </w:rPr>
  </w:style>
  <w:style w:type="paragraph" w:styleId="ListContinue">
    <w:name w:val="List Continue"/>
    <w:basedOn w:val="Normal"/>
    <w:semiHidden/>
    <w:unhideWhenUsed/>
    <w:rsid w:val="00A67CF9"/>
    <w:pPr>
      <w:ind w:left="283"/>
      <w:contextualSpacing/>
    </w:pPr>
  </w:style>
  <w:style w:type="character" w:customStyle="1" w:styleId="Style1">
    <w:name w:val="Style1"/>
    <w:basedOn w:val="DefaultParagraphFont"/>
    <w:uiPriority w:val="1"/>
    <w:rsid w:val="00247BA1"/>
    <w:rPr>
      <w:rFonts w:asciiTheme="minorHAnsi" w:hAnsiTheme="minorHAnsi" w:cs="Calibri" w:hint="default"/>
      <w:sz w:val="22"/>
    </w:rPr>
  </w:style>
  <w:style w:type="paragraph" w:customStyle="1" w:styleId="legalRecital1">
    <w:name w:val="legalRecital1"/>
    <w:basedOn w:val="Normal"/>
    <w:qFormat/>
    <w:rsid w:val="005F5615"/>
    <w:pPr>
      <w:numPr>
        <w:numId w:val="12"/>
      </w:numPr>
      <w:spacing w:before="240" w:after="0" w:line="240" w:lineRule="auto"/>
    </w:pPr>
    <w:rPr>
      <w:rFonts w:ascii="Arial" w:eastAsia="Times New Roman" w:hAnsi="Arial" w:cs="Times New Roman"/>
      <w:sz w:val="20"/>
      <w:szCs w:val="20"/>
      <w:lang w:eastAsia="en-AU"/>
    </w:rPr>
  </w:style>
  <w:style w:type="paragraph" w:styleId="NoSpacing">
    <w:name w:val="No Spacing"/>
    <w:uiPriority w:val="1"/>
    <w:qFormat/>
    <w:rsid w:val="002612A1"/>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8355">
      <w:bodyDiv w:val="1"/>
      <w:marLeft w:val="0"/>
      <w:marRight w:val="0"/>
      <w:marTop w:val="0"/>
      <w:marBottom w:val="0"/>
      <w:divBdr>
        <w:top w:val="none" w:sz="0" w:space="0" w:color="auto"/>
        <w:left w:val="none" w:sz="0" w:space="0" w:color="auto"/>
        <w:bottom w:val="none" w:sz="0" w:space="0" w:color="auto"/>
        <w:right w:val="none" w:sz="0" w:space="0" w:color="auto"/>
      </w:divBdr>
    </w:div>
    <w:div w:id="64492898">
      <w:bodyDiv w:val="1"/>
      <w:marLeft w:val="0"/>
      <w:marRight w:val="0"/>
      <w:marTop w:val="0"/>
      <w:marBottom w:val="0"/>
      <w:divBdr>
        <w:top w:val="none" w:sz="0" w:space="0" w:color="auto"/>
        <w:left w:val="none" w:sz="0" w:space="0" w:color="auto"/>
        <w:bottom w:val="none" w:sz="0" w:space="0" w:color="auto"/>
        <w:right w:val="none" w:sz="0" w:space="0" w:color="auto"/>
      </w:divBdr>
    </w:div>
    <w:div w:id="129592287">
      <w:bodyDiv w:val="1"/>
      <w:marLeft w:val="0"/>
      <w:marRight w:val="0"/>
      <w:marTop w:val="0"/>
      <w:marBottom w:val="0"/>
      <w:divBdr>
        <w:top w:val="none" w:sz="0" w:space="0" w:color="auto"/>
        <w:left w:val="none" w:sz="0" w:space="0" w:color="auto"/>
        <w:bottom w:val="none" w:sz="0" w:space="0" w:color="auto"/>
        <w:right w:val="none" w:sz="0" w:space="0" w:color="auto"/>
      </w:divBdr>
    </w:div>
    <w:div w:id="198398936">
      <w:bodyDiv w:val="1"/>
      <w:marLeft w:val="0"/>
      <w:marRight w:val="0"/>
      <w:marTop w:val="0"/>
      <w:marBottom w:val="0"/>
      <w:divBdr>
        <w:top w:val="none" w:sz="0" w:space="0" w:color="auto"/>
        <w:left w:val="none" w:sz="0" w:space="0" w:color="auto"/>
        <w:bottom w:val="none" w:sz="0" w:space="0" w:color="auto"/>
        <w:right w:val="none" w:sz="0" w:space="0" w:color="auto"/>
      </w:divBdr>
    </w:div>
    <w:div w:id="210966200">
      <w:bodyDiv w:val="1"/>
      <w:marLeft w:val="0"/>
      <w:marRight w:val="0"/>
      <w:marTop w:val="0"/>
      <w:marBottom w:val="0"/>
      <w:divBdr>
        <w:top w:val="none" w:sz="0" w:space="0" w:color="auto"/>
        <w:left w:val="none" w:sz="0" w:space="0" w:color="auto"/>
        <w:bottom w:val="none" w:sz="0" w:space="0" w:color="auto"/>
        <w:right w:val="none" w:sz="0" w:space="0" w:color="auto"/>
      </w:divBdr>
    </w:div>
    <w:div w:id="428892987">
      <w:bodyDiv w:val="1"/>
      <w:marLeft w:val="0"/>
      <w:marRight w:val="0"/>
      <w:marTop w:val="0"/>
      <w:marBottom w:val="0"/>
      <w:divBdr>
        <w:top w:val="none" w:sz="0" w:space="0" w:color="auto"/>
        <w:left w:val="none" w:sz="0" w:space="0" w:color="auto"/>
        <w:bottom w:val="none" w:sz="0" w:space="0" w:color="auto"/>
        <w:right w:val="none" w:sz="0" w:space="0" w:color="auto"/>
      </w:divBdr>
    </w:div>
    <w:div w:id="497696764">
      <w:bodyDiv w:val="1"/>
      <w:marLeft w:val="0"/>
      <w:marRight w:val="0"/>
      <w:marTop w:val="0"/>
      <w:marBottom w:val="0"/>
      <w:divBdr>
        <w:top w:val="none" w:sz="0" w:space="0" w:color="auto"/>
        <w:left w:val="none" w:sz="0" w:space="0" w:color="auto"/>
        <w:bottom w:val="none" w:sz="0" w:space="0" w:color="auto"/>
        <w:right w:val="none" w:sz="0" w:space="0" w:color="auto"/>
      </w:divBdr>
    </w:div>
    <w:div w:id="707677859">
      <w:bodyDiv w:val="1"/>
      <w:marLeft w:val="0"/>
      <w:marRight w:val="0"/>
      <w:marTop w:val="0"/>
      <w:marBottom w:val="0"/>
      <w:divBdr>
        <w:top w:val="none" w:sz="0" w:space="0" w:color="auto"/>
        <w:left w:val="none" w:sz="0" w:space="0" w:color="auto"/>
        <w:bottom w:val="none" w:sz="0" w:space="0" w:color="auto"/>
        <w:right w:val="none" w:sz="0" w:space="0" w:color="auto"/>
      </w:divBdr>
    </w:div>
    <w:div w:id="824130058">
      <w:bodyDiv w:val="1"/>
      <w:marLeft w:val="0"/>
      <w:marRight w:val="0"/>
      <w:marTop w:val="0"/>
      <w:marBottom w:val="0"/>
      <w:divBdr>
        <w:top w:val="none" w:sz="0" w:space="0" w:color="auto"/>
        <w:left w:val="none" w:sz="0" w:space="0" w:color="auto"/>
        <w:bottom w:val="none" w:sz="0" w:space="0" w:color="auto"/>
        <w:right w:val="none" w:sz="0" w:space="0" w:color="auto"/>
      </w:divBdr>
    </w:div>
    <w:div w:id="908921242">
      <w:bodyDiv w:val="1"/>
      <w:marLeft w:val="0"/>
      <w:marRight w:val="0"/>
      <w:marTop w:val="0"/>
      <w:marBottom w:val="0"/>
      <w:divBdr>
        <w:top w:val="none" w:sz="0" w:space="0" w:color="auto"/>
        <w:left w:val="none" w:sz="0" w:space="0" w:color="auto"/>
        <w:bottom w:val="none" w:sz="0" w:space="0" w:color="auto"/>
        <w:right w:val="none" w:sz="0" w:space="0" w:color="auto"/>
      </w:divBdr>
    </w:div>
    <w:div w:id="1015840429">
      <w:bodyDiv w:val="1"/>
      <w:marLeft w:val="0"/>
      <w:marRight w:val="0"/>
      <w:marTop w:val="0"/>
      <w:marBottom w:val="0"/>
      <w:divBdr>
        <w:top w:val="none" w:sz="0" w:space="0" w:color="auto"/>
        <w:left w:val="none" w:sz="0" w:space="0" w:color="auto"/>
        <w:bottom w:val="none" w:sz="0" w:space="0" w:color="auto"/>
        <w:right w:val="none" w:sz="0" w:space="0" w:color="auto"/>
      </w:divBdr>
    </w:div>
    <w:div w:id="1130635131">
      <w:bodyDiv w:val="1"/>
      <w:marLeft w:val="0"/>
      <w:marRight w:val="0"/>
      <w:marTop w:val="0"/>
      <w:marBottom w:val="0"/>
      <w:divBdr>
        <w:top w:val="none" w:sz="0" w:space="0" w:color="auto"/>
        <w:left w:val="none" w:sz="0" w:space="0" w:color="auto"/>
        <w:bottom w:val="none" w:sz="0" w:space="0" w:color="auto"/>
        <w:right w:val="none" w:sz="0" w:space="0" w:color="auto"/>
      </w:divBdr>
    </w:div>
    <w:div w:id="1179587170">
      <w:bodyDiv w:val="1"/>
      <w:marLeft w:val="0"/>
      <w:marRight w:val="0"/>
      <w:marTop w:val="0"/>
      <w:marBottom w:val="0"/>
      <w:divBdr>
        <w:top w:val="none" w:sz="0" w:space="0" w:color="auto"/>
        <w:left w:val="none" w:sz="0" w:space="0" w:color="auto"/>
        <w:bottom w:val="none" w:sz="0" w:space="0" w:color="auto"/>
        <w:right w:val="none" w:sz="0" w:space="0" w:color="auto"/>
      </w:divBdr>
    </w:div>
    <w:div w:id="1286429882">
      <w:bodyDiv w:val="1"/>
      <w:marLeft w:val="0"/>
      <w:marRight w:val="0"/>
      <w:marTop w:val="0"/>
      <w:marBottom w:val="0"/>
      <w:divBdr>
        <w:top w:val="none" w:sz="0" w:space="0" w:color="auto"/>
        <w:left w:val="none" w:sz="0" w:space="0" w:color="auto"/>
        <w:bottom w:val="none" w:sz="0" w:space="0" w:color="auto"/>
        <w:right w:val="none" w:sz="0" w:space="0" w:color="auto"/>
      </w:divBdr>
    </w:div>
    <w:div w:id="1319460514">
      <w:bodyDiv w:val="1"/>
      <w:marLeft w:val="0"/>
      <w:marRight w:val="0"/>
      <w:marTop w:val="0"/>
      <w:marBottom w:val="0"/>
      <w:divBdr>
        <w:top w:val="none" w:sz="0" w:space="0" w:color="auto"/>
        <w:left w:val="none" w:sz="0" w:space="0" w:color="auto"/>
        <w:bottom w:val="none" w:sz="0" w:space="0" w:color="auto"/>
        <w:right w:val="none" w:sz="0" w:space="0" w:color="auto"/>
      </w:divBdr>
    </w:div>
    <w:div w:id="1442604566">
      <w:bodyDiv w:val="1"/>
      <w:marLeft w:val="0"/>
      <w:marRight w:val="0"/>
      <w:marTop w:val="0"/>
      <w:marBottom w:val="0"/>
      <w:divBdr>
        <w:top w:val="none" w:sz="0" w:space="0" w:color="auto"/>
        <w:left w:val="none" w:sz="0" w:space="0" w:color="auto"/>
        <w:bottom w:val="none" w:sz="0" w:space="0" w:color="auto"/>
        <w:right w:val="none" w:sz="0" w:space="0" w:color="auto"/>
      </w:divBdr>
    </w:div>
    <w:div w:id="1701319445">
      <w:bodyDiv w:val="1"/>
      <w:marLeft w:val="0"/>
      <w:marRight w:val="0"/>
      <w:marTop w:val="0"/>
      <w:marBottom w:val="0"/>
      <w:divBdr>
        <w:top w:val="none" w:sz="0" w:space="0" w:color="auto"/>
        <w:left w:val="none" w:sz="0" w:space="0" w:color="auto"/>
        <w:bottom w:val="none" w:sz="0" w:space="0" w:color="auto"/>
        <w:right w:val="none" w:sz="0" w:space="0" w:color="auto"/>
      </w:divBdr>
    </w:div>
    <w:div w:id="1790969441">
      <w:bodyDiv w:val="1"/>
      <w:marLeft w:val="0"/>
      <w:marRight w:val="0"/>
      <w:marTop w:val="0"/>
      <w:marBottom w:val="0"/>
      <w:divBdr>
        <w:top w:val="none" w:sz="0" w:space="0" w:color="auto"/>
        <w:left w:val="none" w:sz="0" w:space="0" w:color="auto"/>
        <w:bottom w:val="none" w:sz="0" w:space="0" w:color="auto"/>
        <w:right w:val="none" w:sz="0" w:space="0" w:color="auto"/>
      </w:divBdr>
    </w:div>
    <w:div w:id="1867019634">
      <w:bodyDiv w:val="1"/>
      <w:marLeft w:val="0"/>
      <w:marRight w:val="0"/>
      <w:marTop w:val="0"/>
      <w:marBottom w:val="0"/>
      <w:divBdr>
        <w:top w:val="none" w:sz="0" w:space="0" w:color="auto"/>
        <w:left w:val="none" w:sz="0" w:space="0" w:color="auto"/>
        <w:bottom w:val="none" w:sz="0" w:space="0" w:color="auto"/>
        <w:right w:val="none" w:sz="0" w:space="0" w:color="auto"/>
      </w:divBdr>
    </w:div>
    <w:div w:id="1940336934">
      <w:bodyDiv w:val="1"/>
      <w:marLeft w:val="0"/>
      <w:marRight w:val="0"/>
      <w:marTop w:val="0"/>
      <w:marBottom w:val="0"/>
      <w:divBdr>
        <w:top w:val="none" w:sz="0" w:space="0" w:color="auto"/>
        <w:left w:val="none" w:sz="0" w:space="0" w:color="auto"/>
        <w:bottom w:val="none" w:sz="0" w:space="0" w:color="auto"/>
        <w:right w:val="none" w:sz="0" w:space="0" w:color="auto"/>
      </w:divBdr>
    </w:div>
    <w:div w:id="1990015850">
      <w:bodyDiv w:val="1"/>
      <w:marLeft w:val="0"/>
      <w:marRight w:val="0"/>
      <w:marTop w:val="0"/>
      <w:marBottom w:val="0"/>
      <w:divBdr>
        <w:top w:val="none" w:sz="0" w:space="0" w:color="auto"/>
        <w:left w:val="none" w:sz="0" w:space="0" w:color="auto"/>
        <w:bottom w:val="none" w:sz="0" w:space="0" w:color="auto"/>
        <w:right w:val="none" w:sz="0" w:space="0" w:color="auto"/>
      </w:divBdr>
    </w:div>
    <w:div w:id="20676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jobsearch.gov.a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inyurl.com/360Pro-employment"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jobs.gov.au/purchasing"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espurchasing@jobs.gov.au" TargetMode="External"/><Relationship Id="rId20" Type="http://schemas.openxmlformats.org/officeDocument/2006/relationships/hyperlink" Target="mailto:espurchasing@jobs.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espurchasing@jobs.gov.au"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tenders.gov.au" TargetMode="External"/><Relationship Id="rId10" Type="http://schemas.openxmlformats.org/officeDocument/2006/relationships/header" Target="header1.xml"/><Relationship Id="rId19" Type="http://schemas.openxmlformats.org/officeDocument/2006/relationships/hyperlink" Target="https://cica.org.a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www.tenders.gov.a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CC9BB-23B3-4A72-BFE6-095DA83F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F50766FC.dotm</Template>
  <TotalTime>0</TotalTime>
  <Pages>19</Pages>
  <Words>4311</Words>
  <Characters>24414</Characters>
  <Application>Microsoft Office Word</Application>
  <DocSecurity>0</DocSecurity>
  <Lines>203</Lines>
  <Paragraphs>57</Paragraphs>
  <ScaleCrop>false</ScaleCrop>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2018-12-10T01:55:00Z</dcterms:created>
  <dcterms:modified xsi:type="dcterms:W3CDTF">2018-12-10T01:56:00Z</dcterms:modified>
</cp:coreProperties>
</file>