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0368C25A" wp14:editId="1EC0F928">
            <wp:extent cx="2383155" cy="727075"/>
            <wp:effectExtent l="0" t="0" r="0" b="0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30EC" wp14:editId="7F2E2242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8C3AE6">
          <w:footerReference w:type="default" r:id="rId14"/>
          <w:footerReference w:type="first" r:id="rId15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03DF2D59" w14:textId="77777777" w:rsidR="005B326A" w:rsidRDefault="674B07B6" w:rsidP="00FC47C9">
      <w:pPr>
        <w:pStyle w:val="Title"/>
        <w:spacing w:before="720"/>
      </w:pPr>
      <w:r>
        <w:t xml:space="preserve">Australian Skills Guarantee </w:t>
      </w:r>
    </w:p>
    <w:p w14:paraId="30FC1237" w14:textId="456FED41" w:rsidR="006D154E" w:rsidRPr="00E36EF8" w:rsidRDefault="674B07B6" w:rsidP="007F4CC7">
      <w:pPr>
        <w:pStyle w:val="Subtitle"/>
        <w:spacing w:after="240"/>
      </w:pPr>
      <w:r>
        <w:t xml:space="preserve">Eligibility </w:t>
      </w:r>
      <w:r w:rsidR="00C25D42">
        <w:t>c</w:t>
      </w:r>
      <w:r>
        <w:t xml:space="preserve">hecklist </w:t>
      </w:r>
    </w:p>
    <w:p w14:paraId="64637B2F" w14:textId="28A47E5C" w:rsidR="00E9216D" w:rsidRDefault="00E9216D">
      <w:r>
        <w:t>This checklist provides information about the eligibility requirements for the Australian Skills Guarantee (Skills Guarantee).</w:t>
      </w:r>
      <w:r w:rsidR="004C04EE">
        <w:t xml:space="preserve"> </w:t>
      </w:r>
    </w:p>
    <w:p w14:paraId="1BF7E462" w14:textId="1B7808C0" w:rsidR="30F65274" w:rsidRDefault="30F65274" w:rsidP="336646B7">
      <w:pPr>
        <w:pStyle w:val="Heading2"/>
      </w:pPr>
      <w:r>
        <w:t xml:space="preserve">Eligibility </w:t>
      </w:r>
      <w:r w:rsidR="00071F9D">
        <w:t>d</w:t>
      </w:r>
      <w:r>
        <w:t xml:space="preserve">ecision </w:t>
      </w:r>
      <w:r w:rsidR="00071F9D">
        <w:t>f</w:t>
      </w:r>
      <w:r>
        <w:t>low</w:t>
      </w:r>
    </w:p>
    <w:p w14:paraId="744AFE96" w14:textId="60461BA6" w:rsidR="00A60F3A" w:rsidRDefault="006B77EC" w:rsidP="00875E28">
      <w:pPr>
        <w:jc w:val="center"/>
      </w:pPr>
      <w:r w:rsidRPr="006B77EC">
        <w:rPr>
          <w:noProof/>
        </w:rPr>
        <w:drawing>
          <wp:inline distT="0" distB="0" distL="0" distR="0" wp14:anchorId="6DE294E1" wp14:editId="14C9C585">
            <wp:extent cx="5279366" cy="5991821"/>
            <wp:effectExtent l="0" t="0" r="0" b="0"/>
            <wp:docPr id="1550518246" name="Picture 1" descr="Eligibility decision flow for the Australian Skills Guarant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8246" name="Picture 1" descr="Eligibility decision flow for the Australian Skills Guarante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03" cy="60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02F2" w14:textId="39B9BE75" w:rsidR="002B1CE5" w:rsidRDefault="009A6612" w:rsidP="00F51C18">
      <w:pPr>
        <w:pStyle w:val="Heading2"/>
      </w:pPr>
      <w:r>
        <w:lastRenderedPageBreak/>
        <w:t xml:space="preserve">Eligibility requirements </w:t>
      </w:r>
    </w:p>
    <w:p w14:paraId="03692155" w14:textId="77777777" w:rsidR="003F526E" w:rsidRDefault="003F526E" w:rsidP="00C25D42">
      <w:pPr>
        <w:pStyle w:val="ListBullet"/>
      </w:pPr>
      <w:r>
        <w:t>Commonwealth procurement for:</w:t>
      </w:r>
    </w:p>
    <w:p w14:paraId="73306CD4" w14:textId="0708407D" w:rsidR="003F526E" w:rsidRDefault="0051625D" w:rsidP="00C25D42">
      <w:pPr>
        <w:pStyle w:val="ListBullet"/>
        <w:numPr>
          <w:ilvl w:val="1"/>
          <w:numId w:val="12"/>
        </w:numPr>
      </w:pPr>
      <w:r>
        <w:t>m</w:t>
      </w:r>
      <w:r w:rsidR="003F526E">
        <w:t xml:space="preserve">ajor building and construction and </w:t>
      </w:r>
      <w:r w:rsidR="00B67EE9">
        <w:t>maintenance services</w:t>
      </w:r>
      <w:r w:rsidR="003F526E">
        <w:t xml:space="preserve"> </w:t>
      </w:r>
      <w:r w:rsidR="00B67EE9">
        <w:t xml:space="preserve">(construction) </w:t>
      </w:r>
      <w:r w:rsidR="003F526E">
        <w:t>with a total contract value of $10 million or more</w:t>
      </w:r>
    </w:p>
    <w:p w14:paraId="23CBEEA3" w14:textId="601C48C3" w:rsidR="003F526E" w:rsidRDefault="000632F5" w:rsidP="00C25D42">
      <w:pPr>
        <w:pStyle w:val="ListBullet"/>
        <w:numPr>
          <w:ilvl w:val="1"/>
          <w:numId w:val="12"/>
        </w:numPr>
      </w:pPr>
      <w:r>
        <w:t xml:space="preserve">major </w:t>
      </w:r>
      <w:r w:rsidR="00FD2496">
        <w:t>i</w:t>
      </w:r>
      <w:r w:rsidR="003F526E">
        <w:t xml:space="preserve">nformation and </w:t>
      </w:r>
      <w:r w:rsidR="00FD2496">
        <w:t>c</w:t>
      </w:r>
      <w:r w:rsidR="003F526E">
        <w:t xml:space="preserve">ommunication </w:t>
      </w:r>
      <w:r w:rsidR="00FD2496">
        <w:t>t</w:t>
      </w:r>
      <w:r w:rsidR="003F526E">
        <w:t>echnology (ICT) with a total contract value of $10 million or more</w:t>
      </w:r>
    </w:p>
    <w:p w14:paraId="618EB329" w14:textId="2DA1FC77" w:rsidR="003F526E" w:rsidRDefault="00FD2496" w:rsidP="00C25D42">
      <w:pPr>
        <w:pStyle w:val="ListBullet"/>
        <w:numPr>
          <w:ilvl w:val="1"/>
          <w:numId w:val="12"/>
        </w:numPr>
      </w:pPr>
      <w:r>
        <w:t>f</w:t>
      </w:r>
      <w:r w:rsidR="003F526E">
        <w:t>lagship construction with a total contract value of $100 million or more.</w:t>
      </w:r>
    </w:p>
    <w:p w14:paraId="3A7C24D4" w14:textId="78B2BB9A" w:rsidR="003F526E" w:rsidRDefault="00FD2496" w:rsidP="00C25D42">
      <w:pPr>
        <w:pStyle w:val="ListBullet"/>
        <w:numPr>
          <w:ilvl w:val="1"/>
          <w:numId w:val="12"/>
        </w:numPr>
      </w:pPr>
      <w:r>
        <w:t>e</w:t>
      </w:r>
      <w:r w:rsidR="003F526E">
        <w:t>ligible UNSPSC</w:t>
      </w:r>
      <w:r w:rsidR="0051625D">
        <w:t>s</w:t>
      </w:r>
      <w:r w:rsidR="003F526E">
        <w:t xml:space="preserve"> </w:t>
      </w:r>
      <w:r w:rsidR="05634B20">
        <w:t xml:space="preserve">(see </w:t>
      </w:r>
      <w:r w:rsidR="05634B20" w:rsidRPr="336646B7">
        <w:rPr>
          <w:b/>
          <w:bCs/>
          <w:i/>
          <w:iCs/>
        </w:rPr>
        <w:t>Appendix A</w:t>
      </w:r>
      <w:r w:rsidR="05634B20">
        <w:t>)</w:t>
      </w:r>
    </w:p>
    <w:p w14:paraId="479DB94C" w14:textId="77777777" w:rsidR="003F526E" w:rsidRDefault="003F526E" w:rsidP="00C25D42">
      <w:pPr>
        <w:pStyle w:val="ListBullet"/>
      </w:pPr>
      <w:r>
        <w:t>Adherence to the Commonwealth Procurement Rules (CPRs)</w:t>
      </w:r>
    </w:p>
    <w:p w14:paraId="08DA821D" w14:textId="717557F9" w:rsidR="003F526E" w:rsidRDefault="003F526E" w:rsidP="00C25D42">
      <w:pPr>
        <w:pStyle w:val="ListBullet"/>
      </w:pPr>
      <w:r>
        <w:t>Appl</w:t>
      </w:r>
      <w:r w:rsidR="00A54473">
        <w:t>ication of the</w:t>
      </w:r>
      <w:r>
        <w:t xml:space="preserve"> Skills Guarantee to eligible Commonwealth procurement contracts created from 1 July 2024</w:t>
      </w:r>
    </w:p>
    <w:p w14:paraId="41BE3C6C" w14:textId="77777777" w:rsidR="003F526E" w:rsidRDefault="41521C77" w:rsidP="00C25D42">
      <w:pPr>
        <w:pStyle w:val="ListBullet"/>
      </w:pPr>
      <w:r>
        <w:t>Potential suppliers and related entities to negotiate the application of Skills Guarantee to eligible Approach to market (ATM) issued prior to 1 July 2024 for contracts from 1 July 2024</w:t>
      </w:r>
    </w:p>
    <w:p w14:paraId="2A08D8B9" w14:textId="1337FDB1" w:rsidR="3D094FC2" w:rsidRDefault="3D094FC2" w:rsidP="00C25D42">
      <w:pPr>
        <w:pStyle w:val="Heading5"/>
      </w:pPr>
      <w:r>
        <w:t xml:space="preserve">Apprentice and ICT cadet </w:t>
      </w:r>
      <w:proofErr w:type="gramStart"/>
      <w:r>
        <w:t>eligibility</w:t>
      </w:r>
      <w:proofErr w:type="gramEnd"/>
      <w:r>
        <w:t xml:space="preserve"> </w:t>
      </w:r>
    </w:p>
    <w:p w14:paraId="3A20C351" w14:textId="1BBEA875" w:rsidR="003F526E" w:rsidRDefault="3E053687" w:rsidP="00C25D42">
      <w:pPr>
        <w:pStyle w:val="ListBullet"/>
      </w:pPr>
      <w:r>
        <w:t xml:space="preserve">Employment of an eligible </w:t>
      </w:r>
      <w:r w:rsidR="00FD2496">
        <w:t>a</w:t>
      </w:r>
      <w:r w:rsidR="41521C77">
        <w:t>pprentice, also known as trainee</w:t>
      </w:r>
      <w:r w:rsidR="00FD2496">
        <w:t>,</w:t>
      </w:r>
      <w:r w:rsidR="05B49085">
        <w:t xml:space="preserve"> undertaking</w:t>
      </w:r>
      <w:r w:rsidR="41521C77">
        <w:t>:</w:t>
      </w:r>
    </w:p>
    <w:p w14:paraId="15F1CA3A" w14:textId="1AA93D35" w:rsidR="003F526E" w:rsidRDefault="003F526E" w:rsidP="00C25D42">
      <w:pPr>
        <w:pStyle w:val="ListBullet"/>
        <w:numPr>
          <w:ilvl w:val="1"/>
          <w:numId w:val="12"/>
        </w:numPr>
      </w:pPr>
      <w:r>
        <w:t>a training contract registered and validated by their State/Territory Authority</w:t>
      </w:r>
    </w:p>
    <w:p w14:paraId="77E7D7B4" w14:textId="338451E1" w:rsidR="003F526E" w:rsidRDefault="003F526E" w:rsidP="00C25D42">
      <w:pPr>
        <w:pStyle w:val="ListBullet"/>
        <w:numPr>
          <w:ilvl w:val="1"/>
          <w:numId w:val="12"/>
        </w:numPr>
      </w:pPr>
      <w:r>
        <w:t>paid work</w:t>
      </w:r>
      <w:r w:rsidR="00C546A9" w:rsidRPr="00C546A9">
        <w:t xml:space="preserve"> </w:t>
      </w:r>
      <w:r w:rsidR="00C546A9">
        <w:t>with a supplier, sub-</w:t>
      </w:r>
      <w:proofErr w:type="gramStart"/>
      <w:r w:rsidR="00C546A9">
        <w:t>contractor</w:t>
      </w:r>
      <w:proofErr w:type="gramEnd"/>
      <w:r w:rsidR="00C546A9">
        <w:t xml:space="preserve"> or a group training organisation</w:t>
      </w:r>
    </w:p>
    <w:p w14:paraId="144AFCEB" w14:textId="168BAF10" w:rsidR="003F526E" w:rsidRDefault="003F526E" w:rsidP="00C25D42">
      <w:pPr>
        <w:pStyle w:val="ListBullet"/>
        <w:numPr>
          <w:ilvl w:val="1"/>
          <w:numId w:val="12"/>
        </w:numPr>
      </w:pPr>
      <w:r>
        <w:t xml:space="preserve">structured negotiated on and off the job training to obtain a nationally recognised </w:t>
      </w:r>
      <w:proofErr w:type="gramStart"/>
      <w:r>
        <w:t>qualification</w:t>
      </w:r>
      <w:proofErr w:type="gramEnd"/>
      <w:r>
        <w:t xml:space="preserve"> </w:t>
      </w:r>
    </w:p>
    <w:p w14:paraId="697C1AA3" w14:textId="7CF7B4D9" w:rsidR="003F526E" w:rsidRDefault="009B124C" w:rsidP="00C25D42">
      <w:pPr>
        <w:pStyle w:val="ListBullet"/>
      </w:pPr>
      <w:r>
        <w:t xml:space="preserve">Employment of an eligible </w:t>
      </w:r>
      <w:r w:rsidR="003F526E">
        <w:t>ICT cadet</w:t>
      </w:r>
      <w:r w:rsidR="00C546A9">
        <w:t xml:space="preserve"> undertaking</w:t>
      </w:r>
      <w:r w:rsidR="003F526E">
        <w:t xml:space="preserve">: </w:t>
      </w:r>
    </w:p>
    <w:p w14:paraId="5916CC62" w14:textId="76388245" w:rsidR="003F526E" w:rsidRDefault="00161A7B" w:rsidP="00C25D42">
      <w:pPr>
        <w:pStyle w:val="ListBullet"/>
        <w:numPr>
          <w:ilvl w:val="1"/>
          <w:numId w:val="12"/>
        </w:numPr>
      </w:pPr>
      <w:r>
        <w:t>p</w:t>
      </w:r>
      <w:r w:rsidR="00C546A9">
        <w:t xml:space="preserve">aid </w:t>
      </w:r>
      <w:r>
        <w:t xml:space="preserve">entry-level </w:t>
      </w:r>
      <w:r w:rsidR="00C546A9">
        <w:t xml:space="preserve">work </w:t>
      </w:r>
      <w:r w:rsidR="003F526E">
        <w:t xml:space="preserve">on an eligible major ICT </w:t>
      </w:r>
      <w:proofErr w:type="gramStart"/>
      <w:r w:rsidR="003F526E">
        <w:t>project</w:t>
      </w:r>
      <w:proofErr w:type="gramEnd"/>
    </w:p>
    <w:p w14:paraId="09B3E6A9" w14:textId="36720E4D" w:rsidR="003F526E" w:rsidRDefault="003F526E" w:rsidP="00C25D42">
      <w:pPr>
        <w:pStyle w:val="ListBullet"/>
        <w:numPr>
          <w:ilvl w:val="1"/>
          <w:numId w:val="12"/>
        </w:numPr>
      </w:pPr>
      <w:r>
        <w:t>Vocational Education and Training (VET) or higher education to obtain a qualification under the Australian Qualification Framework</w:t>
      </w:r>
    </w:p>
    <w:p w14:paraId="55A49D30" w14:textId="5C606294" w:rsidR="003F526E" w:rsidRDefault="00506849" w:rsidP="00C25D42">
      <w:pPr>
        <w:pStyle w:val="ListBullet"/>
        <w:numPr>
          <w:ilvl w:val="1"/>
          <w:numId w:val="12"/>
        </w:numPr>
      </w:pPr>
      <w:r>
        <w:t>e</w:t>
      </w:r>
      <w:r w:rsidR="41521C77">
        <w:t xml:space="preserve">mployer formally committed to providing on the job training and support to employee to complete their </w:t>
      </w:r>
      <w:proofErr w:type="gramStart"/>
      <w:r w:rsidR="41521C77">
        <w:t>qualification</w:t>
      </w:r>
      <w:proofErr w:type="gramEnd"/>
    </w:p>
    <w:p w14:paraId="6E2C2E0E" w14:textId="1E59EC00" w:rsidR="002B1CE5" w:rsidRDefault="0004045E" w:rsidP="00C25D42">
      <w:pPr>
        <w:pStyle w:val="Heading5"/>
      </w:pPr>
      <w:r>
        <w:t>Eligibility e</w:t>
      </w:r>
      <w:r w:rsidR="009A6612" w:rsidRPr="009A6612">
        <w:t>xclusions</w:t>
      </w:r>
    </w:p>
    <w:p w14:paraId="2BDC2836" w14:textId="1F956E9A" w:rsidR="009A6612" w:rsidRDefault="009A6612" w:rsidP="00C25D42">
      <w:pPr>
        <w:pStyle w:val="ListBullet"/>
      </w:pPr>
      <w:r>
        <w:t>Pr</w:t>
      </w:r>
      <w:r w:rsidR="00875E28">
        <w:t>ocurement</w:t>
      </w:r>
      <w:r>
        <w:t xml:space="preserve"> delivered wholly </w:t>
      </w:r>
      <w:proofErr w:type="gramStart"/>
      <w:r>
        <w:t>overseas</w:t>
      </w:r>
      <w:proofErr w:type="gramEnd"/>
    </w:p>
    <w:p w14:paraId="4594ECAB" w14:textId="2F2011EF" w:rsidR="009A6612" w:rsidRDefault="009A6612" w:rsidP="00C25D42">
      <w:pPr>
        <w:pStyle w:val="ListBullet"/>
      </w:pPr>
      <w:r>
        <w:t xml:space="preserve">State or Territory based </w:t>
      </w:r>
      <w:proofErr w:type="gramStart"/>
      <w:r>
        <w:t>procurement</w:t>
      </w:r>
      <w:proofErr w:type="gramEnd"/>
    </w:p>
    <w:p w14:paraId="4BE80367" w14:textId="0FF2D022" w:rsidR="009A6612" w:rsidRDefault="0004045E" w:rsidP="00C25D42">
      <w:pPr>
        <w:pStyle w:val="ListBullet"/>
      </w:pPr>
      <w:r>
        <w:t xml:space="preserve">Application of </w:t>
      </w:r>
      <w:r w:rsidR="0032726E">
        <w:t>Paragraph 2.6 of the CPRs</w:t>
      </w:r>
    </w:p>
    <w:p w14:paraId="60C1D89D" w14:textId="4C7170BF" w:rsidR="00A56FC7" w:rsidRDefault="00983EF7" w:rsidP="00015C0F">
      <w:pPr>
        <w:pStyle w:val="Heading2"/>
      </w:pPr>
      <w:r>
        <w:t xml:space="preserve">Need </w:t>
      </w:r>
      <w:r w:rsidR="009A6612">
        <w:t xml:space="preserve">more information? </w:t>
      </w:r>
    </w:p>
    <w:p w14:paraId="40C523D7" w14:textId="29056E71" w:rsidR="009A6612" w:rsidRDefault="009A6612" w:rsidP="00C25D42">
      <w:pPr>
        <w:pStyle w:val="ListBullet"/>
      </w:pPr>
      <w:r>
        <w:t xml:space="preserve">Email </w:t>
      </w:r>
      <w:hyperlink r:id="rId17" w:history="1">
        <w:r w:rsidRPr="00B306CC">
          <w:rPr>
            <w:rStyle w:val="Hyperlink"/>
          </w:rPr>
          <w:t>ASG@dewr.gov.au</w:t>
        </w:r>
      </w:hyperlink>
    </w:p>
    <w:p w14:paraId="0BBEAFCF" w14:textId="7A4FE72B" w:rsidR="10FAAEFA" w:rsidRPr="002F6275" w:rsidRDefault="009A6612" w:rsidP="00C25D42">
      <w:r w:rsidRPr="10FAAEFA">
        <w:t>Further information is also available on the Department of Employment and Workplace Relations website</w:t>
      </w:r>
      <w:r w:rsidR="009F76C1">
        <w:t>:</w:t>
      </w:r>
      <w:r w:rsidRPr="10FAAEFA">
        <w:t xml:space="preserve"> </w:t>
      </w:r>
      <w:hyperlink r:id="rId18">
        <w:r w:rsidRPr="10FAAEFA">
          <w:rPr>
            <w:rStyle w:val="Hyperlink"/>
          </w:rPr>
          <w:t>www.dewr.gov.au/australian-skills-guarantee</w:t>
        </w:r>
      </w:hyperlink>
    </w:p>
    <w:p w14:paraId="243AC493" w14:textId="61980DDA" w:rsidR="10FAAEFA" w:rsidRPr="00C25D42" w:rsidRDefault="2620E433" w:rsidP="00C25D42">
      <w:pPr>
        <w:pStyle w:val="Heading2"/>
      </w:pPr>
      <w:r w:rsidRPr="00C25D42">
        <w:lastRenderedPageBreak/>
        <w:t xml:space="preserve">Appendix A </w:t>
      </w:r>
    </w:p>
    <w:p w14:paraId="173CE952" w14:textId="1E41B321" w:rsidR="336646B7" w:rsidRPr="00C25D42" w:rsidRDefault="2620E433" w:rsidP="00B813AF">
      <w:pPr>
        <w:pStyle w:val="Heading5"/>
      </w:pPr>
      <w:r w:rsidRPr="00C25D42">
        <w:t xml:space="preserve">Eligible </w:t>
      </w:r>
      <w:r w:rsidR="0051625D" w:rsidRPr="0051625D">
        <w:t>United Nations Standard Products and Services Code</w:t>
      </w:r>
      <w:r w:rsidR="0051625D">
        <w:t>s</w:t>
      </w:r>
      <w:r w:rsidR="0051625D" w:rsidRPr="0051625D">
        <w:t xml:space="preserve"> (UNSPSC</w:t>
      </w:r>
      <w:r w:rsidR="0051625D">
        <w:t>s</w:t>
      </w:r>
      <w:r w:rsidR="0051625D" w:rsidRPr="0051625D">
        <w:t>)</w:t>
      </w:r>
      <w:r w:rsidRPr="00C25D42">
        <w:t xml:space="preserve"> </w:t>
      </w:r>
    </w:p>
    <w:tbl>
      <w:tblPr>
        <w:tblStyle w:val="TableGrid"/>
        <w:tblW w:w="9060" w:type="dxa"/>
        <w:tblLayout w:type="fixed"/>
        <w:tblLook w:val="04A0" w:firstRow="1" w:lastRow="0" w:firstColumn="1" w:lastColumn="0" w:noHBand="0" w:noVBand="1"/>
      </w:tblPr>
      <w:tblGrid>
        <w:gridCol w:w="960"/>
        <w:gridCol w:w="2175"/>
        <w:gridCol w:w="1426"/>
        <w:gridCol w:w="4499"/>
      </w:tblGrid>
      <w:tr w:rsidR="336646B7" w14:paraId="1E688CB4" w14:textId="77777777" w:rsidTr="002F6275">
        <w:trPr>
          <w:trHeight w:val="28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6A1A395" w14:textId="65BCCD24" w:rsidR="336646B7" w:rsidRDefault="336646B7" w:rsidP="336646B7">
            <w:pPr>
              <w:spacing w:before="120" w:after="120"/>
              <w:ind w:left="-20" w:right="-20"/>
            </w:pPr>
            <w:r w:rsidRPr="336646B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UNSPSC </w:t>
            </w:r>
          </w:p>
        </w:tc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47CAD1E" w14:textId="1000590C" w:rsidR="336646B7" w:rsidRDefault="336646B7" w:rsidP="336646B7">
            <w:pPr>
              <w:spacing w:before="120" w:after="120"/>
              <w:ind w:left="-20" w:right="-20"/>
            </w:pPr>
            <w:r w:rsidRPr="336646B7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2F87D71" w14:textId="5F54C83E" w:rsidR="336646B7" w:rsidRDefault="336646B7" w:rsidP="336646B7">
            <w:pPr>
              <w:spacing w:before="120" w:after="120"/>
              <w:ind w:left="-20" w:right="-20"/>
            </w:pPr>
            <w:r w:rsidRPr="336646B7">
              <w:rPr>
                <w:rFonts w:ascii="Calibri" w:eastAsia="Calibri" w:hAnsi="Calibri" w:cs="Calibri"/>
                <w:b/>
                <w:bCs/>
                <w:color w:val="000000" w:themeColor="text1"/>
              </w:rPr>
              <w:t>UNSPSC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51A1C0B" w14:textId="250FE6B1" w:rsidR="336646B7" w:rsidRDefault="336646B7" w:rsidP="336646B7">
            <w:pPr>
              <w:spacing w:before="120" w:after="120"/>
              <w:ind w:left="-20" w:right="-20"/>
            </w:pPr>
            <w:r w:rsidRPr="336646B7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</w:tr>
      <w:tr w:rsidR="007C252D" w14:paraId="45E0B99F" w14:textId="77777777" w:rsidTr="00174B98">
        <w:trPr>
          <w:trHeight w:val="285"/>
        </w:trPr>
        <w:tc>
          <w:tcPr>
            <w:tcW w:w="90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1F70CFCD" w14:textId="55F33C67" w:rsidR="007C252D" w:rsidRPr="336646B7" w:rsidRDefault="0026697C" w:rsidP="336646B7">
            <w:pPr>
              <w:spacing w:before="120" w:after="120"/>
              <w:ind w:left="-20" w:right="-2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2669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Building and Construction and Maintenance Services codes</w:t>
            </w:r>
          </w:p>
        </w:tc>
      </w:tr>
      <w:tr w:rsidR="336646B7" w14:paraId="4385C1FE" w14:textId="77777777" w:rsidTr="002F6275">
        <w:trPr>
          <w:trHeight w:val="28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B9857B" w14:textId="0B323962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</w:t>
            </w:r>
          </w:p>
        </w:tc>
        <w:tc>
          <w:tcPr>
            <w:tcW w:w="21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E907C1" w14:textId="5C88D1CE" w:rsidR="336646B7" w:rsidRPr="002F6275" w:rsidRDefault="336646B7" w:rsidP="336646B7">
            <w:pPr>
              <w:spacing w:before="60" w:after="120"/>
              <w:ind w:left="-20" w:right="-20"/>
              <w:rPr>
                <w:b/>
              </w:rPr>
            </w:pPr>
            <w:r w:rsidRPr="336646B7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Building and Construction and Maintenance Services</w:t>
            </w:r>
          </w:p>
          <w:p w14:paraId="0D84C573" w14:textId="09F835D6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Services associated with the construction and maintenance of facilities, buildings, structures, roads, and infrastructure.</w:t>
            </w:r>
          </w:p>
          <w:p w14:paraId="05D07CBA" w14:textId="3329E45C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Also includes trades such as general contractors, electricians, plumbers, carpenters, painters, roofing, landscaping, gardening, and pest control.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49B9D" w14:textId="2486E67B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72100000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21ABE5" w14:textId="0A66FCC5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Building construction and support and maintenance and repair services</w:t>
            </w:r>
          </w:p>
        </w:tc>
      </w:tr>
      <w:tr w:rsidR="336646B7" w14:paraId="1E743E87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BB6AC14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FABC1F3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886A1" w14:textId="7BBEBE49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72101500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9E80FB" w14:textId="319474BF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Building support services</w:t>
            </w:r>
          </w:p>
        </w:tc>
      </w:tr>
      <w:tr w:rsidR="336646B7" w14:paraId="12328EA0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D62F2FE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F6F6632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5D39D2" w14:textId="11525E4A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72102100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D8BA5" w14:textId="5AE21ABE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 xml:space="preserve">Pest control </w:t>
            </w:r>
          </w:p>
        </w:tc>
      </w:tr>
      <w:tr w:rsidR="336646B7" w14:paraId="0F308A07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EEDE19B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73B7B5A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C9CC6C" w14:textId="37705ACC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72102900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AC9A7" w14:textId="470AA442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Facility maintenance and repair services</w:t>
            </w:r>
          </w:p>
        </w:tc>
      </w:tr>
      <w:tr w:rsidR="336646B7" w14:paraId="54DE5E94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92BBE93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0D0FF68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72880" w14:textId="127C1C98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72120000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C55DC" w14:textId="77AF773B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Non-residential building construction services</w:t>
            </w:r>
          </w:p>
        </w:tc>
      </w:tr>
      <w:tr w:rsidR="336646B7" w14:paraId="326F67D3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D7E8E20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9396A5F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30432" w14:textId="2866F81B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72121500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2059D" w14:textId="223907EF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Industrial plant construction services</w:t>
            </w:r>
          </w:p>
        </w:tc>
      </w:tr>
      <w:tr w:rsidR="336646B7" w14:paraId="1378A9EC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8532A18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676FCB5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A60E06" w14:textId="111208D7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72151200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958057" w14:textId="1685B621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Heating and cooling and air conditioning HVAC construction and maintenance services</w:t>
            </w:r>
          </w:p>
        </w:tc>
      </w:tr>
      <w:tr w:rsidR="336646B7" w14:paraId="295FDAB6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1EA963F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601245F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687256" w14:textId="691A3EA9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72151300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DB8CE" w14:textId="391ECEDD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Painting and paper hanging services</w:t>
            </w:r>
          </w:p>
        </w:tc>
      </w:tr>
      <w:tr w:rsidR="336646B7" w14:paraId="007FBA5C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3D35487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2F89814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BCC2E" w14:textId="22C011AF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72151500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2BE14" w14:textId="588F9B90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Electrical system services</w:t>
            </w:r>
          </w:p>
        </w:tc>
      </w:tr>
      <w:tr w:rsidR="336646B7" w14:paraId="760B41BE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5D8B0E6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91CAE72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0D647" w14:textId="728EE5FB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72151900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60A9AF" w14:textId="5D845621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Masonry and stonework services</w:t>
            </w:r>
          </w:p>
        </w:tc>
      </w:tr>
      <w:tr w:rsidR="336646B7" w14:paraId="550C5A47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46EC1E0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19BBEA5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07157F" w14:textId="7015B64F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72152300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69270" w14:textId="0321D365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Carpentry services</w:t>
            </w:r>
          </w:p>
        </w:tc>
      </w:tr>
      <w:tr w:rsidR="336646B7" w14:paraId="5FFC95FA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13A723C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ABF7AC9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155E1" w14:textId="1C1F3DA5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72152302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7746D" w14:textId="14781EC1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Finish carpentry service</w:t>
            </w:r>
          </w:p>
        </w:tc>
      </w:tr>
      <w:tr w:rsidR="336646B7" w14:paraId="2757095C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16CDD9B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02DF0E5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E46197" w14:textId="3F0C4D24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72152500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320AD" w14:textId="3BD246C5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Floor laying services</w:t>
            </w:r>
          </w:p>
        </w:tc>
      </w:tr>
      <w:tr w:rsidR="336646B7" w14:paraId="4BC3A267" w14:textId="77777777" w:rsidTr="002F6275">
        <w:trPr>
          <w:trHeight w:val="285"/>
        </w:trPr>
        <w:tc>
          <w:tcPr>
            <w:tcW w:w="96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7647F55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5C8AFFC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D02530" w14:textId="07CA3B1E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72153600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FC6CD" w14:textId="777C459C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Interior finishing and furnishing and remodelling services</w:t>
            </w:r>
          </w:p>
        </w:tc>
      </w:tr>
      <w:tr w:rsidR="336646B7" w14:paraId="558D1172" w14:textId="77777777" w:rsidTr="002F6275">
        <w:trPr>
          <w:trHeight w:val="285"/>
        </w:trPr>
        <w:tc>
          <w:tcPr>
            <w:tcW w:w="96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11AAFBF" w14:textId="77777777" w:rsidR="001128F4" w:rsidRDefault="001128F4"/>
        </w:tc>
        <w:tc>
          <w:tcPr>
            <w:tcW w:w="2175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48E2F9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23123" w14:textId="142F9DBD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72153900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A7BE0" w14:textId="1199C579" w:rsidR="336646B7" w:rsidRDefault="336646B7" w:rsidP="336646B7">
            <w:pPr>
              <w:spacing w:before="60" w:after="120" w:line="257" w:lineRule="auto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Building site preparation services</w:t>
            </w:r>
          </w:p>
        </w:tc>
      </w:tr>
      <w:tr w:rsidR="0026697C" w14:paraId="0C1A305E" w14:textId="77777777" w:rsidTr="00174B98">
        <w:trPr>
          <w:trHeight w:val="285"/>
        </w:trPr>
        <w:tc>
          <w:tcPr>
            <w:tcW w:w="90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DCE3D81" w14:textId="71A781B6" w:rsidR="0026697C" w:rsidRPr="00174B98" w:rsidRDefault="00174B98" w:rsidP="336646B7">
            <w:pPr>
              <w:spacing w:before="60" w:after="120" w:line="257" w:lineRule="auto"/>
              <w:ind w:left="-20" w:right="-2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174B98">
              <w:rPr>
                <w:rFonts w:ascii="Calibri" w:eastAsia="Calibri" w:hAnsi="Calibri" w:cs="Calibri"/>
                <w:b/>
                <w:bCs/>
                <w:color w:val="000000" w:themeColor="text1"/>
              </w:rPr>
              <w:t>ICT codes</w:t>
            </w:r>
          </w:p>
        </w:tc>
      </w:tr>
      <w:tr w:rsidR="336646B7" w14:paraId="3F5A41DF" w14:textId="77777777" w:rsidTr="002F6275">
        <w:trPr>
          <w:trHeight w:val="28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CEC09" w14:textId="0F58080A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80</w:t>
            </w:r>
          </w:p>
        </w:tc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F9B5F" w14:textId="1F320887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Management and Business Professionals and Administrative Services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A7350" w14:textId="488302B6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80101507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8B62C" w14:textId="58735FE6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Information technology consultation services</w:t>
            </w:r>
          </w:p>
        </w:tc>
      </w:tr>
      <w:tr w:rsidR="336646B7" w14:paraId="0B114D7F" w14:textId="77777777" w:rsidTr="00FE2983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9F8AFA" w14:textId="77777777" w:rsidR="002F6275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</w:t>
            </w:r>
          </w:p>
          <w:p w14:paraId="0F7631C4" w14:textId="13A37F1A" w:rsidR="336646B7" w:rsidRDefault="002F6275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72C5" w14:textId="4CAFEB8D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Engineering and Research and Technology Based Services</w:t>
            </w:r>
          </w:p>
          <w:p w14:paraId="48E5CB57" w14:textId="312BC36B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 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F63479" w14:textId="6C1B4847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lastRenderedPageBreak/>
              <w:t>81110000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B86E1E7" w14:textId="01316190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Computer services</w:t>
            </w:r>
          </w:p>
        </w:tc>
      </w:tr>
      <w:tr w:rsidR="336646B7" w14:paraId="12C28A4D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34930D" w14:textId="5CF888F1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4D05E3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2BDEB9E" w14:textId="6B1CD01B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02AFFE" w14:textId="09936174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Forensic IT Services</w:t>
            </w:r>
          </w:p>
        </w:tc>
      </w:tr>
      <w:tr w:rsidR="336646B7" w14:paraId="67046EFD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EDB7DA" w14:textId="04D0EF8B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D00F1C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2FC439" w14:textId="7B6C0F54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81111500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819B2D" w14:textId="339B2B78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Software or hardware engineering</w:t>
            </w:r>
          </w:p>
        </w:tc>
      </w:tr>
      <w:tr w:rsidR="336646B7" w14:paraId="0924D8FA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0FD2C1" w14:textId="2CEAB4AC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A2E745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E703DB7" w14:textId="7FA22902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81111508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95D47CA" w14:textId="1F270760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Application implementation services</w:t>
            </w:r>
          </w:p>
        </w:tc>
      </w:tr>
      <w:tr w:rsidR="336646B7" w14:paraId="6E4C5C00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40AF68" w14:textId="06D32607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114521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354AF8" w14:textId="108567FB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81111600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AF93794" w14:textId="53EDEF3B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Computer programmers</w:t>
            </w:r>
          </w:p>
        </w:tc>
      </w:tr>
      <w:tr w:rsidR="336646B7" w14:paraId="041852C7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5C0ED6" w14:textId="38207D15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A4A9B9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122E04C" w14:textId="704074ED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81111700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7976868" w14:textId="24B7EC2A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Management information systems MIS</w:t>
            </w:r>
          </w:p>
        </w:tc>
      </w:tr>
      <w:tr w:rsidR="336646B7" w14:paraId="579E527B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EC548B" w14:textId="6DE4D315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0A1E7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92DB1AD" w14:textId="40476FD4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81111800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C5C83E" w14:textId="51F4CE38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System administrators</w:t>
            </w:r>
          </w:p>
        </w:tc>
      </w:tr>
      <w:tr w:rsidR="336646B7" w14:paraId="327A95C4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42E069" w14:textId="2165C4B8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43F638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5EB776D" w14:textId="2D60A274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81162200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851EA3D" w14:textId="1792A551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Infrastructure as a Service (IaaS – Cloud)</w:t>
            </w:r>
          </w:p>
        </w:tc>
      </w:tr>
      <w:tr w:rsidR="336646B7" w14:paraId="54CE2362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BC17C8" w14:textId="0E6BE2B1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BDEA8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F8363CC" w14:textId="3FE13F1C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81111900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590E733" w14:textId="3FBAE28B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Information retrieval systems</w:t>
            </w:r>
          </w:p>
        </w:tc>
      </w:tr>
      <w:tr w:rsidR="336646B7" w14:paraId="3A1BF0B9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396539" w14:textId="3BE9647F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65E676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51BD63F" w14:textId="6CA015A0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81112300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E6C84DC" w14:textId="2F1B20DF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Computer hardware maintenance and support</w:t>
            </w:r>
          </w:p>
        </w:tc>
      </w:tr>
      <w:tr w:rsidR="336646B7" w14:paraId="6CACF605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6C638C" w14:textId="0BAFAAE6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900EB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893CEA9" w14:textId="691580A4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81112000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308A042" w14:textId="6DA1C9A4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Data services</w:t>
            </w:r>
          </w:p>
        </w:tc>
      </w:tr>
      <w:tr w:rsidR="336646B7" w14:paraId="1C564B96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AE3F1C" w14:textId="2127AAC1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F31D85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C7E2114" w14:textId="34B91DE5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81112002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F0A596" w14:textId="1BAF299B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Data processing or preparation services</w:t>
            </w:r>
          </w:p>
        </w:tc>
      </w:tr>
      <w:tr w:rsidR="336646B7" w14:paraId="394BA293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761C85" w14:textId="29E58657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F7616A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8DA9F3" w14:textId="76A29BFE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81112100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7985F08" w14:textId="195D6F35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Internet services</w:t>
            </w:r>
          </w:p>
        </w:tc>
      </w:tr>
      <w:tr w:rsidR="336646B7" w14:paraId="06B22F48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3930EA" w14:textId="17D32FF0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DC1DED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162A7A2" w14:textId="31785C92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81112200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21E860D" w14:textId="74D728AF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Software maintenance and support</w:t>
            </w:r>
          </w:p>
        </w:tc>
      </w:tr>
      <w:tr w:rsidR="336646B7" w14:paraId="2885AE2F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44588C" w14:textId="5F52035C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8DC00B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D002C7" w14:textId="09BD230C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81162100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8673A7C" w14:textId="1E2DCAFD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Platform as a Service (PaaS – Cloud)</w:t>
            </w:r>
          </w:p>
        </w:tc>
      </w:tr>
      <w:tr w:rsidR="336646B7" w14:paraId="1A361568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BD37F7" w14:textId="48F20490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FC2D83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2ED49F5" w14:textId="786FC595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81162000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7C187A8" w14:textId="6C3AEC77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Software as a Service (SaaS – Cloud)</w:t>
            </w:r>
          </w:p>
        </w:tc>
      </w:tr>
      <w:tr w:rsidR="336646B7" w14:paraId="57E9D9CB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8FEC57" w14:textId="34D075C5" w:rsidR="001128F4" w:rsidRDefault="001128F4" w:rsidP="336646B7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3CE719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58AA0" w14:textId="547B2499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81112201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2E3C66" w14:textId="1B968CE8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Maintenance or support fees</w:t>
            </w:r>
          </w:p>
        </w:tc>
      </w:tr>
      <w:tr w:rsidR="002F6275" w14:paraId="5412DFE9" w14:textId="77777777" w:rsidTr="00FE2983">
        <w:trPr>
          <w:trHeight w:val="300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F42268" w14:textId="380BBEE5" w:rsidR="002F6275" w:rsidRDefault="002F6275" w:rsidP="002F6275">
            <w:pPr>
              <w:spacing w:before="60" w:after="120"/>
              <w:ind w:left="-20" w:right="-20"/>
            </w:pPr>
          </w:p>
        </w:tc>
        <w:tc>
          <w:tcPr>
            <w:tcW w:w="21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D8C259" w14:textId="77777777" w:rsidR="002F6275" w:rsidRDefault="002F6275" w:rsidP="002F6275"/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0A4D6FB" w14:textId="39C3A00F" w:rsidR="002F6275" w:rsidRPr="336646B7" w:rsidRDefault="002F6275" w:rsidP="002F6275">
            <w:pPr>
              <w:spacing w:before="60" w:after="12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81141801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ED81E65" w14:textId="20E02463" w:rsidR="002F6275" w:rsidRPr="336646B7" w:rsidRDefault="002F6275" w:rsidP="002F6275">
            <w:pPr>
              <w:spacing w:before="60" w:after="12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Safety or risk analysis</w:t>
            </w:r>
          </w:p>
        </w:tc>
      </w:tr>
      <w:tr w:rsidR="336646B7" w14:paraId="284A13E9" w14:textId="77777777" w:rsidTr="002F6275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5EE78" w14:textId="65D0DA2A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83</w:t>
            </w:r>
          </w:p>
        </w:tc>
        <w:tc>
          <w:tcPr>
            <w:tcW w:w="21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07BF9" w14:textId="09284A02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Public Utilities and Public Sector Related Services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18CBAB" w14:textId="0983D94D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83120000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47407" w14:textId="3AE694AD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Information services</w:t>
            </w:r>
          </w:p>
        </w:tc>
      </w:tr>
      <w:tr w:rsidR="336646B7" w14:paraId="3618B12C" w14:textId="77777777" w:rsidTr="002F6275">
        <w:trPr>
          <w:trHeight w:val="300"/>
        </w:trPr>
        <w:tc>
          <w:tcPr>
            <w:tcW w:w="96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D2DE23E" w14:textId="77777777" w:rsidR="001128F4" w:rsidRDefault="001128F4"/>
        </w:tc>
        <w:tc>
          <w:tcPr>
            <w:tcW w:w="217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71203AA" w14:textId="77777777" w:rsidR="001128F4" w:rsidRDefault="001128F4"/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FE32D9" w14:textId="3F7903D3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83121604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47D5E" w14:textId="2CA53940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Online database information retrieval systems</w:t>
            </w:r>
          </w:p>
        </w:tc>
      </w:tr>
      <w:tr w:rsidR="336646B7" w14:paraId="05205537" w14:textId="77777777" w:rsidTr="002F62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548719" w14:textId="28536066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86</w:t>
            </w:r>
          </w:p>
        </w:tc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6A4BE4" w14:textId="483FAC48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Education and Training Services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A67F1C" w14:textId="439AD809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86141704</w:t>
            </w:r>
          </w:p>
        </w:tc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F867F8" w14:textId="023D880E" w:rsidR="336646B7" w:rsidRDefault="336646B7" w:rsidP="336646B7">
            <w:pPr>
              <w:spacing w:before="60" w:after="120"/>
              <w:ind w:left="-20" w:right="-20"/>
            </w:pPr>
            <w:r w:rsidRPr="336646B7">
              <w:rPr>
                <w:rFonts w:ascii="Calibri" w:eastAsia="Calibri" w:hAnsi="Calibri" w:cs="Calibri"/>
                <w:color w:val="000000" w:themeColor="text1"/>
              </w:rPr>
              <w:t>Library or documentation services</w:t>
            </w:r>
          </w:p>
        </w:tc>
      </w:tr>
    </w:tbl>
    <w:p w14:paraId="1FE7FE51" w14:textId="33509DD8" w:rsidR="10FAAEFA" w:rsidRDefault="10FAAEFA" w:rsidP="10FAAEFA">
      <w:pPr>
        <w:pStyle w:val="Footer"/>
        <w:rPr>
          <w:color w:val="000000" w:themeColor="text1"/>
        </w:rPr>
      </w:pPr>
    </w:p>
    <w:sectPr w:rsidR="10FAAEFA" w:rsidSect="008C3AE6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04B87" w14:textId="77777777" w:rsidR="000E43EE" w:rsidRDefault="000E43EE" w:rsidP="0051352E">
      <w:pPr>
        <w:spacing w:after="0" w:line="240" w:lineRule="auto"/>
      </w:pPr>
      <w:r>
        <w:separator/>
      </w:r>
    </w:p>
  </w:endnote>
  <w:endnote w:type="continuationSeparator" w:id="0">
    <w:p w14:paraId="70B4F3A0" w14:textId="77777777" w:rsidR="000E43EE" w:rsidRDefault="000E43EE" w:rsidP="0051352E">
      <w:pPr>
        <w:spacing w:after="0" w:line="240" w:lineRule="auto"/>
      </w:pPr>
      <w:r>
        <w:continuationSeparator/>
      </w:r>
    </w:p>
  </w:endnote>
  <w:endnote w:type="continuationNotice" w:id="1">
    <w:p w14:paraId="57CA7D80" w14:textId="77777777" w:rsidR="000E43EE" w:rsidRDefault="000E43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C0874" w14:textId="045DE827" w:rsidR="00662A42" w:rsidRDefault="00A54B68" w:rsidP="00B41520">
    <w:pPr>
      <w:pStyle w:val="Footer"/>
      <w:jc w:val="right"/>
    </w:pPr>
    <w:sdt>
      <w:sdtPr>
        <w:id w:val="-17503416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7B72">
          <w:fldChar w:fldCharType="begin"/>
        </w:r>
        <w:r w:rsidR="00187B72">
          <w:instrText xml:space="preserve"> PAGE   \* MERGEFORMAT </w:instrText>
        </w:r>
        <w:r w:rsidR="00187B72">
          <w:fldChar w:fldCharType="separate"/>
        </w:r>
        <w:r w:rsidR="00187B72">
          <w:rPr>
            <w:noProof/>
          </w:rPr>
          <w:t>2</w:t>
        </w:r>
        <w:r w:rsidR="00187B72">
          <w:rPr>
            <w:noProof/>
          </w:rPr>
          <w:fldChar w:fldCharType="end"/>
        </w:r>
      </w:sdtContent>
    </w:sdt>
    <w:r w:rsidR="00B4152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5FDAB" wp14:editId="1883E43C">
              <wp:simplePos x="0" y="0"/>
              <wp:positionH relativeFrom="page">
                <wp:align>left</wp:align>
              </wp:positionH>
              <wp:positionV relativeFrom="paragraph">
                <wp:posOffset>403761</wp:posOffset>
              </wp:positionV>
              <wp:extent cx="7560000" cy="198000"/>
              <wp:effectExtent l="0" t="0" r="3175" b="0"/>
              <wp:wrapNone/>
              <wp:docPr id="1225221292" name="Rectangle 1225221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4F8A5" id="Rectangle 1225221292" o:spid="_x0000_s1026" alt="&quot;&quot;" style="position:absolute;margin-left:0;margin-top:31.8pt;width:595.3pt;height:15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4ZAvv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6251" w14:textId="7210EA07" w:rsidR="00662A42" w:rsidRDefault="00A54B68" w:rsidP="00B41520">
    <w:pPr>
      <w:pStyle w:val="Footer"/>
      <w:jc w:val="right"/>
    </w:pPr>
    <w:sdt>
      <w:sdtPr>
        <w:id w:val="-9836115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41520">
          <w:fldChar w:fldCharType="begin"/>
        </w:r>
        <w:r w:rsidR="00B41520">
          <w:instrText xml:space="preserve"> PAGE   \* MERGEFORMAT </w:instrText>
        </w:r>
        <w:r w:rsidR="00B41520">
          <w:fldChar w:fldCharType="separate"/>
        </w:r>
        <w:r w:rsidR="00B41520">
          <w:t>2</w:t>
        </w:r>
        <w:r w:rsidR="00B41520">
          <w:rPr>
            <w:noProof/>
          </w:rPr>
          <w:fldChar w:fldCharType="end"/>
        </w:r>
      </w:sdtContent>
    </w:sdt>
    <w:r w:rsidR="00B41520">
      <w:rPr>
        <w:noProof/>
      </w:rPr>
      <w:t xml:space="preserve"> </w:t>
    </w:r>
    <w:r w:rsidR="00662A4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B0090B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F976A" w14:textId="77777777" w:rsidR="000E43EE" w:rsidRDefault="000E43EE" w:rsidP="0051352E">
      <w:pPr>
        <w:spacing w:after="0" w:line="240" w:lineRule="auto"/>
      </w:pPr>
      <w:r>
        <w:separator/>
      </w:r>
    </w:p>
  </w:footnote>
  <w:footnote w:type="continuationSeparator" w:id="0">
    <w:p w14:paraId="12D8848F" w14:textId="77777777" w:rsidR="000E43EE" w:rsidRDefault="000E43EE" w:rsidP="0051352E">
      <w:pPr>
        <w:spacing w:after="0" w:line="240" w:lineRule="auto"/>
      </w:pPr>
      <w:r>
        <w:continuationSeparator/>
      </w:r>
    </w:p>
  </w:footnote>
  <w:footnote w:type="continuationNotice" w:id="1">
    <w:p w14:paraId="2A74F5E8" w14:textId="77777777" w:rsidR="000E43EE" w:rsidRDefault="000E43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4A5AD6"/>
    <w:multiLevelType w:val="hybridMultilevel"/>
    <w:tmpl w:val="1146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FD1180"/>
    <w:multiLevelType w:val="hybridMultilevel"/>
    <w:tmpl w:val="360E1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87A08"/>
    <w:multiLevelType w:val="hybridMultilevel"/>
    <w:tmpl w:val="9F0E8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168A8"/>
    <w:multiLevelType w:val="hybridMultilevel"/>
    <w:tmpl w:val="A21EC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D2A62"/>
    <w:multiLevelType w:val="hybridMultilevel"/>
    <w:tmpl w:val="5A82B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60396">
    <w:abstractNumId w:val="9"/>
  </w:num>
  <w:num w:numId="2" w16cid:durableId="342510552">
    <w:abstractNumId w:val="7"/>
  </w:num>
  <w:num w:numId="3" w16cid:durableId="1594895232">
    <w:abstractNumId w:val="6"/>
  </w:num>
  <w:num w:numId="4" w16cid:durableId="1820461966">
    <w:abstractNumId w:val="5"/>
  </w:num>
  <w:num w:numId="5" w16cid:durableId="1501845443">
    <w:abstractNumId w:val="4"/>
  </w:num>
  <w:num w:numId="6" w16cid:durableId="729040880">
    <w:abstractNumId w:val="8"/>
  </w:num>
  <w:num w:numId="7" w16cid:durableId="278419321">
    <w:abstractNumId w:val="3"/>
  </w:num>
  <w:num w:numId="8" w16cid:durableId="574701396">
    <w:abstractNumId w:val="2"/>
  </w:num>
  <w:num w:numId="9" w16cid:durableId="2082634113">
    <w:abstractNumId w:val="1"/>
  </w:num>
  <w:num w:numId="10" w16cid:durableId="806321090">
    <w:abstractNumId w:val="0"/>
  </w:num>
  <w:num w:numId="11" w16cid:durableId="63377158">
    <w:abstractNumId w:val="10"/>
  </w:num>
  <w:num w:numId="12" w16cid:durableId="1523323380">
    <w:abstractNumId w:val="12"/>
  </w:num>
  <w:num w:numId="13" w16cid:durableId="933829800">
    <w:abstractNumId w:val="13"/>
  </w:num>
  <w:num w:numId="14" w16cid:durableId="428543063">
    <w:abstractNumId w:val="11"/>
  </w:num>
  <w:num w:numId="15" w16cid:durableId="632831506">
    <w:abstractNumId w:val="17"/>
  </w:num>
  <w:num w:numId="16" w16cid:durableId="1637880412">
    <w:abstractNumId w:val="16"/>
  </w:num>
  <w:num w:numId="17" w16cid:durableId="67582024">
    <w:abstractNumId w:val="14"/>
  </w:num>
  <w:num w:numId="18" w16cid:durableId="1301809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15C0F"/>
    <w:rsid w:val="0004045E"/>
    <w:rsid w:val="00052BBC"/>
    <w:rsid w:val="000632F5"/>
    <w:rsid w:val="000638B2"/>
    <w:rsid w:val="00067075"/>
    <w:rsid w:val="00071F9D"/>
    <w:rsid w:val="00082597"/>
    <w:rsid w:val="000A453D"/>
    <w:rsid w:val="000A4F2C"/>
    <w:rsid w:val="000B34BD"/>
    <w:rsid w:val="000C0667"/>
    <w:rsid w:val="000C577F"/>
    <w:rsid w:val="000D7964"/>
    <w:rsid w:val="000E43EE"/>
    <w:rsid w:val="000E671D"/>
    <w:rsid w:val="00111085"/>
    <w:rsid w:val="001128F4"/>
    <w:rsid w:val="001263AD"/>
    <w:rsid w:val="00157F35"/>
    <w:rsid w:val="00161A7B"/>
    <w:rsid w:val="00174B98"/>
    <w:rsid w:val="00175038"/>
    <w:rsid w:val="00177381"/>
    <w:rsid w:val="00181E75"/>
    <w:rsid w:val="00187B72"/>
    <w:rsid w:val="00197164"/>
    <w:rsid w:val="001B0A83"/>
    <w:rsid w:val="001C4BB9"/>
    <w:rsid w:val="001F37AD"/>
    <w:rsid w:val="00217EAB"/>
    <w:rsid w:val="0022498C"/>
    <w:rsid w:val="0022626C"/>
    <w:rsid w:val="00232AEA"/>
    <w:rsid w:val="00244E8A"/>
    <w:rsid w:val="002466D9"/>
    <w:rsid w:val="0026697C"/>
    <w:rsid w:val="002724D0"/>
    <w:rsid w:val="002A7840"/>
    <w:rsid w:val="002B1256"/>
    <w:rsid w:val="002B1425"/>
    <w:rsid w:val="002B1CE5"/>
    <w:rsid w:val="002B4257"/>
    <w:rsid w:val="002E063A"/>
    <w:rsid w:val="002E0A6E"/>
    <w:rsid w:val="002F4DB3"/>
    <w:rsid w:val="002F6275"/>
    <w:rsid w:val="0032041D"/>
    <w:rsid w:val="0032726E"/>
    <w:rsid w:val="00350FFA"/>
    <w:rsid w:val="00354001"/>
    <w:rsid w:val="00356B4A"/>
    <w:rsid w:val="00365E7E"/>
    <w:rsid w:val="00375C95"/>
    <w:rsid w:val="00382F07"/>
    <w:rsid w:val="00383E2F"/>
    <w:rsid w:val="003A2EFF"/>
    <w:rsid w:val="003D6F5D"/>
    <w:rsid w:val="003E20E0"/>
    <w:rsid w:val="003E4304"/>
    <w:rsid w:val="003F2C34"/>
    <w:rsid w:val="003F526E"/>
    <w:rsid w:val="00414677"/>
    <w:rsid w:val="004523C6"/>
    <w:rsid w:val="00453C04"/>
    <w:rsid w:val="00473959"/>
    <w:rsid w:val="004757DF"/>
    <w:rsid w:val="00497764"/>
    <w:rsid w:val="00497C8A"/>
    <w:rsid w:val="004C04EE"/>
    <w:rsid w:val="004C574A"/>
    <w:rsid w:val="004F3FE8"/>
    <w:rsid w:val="00506849"/>
    <w:rsid w:val="0051352E"/>
    <w:rsid w:val="0051625D"/>
    <w:rsid w:val="00517DA7"/>
    <w:rsid w:val="00520A33"/>
    <w:rsid w:val="005214C7"/>
    <w:rsid w:val="00527AE4"/>
    <w:rsid w:val="0055569D"/>
    <w:rsid w:val="00581A92"/>
    <w:rsid w:val="00596A88"/>
    <w:rsid w:val="005B326A"/>
    <w:rsid w:val="005D7CE7"/>
    <w:rsid w:val="005E103B"/>
    <w:rsid w:val="00610A38"/>
    <w:rsid w:val="00625E5B"/>
    <w:rsid w:val="00630DDF"/>
    <w:rsid w:val="006458CD"/>
    <w:rsid w:val="00662A42"/>
    <w:rsid w:val="006B0B39"/>
    <w:rsid w:val="006B77EC"/>
    <w:rsid w:val="006D1372"/>
    <w:rsid w:val="006D154E"/>
    <w:rsid w:val="006E5D6E"/>
    <w:rsid w:val="007121A0"/>
    <w:rsid w:val="00721B03"/>
    <w:rsid w:val="0072660B"/>
    <w:rsid w:val="00736E0A"/>
    <w:rsid w:val="007439A0"/>
    <w:rsid w:val="007570DC"/>
    <w:rsid w:val="0076744A"/>
    <w:rsid w:val="00776019"/>
    <w:rsid w:val="007A3155"/>
    <w:rsid w:val="007B1ABA"/>
    <w:rsid w:val="007B74C5"/>
    <w:rsid w:val="007C074C"/>
    <w:rsid w:val="007C252D"/>
    <w:rsid w:val="007F4CC7"/>
    <w:rsid w:val="008047FD"/>
    <w:rsid w:val="00826EA5"/>
    <w:rsid w:val="00841D71"/>
    <w:rsid w:val="00842C50"/>
    <w:rsid w:val="008507C1"/>
    <w:rsid w:val="00855AA6"/>
    <w:rsid w:val="00861934"/>
    <w:rsid w:val="008642F7"/>
    <w:rsid w:val="008756C5"/>
    <w:rsid w:val="00875E28"/>
    <w:rsid w:val="00884829"/>
    <w:rsid w:val="008C3AE6"/>
    <w:rsid w:val="008E0A29"/>
    <w:rsid w:val="008E22BA"/>
    <w:rsid w:val="008E6934"/>
    <w:rsid w:val="008F0AC9"/>
    <w:rsid w:val="00900F7F"/>
    <w:rsid w:val="00907F94"/>
    <w:rsid w:val="0093473D"/>
    <w:rsid w:val="00944ECC"/>
    <w:rsid w:val="00965C44"/>
    <w:rsid w:val="00972F57"/>
    <w:rsid w:val="00982896"/>
    <w:rsid w:val="00983EF7"/>
    <w:rsid w:val="00995280"/>
    <w:rsid w:val="009A6612"/>
    <w:rsid w:val="009B0A4D"/>
    <w:rsid w:val="009B124C"/>
    <w:rsid w:val="009B3B52"/>
    <w:rsid w:val="009F39AA"/>
    <w:rsid w:val="009F76C1"/>
    <w:rsid w:val="00A14382"/>
    <w:rsid w:val="00A16836"/>
    <w:rsid w:val="00A24E6E"/>
    <w:rsid w:val="00A43694"/>
    <w:rsid w:val="00A54473"/>
    <w:rsid w:val="00A56FC7"/>
    <w:rsid w:val="00A60F3A"/>
    <w:rsid w:val="00A668BF"/>
    <w:rsid w:val="00A72575"/>
    <w:rsid w:val="00A74071"/>
    <w:rsid w:val="00A74486"/>
    <w:rsid w:val="00A754E4"/>
    <w:rsid w:val="00AA124A"/>
    <w:rsid w:val="00AA2A96"/>
    <w:rsid w:val="00AB0A9B"/>
    <w:rsid w:val="00AB6EA6"/>
    <w:rsid w:val="00AE2249"/>
    <w:rsid w:val="00AF446C"/>
    <w:rsid w:val="00AF7B14"/>
    <w:rsid w:val="00B100CC"/>
    <w:rsid w:val="00B32EA4"/>
    <w:rsid w:val="00B41520"/>
    <w:rsid w:val="00B456C5"/>
    <w:rsid w:val="00B6689D"/>
    <w:rsid w:val="00B67EE9"/>
    <w:rsid w:val="00B72368"/>
    <w:rsid w:val="00B813AF"/>
    <w:rsid w:val="00B96DA9"/>
    <w:rsid w:val="00BA6742"/>
    <w:rsid w:val="00BA7D16"/>
    <w:rsid w:val="00BB3537"/>
    <w:rsid w:val="00BD12EA"/>
    <w:rsid w:val="00BE40B9"/>
    <w:rsid w:val="00C21771"/>
    <w:rsid w:val="00C21FE4"/>
    <w:rsid w:val="00C25D42"/>
    <w:rsid w:val="00C3083E"/>
    <w:rsid w:val="00C546A9"/>
    <w:rsid w:val="00C54D58"/>
    <w:rsid w:val="00C573E1"/>
    <w:rsid w:val="00C60222"/>
    <w:rsid w:val="00C72E31"/>
    <w:rsid w:val="00C736D3"/>
    <w:rsid w:val="00C84A73"/>
    <w:rsid w:val="00C93CC8"/>
    <w:rsid w:val="00C943C0"/>
    <w:rsid w:val="00C95DF6"/>
    <w:rsid w:val="00CC358C"/>
    <w:rsid w:val="00CC3BA4"/>
    <w:rsid w:val="00D0499F"/>
    <w:rsid w:val="00D07EA4"/>
    <w:rsid w:val="00D36711"/>
    <w:rsid w:val="00D71255"/>
    <w:rsid w:val="00D84667"/>
    <w:rsid w:val="00DA1B7B"/>
    <w:rsid w:val="00DB79DF"/>
    <w:rsid w:val="00DC7F5B"/>
    <w:rsid w:val="00DE0402"/>
    <w:rsid w:val="00DE1D12"/>
    <w:rsid w:val="00E02099"/>
    <w:rsid w:val="00E22711"/>
    <w:rsid w:val="00E26184"/>
    <w:rsid w:val="00E36EF8"/>
    <w:rsid w:val="00E44DE3"/>
    <w:rsid w:val="00E67289"/>
    <w:rsid w:val="00E9216D"/>
    <w:rsid w:val="00E953C2"/>
    <w:rsid w:val="00EA32F7"/>
    <w:rsid w:val="00EB3B29"/>
    <w:rsid w:val="00EC6A53"/>
    <w:rsid w:val="00EC7360"/>
    <w:rsid w:val="00EE5EEB"/>
    <w:rsid w:val="00EF4D61"/>
    <w:rsid w:val="00F230CD"/>
    <w:rsid w:val="00F408F5"/>
    <w:rsid w:val="00F44113"/>
    <w:rsid w:val="00F45D42"/>
    <w:rsid w:val="00F51C18"/>
    <w:rsid w:val="00F71EE0"/>
    <w:rsid w:val="00F821CE"/>
    <w:rsid w:val="00FA31E2"/>
    <w:rsid w:val="00FA4A3C"/>
    <w:rsid w:val="00FB6477"/>
    <w:rsid w:val="00FC47C9"/>
    <w:rsid w:val="00FD2496"/>
    <w:rsid w:val="00FE2983"/>
    <w:rsid w:val="00FE45DE"/>
    <w:rsid w:val="00FF4E2F"/>
    <w:rsid w:val="00FF5B70"/>
    <w:rsid w:val="00FF5BB9"/>
    <w:rsid w:val="0403D9CB"/>
    <w:rsid w:val="05634B20"/>
    <w:rsid w:val="05B49085"/>
    <w:rsid w:val="08D74AEE"/>
    <w:rsid w:val="10FAAEFA"/>
    <w:rsid w:val="12CB7650"/>
    <w:rsid w:val="1383E107"/>
    <w:rsid w:val="14472536"/>
    <w:rsid w:val="2620E433"/>
    <w:rsid w:val="2D6316F6"/>
    <w:rsid w:val="30F65274"/>
    <w:rsid w:val="336646B7"/>
    <w:rsid w:val="3D094FC2"/>
    <w:rsid w:val="3E053687"/>
    <w:rsid w:val="41521C77"/>
    <w:rsid w:val="48D96DC8"/>
    <w:rsid w:val="4C88CD29"/>
    <w:rsid w:val="4E9B1C32"/>
    <w:rsid w:val="626D63A2"/>
    <w:rsid w:val="63425336"/>
    <w:rsid w:val="674B07B6"/>
    <w:rsid w:val="6815C459"/>
    <w:rsid w:val="77153805"/>
    <w:rsid w:val="7969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  <w15:docId w15:val="{F86BCFCA-FF56-47B5-B1CF-CF702510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661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6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7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C7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dewr.gov.au/australian-skills-guarante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ASG@dewr.gov.a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9d646d-0fe8-4876-8896-a85182c8c4b5" xsi:nil="true"/>
    <lcf76f155ced4ddcb4097134ff3c332f xmlns="409f8594-b164-455e-aca0-53614ef5b7c1">
      <Terms xmlns="http://schemas.microsoft.com/office/infopath/2007/PartnerControls"/>
    </lcf76f155ced4ddcb4097134ff3c332f>
    <Location xmlns="409f8594-b164-455e-aca0-53614ef5b7c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025033DE46047828D88018635091B" ma:contentTypeVersion="24" ma:contentTypeDescription="Create a new document." ma:contentTypeScope="" ma:versionID="ca13587fbb33158ca6bf5f3e1733e807">
  <xsd:schema xmlns:xsd="http://www.w3.org/2001/XMLSchema" xmlns:xs="http://www.w3.org/2001/XMLSchema" xmlns:p="http://schemas.microsoft.com/office/2006/metadata/properties" xmlns:ns2="409f8594-b164-455e-aca0-53614ef5b7c1" xmlns:ns3="469d646d-0fe8-4876-8896-a85182c8c4b5" targetNamespace="http://schemas.microsoft.com/office/2006/metadata/properties" ma:root="true" ma:fieldsID="af56b4865b0ec5bca56831293e3504c1" ns2:_="" ns3:_="">
    <xsd:import namespace="409f8594-b164-455e-aca0-53614ef5b7c1"/>
    <xsd:import namespace="469d646d-0fe8-4876-8896-a85182c8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ocation" minOccurs="0"/>
                <xsd:element ref="ns2:ac32b987-56ab-4177-9673-f26ed9159544CountryOrRegion" minOccurs="0"/>
                <xsd:element ref="ns2:ac32b987-56ab-4177-9673-f26ed9159544State" minOccurs="0"/>
                <xsd:element ref="ns2:ac32b987-56ab-4177-9673-f26ed9159544City" minOccurs="0"/>
                <xsd:element ref="ns2:ac32b987-56ab-4177-9673-f26ed9159544PostalCode" minOccurs="0"/>
                <xsd:element ref="ns2:ac32b987-56ab-4177-9673-f26ed9159544Street" minOccurs="0"/>
                <xsd:element ref="ns2:ac32b987-56ab-4177-9673-f26ed9159544GeoLoc" minOccurs="0"/>
                <xsd:element ref="ns2:ac32b987-56ab-4177-9673-f26ed9159544DispNa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8594-b164-455e-aca0-53614ef5b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ocation" ma:index="23" nillable="true" ma:displayName="Location" ma:format="Dropdown" ma:internalName="Location">
      <xsd:simpleType>
        <xsd:restriction base="dms:Unknown"/>
      </xsd:simpleType>
    </xsd:element>
    <xsd:element name="ac32b987-56ab-4177-9673-f26ed9159544CountryOrRegion" ma:index="24" nillable="true" ma:displayName="Location: Country/Region" ma:internalName="CountryOrRegion" ma:readOnly="true">
      <xsd:simpleType>
        <xsd:restriction base="dms:Text"/>
      </xsd:simpleType>
    </xsd:element>
    <xsd:element name="ac32b987-56ab-4177-9673-f26ed9159544State" ma:index="25" nillable="true" ma:displayName="Location: State" ma:internalName="State" ma:readOnly="true">
      <xsd:simpleType>
        <xsd:restriction base="dms:Text"/>
      </xsd:simpleType>
    </xsd:element>
    <xsd:element name="ac32b987-56ab-4177-9673-f26ed9159544City" ma:index="26" nillable="true" ma:displayName="Location: City" ma:internalName="City" ma:readOnly="true">
      <xsd:simpleType>
        <xsd:restriction base="dms:Text"/>
      </xsd:simpleType>
    </xsd:element>
    <xsd:element name="ac32b987-56ab-4177-9673-f26ed9159544PostalCode" ma:index="27" nillable="true" ma:displayName="Location: Postal Code" ma:internalName="PostalCode" ma:readOnly="true">
      <xsd:simpleType>
        <xsd:restriction base="dms:Text"/>
      </xsd:simpleType>
    </xsd:element>
    <xsd:element name="ac32b987-56ab-4177-9673-f26ed9159544Street" ma:index="28" nillable="true" ma:displayName="Location: Street" ma:internalName="Street" ma:readOnly="true">
      <xsd:simpleType>
        <xsd:restriction base="dms:Text"/>
      </xsd:simpleType>
    </xsd:element>
    <xsd:element name="ac32b987-56ab-4177-9673-f26ed9159544GeoLoc" ma:index="29" nillable="true" ma:displayName="Location: Coordinates" ma:internalName="GeoLoc" ma:readOnly="true">
      <xsd:simpleType>
        <xsd:restriction base="dms:Unknown"/>
      </xsd:simpleType>
    </xsd:element>
    <xsd:element name="ac32b987-56ab-4177-9673-f26ed9159544DispName" ma:index="30" nillable="true" ma:displayName="Location: Name" ma:internalName="DispNam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d646d-0fe8-4876-8896-a85182c8c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04f870d-0731-45b1-afd8-7abc9af48d8f}" ma:internalName="TaxCatchAll" ma:showField="CatchAllData" ma:web="469d646d-0fe8-4876-8896-a85182c8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D6226-3EAF-46C5-B0F2-A2410F074527}">
  <ds:schemaRefs>
    <ds:schemaRef ds:uri="409f8594-b164-455e-aca0-53614ef5b7c1"/>
    <ds:schemaRef ds:uri="http://schemas.microsoft.com/office/2006/documentManagement/types"/>
    <ds:schemaRef ds:uri="http://schemas.microsoft.com/office/infopath/2007/PartnerControls"/>
    <ds:schemaRef ds:uri="469d646d-0fe8-4876-8896-a85182c8c4b5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0A7F4DB-B846-4841-8E8B-4B7311F2B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f8594-b164-455e-aca0-53614ef5b7c1"/>
    <ds:schemaRef ds:uri="469d646d-0fe8-4876-8896-a85182c8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DEWR A4 Factsheet Template - Portrait</vt:lpstr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DEWR A4 Factsheet Template - Portrait</dc:title>
  <dc:subject/>
  <dc:creator>PARDEW,Rebecca</dc:creator>
  <cp:keywords>DEWR A4 Factsheet Template - Portrait</cp:keywords>
  <dc:description/>
  <cp:lastModifiedBy>LODWICK,Harrison</cp:lastModifiedBy>
  <cp:revision>8</cp:revision>
  <cp:lastPrinted>2024-07-04T00:33:00Z</cp:lastPrinted>
  <dcterms:created xsi:type="dcterms:W3CDTF">2024-06-25T05:51:00Z</dcterms:created>
  <dcterms:modified xsi:type="dcterms:W3CDTF">2024-07-04T00:33:00Z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0x010100066025033DE46047828D88018635091B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Order">
    <vt:r8>203500</vt:r8>
  </property>
  <property fmtid="{D5CDD505-2E9C-101B-9397-08002B2CF9AE}" pid="14" name="_ExtendedDescription">
    <vt:lpwstr>DEWR A4 Factsheet Template - Portrait</vt:lpwstr>
  </property>
  <property fmtid="{D5CDD505-2E9C-101B-9397-08002B2CF9AE}" pid="15" name="IntranetKeywords">
    <vt:lpwstr/>
  </property>
  <property fmtid="{D5CDD505-2E9C-101B-9397-08002B2CF9AE}" pid="16" name="DocumentType">
    <vt:lpwstr>40;#Template|53a221cc-9320-4def-8306-8b4e731f6e2e</vt:lpwstr>
  </property>
  <property fmtid="{D5CDD505-2E9C-101B-9397-08002B2CF9AE}" pid="17" name="Stream">
    <vt:lpwstr>41;#Corporate|7bb9040f-4cd9-44c7-bbc0-0be84bb7e1f8;#3;# Communication|e33a97c0-aa3b-4cc8-bf05-e9cabbeb225f</vt:lpwstr>
  </property>
  <property fmtid="{D5CDD505-2E9C-101B-9397-08002B2CF9AE}" pid="18" name="MediaServiceImageTags">
    <vt:lpwstr/>
  </property>
</Properties>
</file>