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0C9E912E" w:rsidR="00782E5A" w:rsidRDefault="00DF4833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E6F7C9" wp14:editId="097D5023">
                <wp:simplePos x="0" y="0"/>
                <wp:positionH relativeFrom="page">
                  <wp:posOffset>-3810</wp:posOffset>
                </wp:positionH>
                <wp:positionV relativeFrom="page">
                  <wp:posOffset>-9525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pic="http://schemas.openxmlformats.org/drawingml/2006/picture" xmlns:a14="http://schemas.microsoft.com/office/drawing/2010/main" xmlns:adec="http://schemas.microsoft.com/office/drawing/2017/decorative" xmlns:a="http://schemas.openxmlformats.org/drawingml/2006/main">
            <w:pict>
              <v:rect id="Rectangle 3" style="position:absolute;margin-left:-.3pt;margin-top:-.75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4CA913F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l6QHt3gAAAAoBAAAPAAAAZHJzL2Rvd25yZXYu&#10;eG1sTI9BT8MwDIXvSPyHyEjctrSbVrrSdAIkxJkB0ri5TWirNU6VpFv37/FOcLKt9/T8vXI320Gc&#10;jA+9IwXpMgFhqHG6p1bB58frIgcRIpLGwZFRcDEBdtXtTYmFdmd6N6d9bAWHUChQQRfjWEgZms5Y&#10;DEs3GmLtx3mLkU/fSu3xzOF2kKskyaTFnvhDh6N56Uxz3E9WwWrz7fzzQV8OX3SUb22N0/oBlbq/&#10;m58eQUQzxz8zXPEZHSpmqt1EOohBwSJjI490A+Iqp/l2C6LmLcvXCciqlP8rV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pekB7d4AAAAK&#10;AQAADwAAAAAAAAAAAAAAAAD9vwAAZHJzL2Rvd25yZXYueG1sUEsBAi0AFAAGAAgAAAAhAKomDr68&#10;AAAAIQEAABkAAAAAAAAAAAAAAAAACMEAAGRycy9fcmVscy9lMm9Eb2MueG1sLnJlbHNQSwUGAAAA&#10;AAYABgB8AQAA+8EAAAAA&#10;">
                <v:fill type="frame" o:title="" recolor="t" rotate="t" r:id="rId12"/>
                <w10:wrap anchorx="page" anchory="page"/>
              </v:rect>
            </w:pict>
          </mc:Fallback>
        </mc:AlternateContent>
      </w:r>
      <w:r w:rsidR="00D062CF">
        <w:t xml:space="preserve">     </w:t>
      </w:r>
      <w:r w:rsidR="00782E5A">
        <w:rPr>
          <w:noProof/>
        </w:rPr>
        <w:drawing>
          <wp:inline distT="0" distB="0" distL="0" distR="0" wp14:anchorId="1900E1D2" wp14:editId="264AD818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4524B8A1" w:rsidR="005565B8" w:rsidRDefault="005565B8" w:rsidP="00F70E81">
      <w:pPr>
        <w:sectPr w:rsidR="005565B8" w:rsidSect="007073CB">
          <w:footerReference w:type="default" r:id="rId14"/>
          <w:footerReference w:type="first" r:id="rId15"/>
          <w:pgSz w:w="11906" w:h="16838"/>
          <w:pgMar w:top="822" w:right="1134" w:bottom="1418" w:left="1134" w:header="227" w:footer="340" w:gutter="0"/>
          <w:cols w:space="708"/>
          <w:titlePg/>
          <w:docGrid w:linePitch="360"/>
        </w:sectPr>
      </w:pPr>
    </w:p>
    <w:p w14:paraId="3AE47EA6" w14:textId="390EBAE8" w:rsidR="00755FD7" w:rsidRDefault="00CF5EE4" w:rsidP="00755FD7">
      <w:pPr>
        <w:pStyle w:val="Title"/>
      </w:pPr>
      <w:r>
        <w:t>Meaning of ‘employee’ and ‘employer’</w:t>
      </w:r>
      <w:r w:rsidR="755810AC">
        <w:t xml:space="preserve"> in the </w:t>
      </w:r>
      <w:r w:rsidR="755810AC" w:rsidRPr="00216927">
        <w:rPr>
          <w:i/>
          <w:iCs/>
        </w:rPr>
        <w:t>Fair Work Act 2009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3922AB7C">
        <w:tc>
          <w:tcPr>
            <w:tcW w:w="9638" w:type="dxa"/>
          </w:tcPr>
          <w:p w14:paraId="0F3A9A04" w14:textId="7622B655" w:rsidR="002F7ADA" w:rsidRPr="00243F46" w:rsidRDefault="50B9F9EF" w:rsidP="00DB6A75">
            <w:r>
              <w:t xml:space="preserve">These amendments </w:t>
            </w:r>
            <w:r w:rsidR="3E11333E">
              <w:t>introduce an interpretive principle for determining whether a</w:t>
            </w:r>
            <w:r w:rsidR="006317B0">
              <w:t xml:space="preserve">n individual </w:t>
            </w:r>
            <w:r w:rsidR="3E11333E">
              <w:t>is an</w:t>
            </w:r>
            <w:r w:rsidR="00247D65">
              <w:t xml:space="preserve"> ‘employee</w:t>
            </w:r>
            <w:proofErr w:type="gramStart"/>
            <w:r w:rsidR="00247D65">
              <w:t>’</w:t>
            </w:r>
            <w:proofErr w:type="gramEnd"/>
            <w:r w:rsidR="00247D65">
              <w:t xml:space="preserve"> </w:t>
            </w:r>
            <w:r w:rsidR="009508C9">
              <w:t xml:space="preserve">or a person is </w:t>
            </w:r>
            <w:r w:rsidR="00247D65">
              <w:t>an ‘employer</w:t>
            </w:r>
            <w:r w:rsidR="6727F23F">
              <w:t>’</w:t>
            </w:r>
            <w:r w:rsidR="00247D65">
              <w:t xml:space="preserve"> for the purposes of the </w:t>
            </w:r>
            <w:r w:rsidR="00247D65" w:rsidRPr="7E447D3B">
              <w:rPr>
                <w:i/>
              </w:rPr>
              <w:t>Fair Work Act</w:t>
            </w:r>
            <w:r w:rsidR="00DC25C3" w:rsidRPr="7E447D3B">
              <w:rPr>
                <w:i/>
              </w:rPr>
              <w:t xml:space="preserve"> 2009</w:t>
            </w:r>
            <w:r w:rsidR="00247D65" w:rsidRPr="7E447D3B">
              <w:t>.</w:t>
            </w:r>
            <w:r w:rsidR="00247D65">
              <w:t xml:space="preserve"> </w:t>
            </w:r>
          </w:p>
        </w:tc>
      </w:tr>
    </w:tbl>
    <w:p w14:paraId="3E505AA3" w14:textId="6CB27226" w:rsidR="003905C3" w:rsidRDefault="003905C3" w:rsidP="003905C3">
      <w:pPr>
        <w:pStyle w:val="Heading1"/>
      </w:pPr>
      <w:r>
        <w:t xml:space="preserve">What </w:t>
      </w:r>
      <w:r w:rsidR="00F26F10">
        <w:t>has changed</w:t>
      </w:r>
      <w:r>
        <w:t>?</w:t>
      </w:r>
    </w:p>
    <w:p w14:paraId="5666235B" w14:textId="576C5737" w:rsidR="002A1C52" w:rsidRDefault="00BA60E5" w:rsidP="1386F888">
      <w:pPr>
        <w:pStyle w:val="Heading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1386F88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This </w:t>
      </w:r>
      <w:r w:rsidR="006C7EC3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measure</w:t>
      </w:r>
      <w:r w:rsidR="002A1C52" w:rsidRPr="1386F88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amend</w:t>
      </w:r>
      <w:r w:rsidR="006C7EC3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s</w:t>
      </w:r>
      <w:r w:rsidR="002A1C52" w:rsidRPr="1386F88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F07C2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the </w:t>
      </w:r>
      <w:r w:rsidR="00F07C2C" w:rsidRPr="00F07C2C">
        <w:rPr>
          <w:rFonts w:asciiTheme="minorHAnsi" w:eastAsiaTheme="minorEastAsia" w:hAnsiTheme="minorHAnsi" w:cstheme="minorBidi"/>
          <w:b w:val="0"/>
          <w:i/>
          <w:iCs/>
          <w:color w:val="auto"/>
          <w:sz w:val="22"/>
          <w:szCs w:val="22"/>
        </w:rPr>
        <w:t>Fair Work Act 2009</w:t>
      </w:r>
      <w:r w:rsidR="00F07C2C" w:rsidRPr="00F07C2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(the Act). </w:t>
      </w:r>
      <w:r w:rsidR="002A1C52" w:rsidRPr="1386F88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to </w:t>
      </w:r>
      <w:r w:rsidR="00247D65" w:rsidRPr="1386F88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insert an interpretive principle that applies when determining the meaning of ‘employee’ and ‘employer’.</w:t>
      </w:r>
    </w:p>
    <w:p w14:paraId="4C8C50B6" w14:textId="42846132" w:rsidR="00075B4B" w:rsidRPr="00075B4B" w:rsidRDefault="00075B4B" w:rsidP="00075B4B">
      <w:r>
        <w:t xml:space="preserve">For the purposes of the Act, the terms </w:t>
      </w:r>
      <w:r w:rsidR="00883D2C">
        <w:t xml:space="preserve">‘employee’ and </w:t>
      </w:r>
      <w:r>
        <w:t>‘employer’</w:t>
      </w:r>
      <w:r w:rsidR="00883D2C">
        <w:t xml:space="preserve"> </w:t>
      </w:r>
      <w:r w:rsidR="007E261E">
        <w:t>would</w:t>
      </w:r>
      <w:r>
        <w:t xml:space="preserve"> be determined by </w:t>
      </w:r>
      <w:r w:rsidR="00D16360">
        <w:t xml:space="preserve">assessing </w:t>
      </w:r>
      <w:r>
        <w:t xml:space="preserve">the real substance, practical </w:t>
      </w:r>
      <w:proofErr w:type="gramStart"/>
      <w:r>
        <w:t>reality</w:t>
      </w:r>
      <w:proofErr w:type="gramEnd"/>
      <w:r>
        <w:t xml:space="preserve"> and true nature of the working relationship</w:t>
      </w:r>
      <w:r w:rsidR="00455F54">
        <w:t>, by considering the ‘totality’ of the relationship</w:t>
      </w:r>
      <w:r>
        <w:t xml:space="preserve">. </w:t>
      </w:r>
      <w:r w:rsidR="7F4DE5F7">
        <w:t xml:space="preserve">Eligible high income earning </w:t>
      </w:r>
      <w:r w:rsidR="009A7447">
        <w:t>individuals</w:t>
      </w:r>
      <w:r w:rsidR="443B3A91">
        <w:t xml:space="preserve"> can ‘opt out’ of the application of the interpretive principle.</w:t>
      </w:r>
    </w:p>
    <w:p w14:paraId="65BABF1C" w14:textId="6FED2B41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8C40DA">
        <w:t>do</w:t>
      </w:r>
      <w:r w:rsidR="00BD48FE">
        <w:t>es</w:t>
      </w:r>
      <w:r w:rsidR="008C40DA">
        <w:t xml:space="preserve"> th</w:t>
      </w:r>
      <w:r w:rsidR="00FD4F03">
        <w:t>i</w:t>
      </w:r>
      <w:r w:rsidR="008C40DA">
        <w:t xml:space="preserve">s change </w:t>
      </w:r>
      <w:r>
        <w:t>mean</w:t>
      </w:r>
      <w:bookmarkEnd w:id="0"/>
      <w:r>
        <w:t>?</w:t>
      </w:r>
      <w:bookmarkEnd w:id="1"/>
    </w:p>
    <w:p w14:paraId="42D735D6" w14:textId="0D5958EC" w:rsidR="00771F9D" w:rsidRDefault="00247D65" w:rsidP="003905C3">
      <w:r>
        <w:t xml:space="preserve">This change </w:t>
      </w:r>
      <w:r w:rsidR="00CD4680">
        <w:t xml:space="preserve">will </w:t>
      </w:r>
      <w:r>
        <w:t xml:space="preserve">mean </w:t>
      </w:r>
      <w:r w:rsidR="00455F54">
        <w:t>a fairer test applies when determining whether a</w:t>
      </w:r>
      <w:r w:rsidR="003251DE">
        <w:t xml:space="preserve">n individual </w:t>
      </w:r>
      <w:r w:rsidR="00455F54">
        <w:t xml:space="preserve">is an employee or </w:t>
      </w:r>
      <w:r w:rsidR="007B2968">
        <w:t>an independent contractor</w:t>
      </w:r>
      <w:r w:rsidR="0071703C">
        <w:t xml:space="preserve">, or </w:t>
      </w:r>
      <w:r w:rsidR="00515A4E">
        <w:t xml:space="preserve">a </w:t>
      </w:r>
      <w:r w:rsidR="003251DE">
        <w:t xml:space="preserve">person is </w:t>
      </w:r>
      <w:r w:rsidR="0071703C">
        <w:t xml:space="preserve">an </w:t>
      </w:r>
      <w:r w:rsidR="00EC1677">
        <w:t>employer or principal</w:t>
      </w:r>
      <w:r w:rsidR="00455F54">
        <w:t xml:space="preserve">. </w:t>
      </w:r>
      <w:r w:rsidR="00771F9D">
        <w:t>It mean</w:t>
      </w:r>
      <w:r w:rsidR="00CD4680">
        <w:t>s</w:t>
      </w:r>
      <w:r w:rsidR="00771F9D">
        <w:t xml:space="preserve"> the practical reality of the working relationship </w:t>
      </w:r>
      <w:r w:rsidR="008A38C5">
        <w:t xml:space="preserve">will </w:t>
      </w:r>
      <w:r w:rsidR="00771F9D">
        <w:t xml:space="preserve">be considered, </w:t>
      </w:r>
      <w:r w:rsidR="00086331">
        <w:t>as well as</w:t>
      </w:r>
      <w:r w:rsidR="1C9201B4">
        <w:t xml:space="preserve"> the written terms of</w:t>
      </w:r>
      <w:r w:rsidR="00771F9D">
        <w:t xml:space="preserve"> a</w:t>
      </w:r>
      <w:r w:rsidR="0C43DC40">
        <w:t>n</w:t>
      </w:r>
      <w:r w:rsidR="0046691A">
        <w:t>y</w:t>
      </w:r>
      <w:r w:rsidR="00771F9D">
        <w:t xml:space="preserve"> contract</w:t>
      </w:r>
      <w:r w:rsidR="0046691A">
        <w:t xml:space="preserve"> </w:t>
      </w:r>
      <w:r w:rsidR="00002BEA">
        <w:t>governing th</w:t>
      </w:r>
      <w:r w:rsidR="00725E1B">
        <w:t>at</w:t>
      </w:r>
      <w:r w:rsidR="00002BEA">
        <w:t xml:space="preserve"> relationship</w:t>
      </w:r>
      <w:r w:rsidR="00771F9D">
        <w:t xml:space="preserve">. </w:t>
      </w:r>
    </w:p>
    <w:p w14:paraId="2D486560" w14:textId="63C17A75" w:rsidR="00771F9D" w:rsidRDefault="00763821" w:rsidP="003905C3">
      <w:r w:rsidRPr="00763821">
        <w:t>The intention is to return to the ‘multi-factorial’ assessment previously applied by courts and tribunals to determine whether a relationship was one of employment</w:t>
      </w:r>
      <w:r>
        <w:t xml:space="preserve">. This test </w:t>
      </w:r>
      <w:r w:rsidRPr="00763821">
        <w:t>had been in place for almost 30 years prior to the High Court’s decisions in February 2022</w:t>
      </w:r>
      <w:r>
        <w:t xml:space="preserve"> </w:t>
      </w:r>
      <w:r w:rsidRPr="00763821">
        <w:t xml:space="preserve">in </w:t>
      </w:r>
      <w:r w:rsidRPr="00763821">
        <w:rPr>
          <w:i/>
          <w:iCs/>
        </w:rPr>
        <w:t>CFMMEU v Personnel Contracting Pty Ltd</w:t>
      </w:r>
      <w:r w:rsidRPr="00763821">
        <w:t xml:space="preserve"> [2022] HCA 1 and </w:t>
      </w:r>
      <w:r w:rsidRPr="00763821">
        <w:rPr>
          <w:i/>
          <w:iCs/>
        </w:rPr>
        <w:t xml:space="preserve">ZG Operations Australia Pty Ltd v </w:t>
      </w:r>
      <w:proofErr w:type="spellStart"/>
      <w:r w:rsidRPr="00763821">
        <w:rPr>
          <w:i/>
          <w:iCs/>
        </w:rPr>
        <w:t>Jamsek</w:t>
      </w:r>
      <w:proofErr w:type="spellEnd"/>
      <w:r w:rsidRPr="00763821">
        <w:t xml:space="preserve"> [2022] HCA 2.</w:t>
      </w:r>
      <w:r w:rsidR="00F07C2C">
        <w:t xml:space="preserve"> </w:t>
      </w:r>
      <w:proofErr w:type="gramStart"/>
      <w:r w:rsidR="7FB606CC">
        <w:t>This</w:t>
      </w:r>
      <w:proofErr w:type="gramEnd"/>
      <w:r w:rsidR="7FB606CC">
        <w:t xml:space="preserve"> change appl</w:t>
      </w:r>
      <w:r w:rsidR="00CD4680">
        <w:t>ies</w:t>
      </w:r>
      <w:r w:rsidR="7FB606CC">
        <w:t xml:space="preserve"> to </w:t>
      </w:r>
      <w:r w:rsidR="41D4066F">
        <w:t>most</w:t>
      </w:r>
      <w:r w:rsidR="7FB606CC">
        <w:t xml:space="preserve"> workers and businesses covered by the Act. </w:t>
      </w:r>
      <w:r w:rsidR="58B7EA3F">
        <w:t xml:space="preserve">Some workers </w:t>
      </w:r>
      <w:r w:rsidR="2DE36880">
        <w:t xml:space="preserve">and businesses </w:t>
      </w:r>
      <w:r w:rsidR="00CD4680">
        <w:t xml:space="preserve">will </w:t>
      </w:r>
      <w:r w:rsidR="2DE36880">
        <w:t xml:space="preserve">not be affected by this change, </w:t>
      </w:r>
      <w:r w:rsidR="57A08CBE">
        <w:t xml:space="preserve">including </w:t>
      </w:r>
      <w:r w:rsidR="00522F4D">
        <w:t xml:space="preserve">those who are only </w:t>
      </w:r>
      <w:r w:rsidR="2F09AD88">
        <w:t xml:space="preserve">national system employees and national system employers due to a </w:t>
      </w:r>
      <w:r w:rsidR="7053C967">
        <w:t>s</w:t>
      </w:r>
      <w:r w:rsidR="2F09AD88">
        <w:t>tate’s referral of powers to the Commonwealth</w:t>
      </w:r>
      <w:r w:rsidR="591D51A6">
        <w:t xml:space="preserve">. </w:t>
      </w:r>
      <w:r w:rsidR="2D5AC0A6">
        <w:t>This change</w:t>
      </w:r>
      <w:r w:rsidR="20C42064">
        <w:t xml:space="preserve"> </w:t>
      </w:r>
      <w:r w:rsidR="00CD4680">
        <w:t xml:space="preserve">will </w:t>
      </w:r>
      <w:r w:rsidR="2D5AC0A6">
        <w:t xml:space="preserve">also </w:t>
      </w:r>
      <w:r w:rsidR="00CB1B0F">
        <w:t xml:space="preserve">generally </w:t>
      </w:r>
      <w:r w:rsidR="2D5AC0A6">
        <w:t xml:space="preserve">not affect the meaning of </w:t>
      </w:r>
      <w:r w:rsidR="34FFAF0B">
        <w:t xml:space="preserve">the terms </w:t>
      </w:r>
      <w:r w:rsidR="2D5AC0A6">
        <w:t xml:space="preserve">‘employee’ and ‘employer’ </w:t>
      </w:r>
      <w:r w:rsidR="00810BBE">
        <w:t xml:space="preserve">as </w:t>
      </w:r>
      <w:r w:rsidR="2D5AC0A6">
        <w:t xml:space="preserve">used in other Commonwealth legislation. </w:t>
      </w:r>
    </w:p>
    <w:p w14:paraId="1D11CC26" w14:textId="1E96247E" w:rsidR="00EB36E4" w:rsidRDefault="2D56DA82" w:rsidP="003905C3">
      <w:r>
        <w:t>In practice,</w:t>
      </w:r>
      <w:r w:rsidR="00B12AD0">
        <w:t xml:space="preserve"> </w:t>
      </w:r>
      <w:r w:rsidR="6610301E">
        <w:t>most</w:t>
      </w:r>
      <w:r w:rsidR="00B12AD0">
        <w:t xml:space="preserve"> workers and businesses will not </w:t>
      </w:r>
      <w:r w:rsidR="190E102C">
        <w:t>be affected by th</w:t>
      </w:r>
      <w:r w:rsidR="00103CE1">
        <w:t>is</w:t>
      </w:r>
      <w:r w:rsidR="190E102C">
        <w:t xml:space="preserve"> change</w:t>
      </w:r>
      <w:r w:rsidR="00B12AD0">
        <w:t xml:space="preserve">, as it </w:t>
      </w:r>
      <w:r w:rsidR="58036F3D">
        <w:t>will be</w:t>
      </w:r>
      <w:r w:rsidR="00B12AD0">
        <w:t xml:space="preserve"> very clear where someone is an employ</w:t>
      </w:r>
      <w:r w:rsidR="00097C5B">
        <w:t>ee compared to a contractor.</w:t>
      </w:r>
      <w:r w:rsidR="006144E8">
        <w:t xml:space="preserve"> </w:t>
      </w:r>
      <w:r w:rsidR="00AC0D20">
        <w:t xml:space="preserve">For </w:t>
      </w:r>
      <w:r w:rsidR="00C118C9">
        <w:t>those working relationships where it is less clear, a fairer test will apply</w:t>
      </w:r>
      <w:r w:rsidR="6F269A24">
        <w:t xml:space="preserve"> when determining a person’s status</w:t>
      </w:r>
      <w:r w:rsidR="00C118C9">
        <w:t xml:space="preserve">. </w:t>
      </w:r>
    </w:p>
    <w:p w14:paraId="40DFD927" w14:textId="709AB6A7" w:rsidR="00EB36E4" w:rsidRDefault="28EBB7A8" w:rsidP="003905C3">
      <w:r>
        <w:lastRenderedPageBreak/>
        <w:t>A</w:t>
      </w:r>
      <w:r w:rsidR="00EF2005">
        <w:t>n</w:t>
      </w:r>
      <w:r>
        <w:t xml:space="preserve"> </w:t>
      </w:r>
      <w:r w:rsidR="009535E9">
        <w:t xml:space="preserve">individual </w:t>
      </w:r>
      <w:r w:rsidR="26CFC9D3">
        <w:t xml:space="preserve">who </w:t>
      </w:r>
      <w:r w:rsidR="006144E8">
        <w:t>earn</w:t>
      </w:r>
      <w:r w:rsidR="1BE892A3">
        <w:t>s</w:t>
      </w:r>
      <w:r w:rsidR="006144E8">
        <w:t xml:space="preserve"> above a </w:t>
      </w:r>
      <w:proofErr w:type="gramStart"/>
      <w:r w:rsidR="006144E8">
        <w:t>high income</w:t>
      </w:r>
      <w:proofErr w:type="gramEnd"/>
      <w:r w:rsidR="006144E8">
        <w:t xml:space="preserve"> threshold</w:t>
      </w:r>
      <w:r w:rsidR="61FD1EAA">
        <w:t xml:space="preserve"> (to be set by regulation)</w:t>
      </w:r>
      <w:r w:rsidR="006144E8">
        <w:t xml:space="preserve"> can </w:t>
      </w:r>
      <w:r w:rsidR="51329B6D">
        <w:t>‘</w:t>
      </w:r>
      <w:r w:rsidR="006144E8">
        <w:t>opt out</w:t>
      </w:r>
      <w:r w:rsidR="71F26405">
        <w:t>’</w:t>
      </w:r>
      <w:r w:rsidR="006144E8">
        <w:t xml:space="preserve"> </w:t>
      </w:r>
      <w:r w:rsidR="00714B7E">
        <w:t>of</w:t>
      </w:r>
      <w:r w:rsidR="58433FD9">
        <w:t xml:space="preserve"> the new interpretive principle</w:t>
      </w:r>
      <w:r w:rsidR="11029282">
        <w:t xml:space="preserve">. The effect of </w:t>
      </w:r>
      <w:r w:rsidR="0F33F6C7">
        <w:t>'opting out’ is</w:t>
      </w:r>
      <w:r w:rsidR="11029282">
        <w:t xml:space="preserve"> that the new interpretive principle </w:t>
      </w:r>
      <w:r w:rsidR="140DA0AE">
        <w:t xml:space="preserve">would </w:t>
      </w:r>
      <w:r w:rsidR="112091DC">
        <w:t xml:space="preserve">not apply to the relationship between the </w:t>
      </w:r>
      <w:r w:rsidR="00D571F2">
        <w:t>individual</w:t>
      </w:r>
      <w:r w:rsidR="112091DC">
        <w:t xml:space="preserve"> and the </w:t>
      </w:r>
      <w:r w:rsidR="00D571F2">
        <w:t>person who engages them for work</w:t>
      </w:r>
      <w:r w:rsidR="112091DC">
        <w:t xml:space="preserve">. </w:t>
      </w:r>
      <w:r w:rsidR="184554B6">
        <w:t xml:space="preserve">Instead, the </w:t>
      </w:r>
      <w:r w:rsidR="1D3DB74D">
        <w:t xml:space="preserve">nature of the relationship would be determined primarily by </w:t>
      </w:r>
      <w:r w:rsidR="346FCC60">
        <w:t xml:space="preserve">reference to the terms of the contract as required by previous High Court decisions. </w:t>
      </w:r>
      <w:r w:rsidR="00F064DD">
        <w:t>A</w:t>
      </w:r>
      <w:r w:rsidR="00EF2005">
        <w:t>n individual</w:t>
      </w:r>
      <w:r w:rsidR="00F064DD">
        <w:t xml:space="preserve"> who </w:t>
      </w:r>
      <w:r w:rsidR="00BE16F4">
        <w:t xml:space="preserve">chooses to </w:t>
      </w:r>
      <w:r w:rsidR="004C067C">
        <w:t>‘</w:t>
      </w:r>
      <w:r w:rsidR="00BE16F4">
        <w:t>opt out</w:t>
      </w:r>
      <w:r w:rsidR="004C067C">
        <w:t>’</w:t>
      </w:r>
      <w:r w:rsidR="00BE16F4">
        <w:t xml:space="preserve"> can later revoke that decision, in which case the new interpretative principle will apply to the relevant relationship.  </w:t>
      </w:r>
    </w:p>
    <w:p w14:paraId="43891D7F" w14:textId="011E72AB" w:rsidR="003905C3" w:rsidRDefault="003905C3" w:rsidP="003905C3">
      <w:pPr>
        <w:pStyle w:val="Heading1"/>
      </w:pPr>
      <w:r>
        <w:t xml:space="preserve">When will </w:t>
      </w:r>
      <w:r w:rsidR="008C40DA">
        <w:t>th</w:t>
      </w:r>
      <w:r w:rsidR="00FD4F03">
        <w:t>i</w:t>
      </w:r>
      <w:r w:rsidR="008C40DA">
        <w:t xml:space="preserve">s change </w:t>
      </w:r>
      <w:r>
        <w:t>come into effect?</w:t>
      </w:r>
    </w:p>
    <w:p w14:paraId="7B13B288" w14:textId="2F12D65F" w:rsidR="00E47934" w:rsidRDefault="37BAE09F" w:rsidP="00AE10CD">
      <w:pPr>
        <w:spacing w:line="240" w:lineRule="auto"/>
        <w:rPr>
          <w:rStyle w:val="normaltextrun"/>
          <w:rFonts w:ascii="Calibri" w:eastAsia="Calibri" w:hAnsi="Calibri" w:cs="Calibri"/>
        </w:rPr>
      </w:pPr>
      <w:r w:rsidRPr="6E3FA475">
        <w:rPr>
          <w:rStyle w:val="normaltextrun"/>
          <w:rFonts w:ascii="Calibri" w:eastAsia="Calibri" w:hAnsi="Calibri" w:cs="Calibri"/>
        </w:rPr>
        <w:t xml:space="preserve">The </w:t>
      </w:r>
      <w:r w:rsidR="001E08D0" w:rsidRPr="6E3FA475">
        <w:rPr>
          <w:rStyle w:val="normaltextrun"/>
          <w:rFonts w:ascii="Calibri" w:eastAsia="Calibri" w:hAnsi="Calibri" w:cs="Calibri"/>
        </w:rPr>
        <w:t>new interpretive principle</w:t>
      </w:r>
      <w:r w:rsidR="00A026C3" w:rsidRPr="6E3FA475">
        <w:rPr>
          <w:rStyle w:val="normaltextrun"/>
          <w:rFonts w:ascii="Calibri" w:eastAsia="Calibri" w:hAnsi="Calibri" w:cs="Calibri"/>
        </w:rPr>
        <w:t xml:space="preserve"> will commence </w:t>
      </w:r>
      <w:r w:rsidR="00494189">
        <w:rPr>
          <w:rStyle w:val="normaltextrun"/>
          <w:rFonts w:ascii="Calibri" w:eastAsia="Calibri" w:hAnsi="Calibri" w:cs="Calibri"/>
        </w:rPr>
        <w:t>on 26 August 2024</w:t>
      </w:r>
      <w:r w:rsidR="00DE16C1" w:rsidRPr="6E3FA475">
        <w:rPr>
          <w:rStyle w:val="normaltextrun"/>
          <w:rFonts w:ascii="Calibri" w:eastAsia="Calibri" w:hAnsi="Calibri" w:cs="Calibri"/>
        </w:rPr>
        <w:t xml:space="preserve">, or earlier by proclamation. </w:t>
      </w:r>
    </w:p>
    <w:p w14:paraId="1F7FD4E3" w14:textId="1C3D258E" w:rsidR="00646346" w:rsidRPr="008B5BF7" w:rsidRDefault="003905C3" w:rsidP="008B5BF7">
      <w:pPr>
        <w:rPr>
          <w:rFonts w:ascii="Calibri" w:hAnsi="Calibri" w:cs="Calibri"/>
          <w:shd w:val="clear" w:color="auto" w:fill="FFFFFF"/>
        </w:rPr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C149B8" w:rsidRPr="7921129A">
        <w:rPr>
          <w:rStyle w:val="normaltextrun"/>
          <w:rFonts w:ascii="Calibri" w:hAnsi="Calibri" w:cs="Calibri"/>
          <w:shd w:val="clear" w:color="auto" w:fill="FFFFFF"/>
        </w:rPr>
        <w:t>legislation</w:t>
      </w:r>
      <w:r w:rsidR="12F7ADA6" w:rsidRPr="7921129A">
        <w:rPr>
          <w:rStyle w:val="normaltextrun"/>
          <w:rFonts w:ascii="Calibri" w:hAnsi="Calibri" w:cs="Calibri"/>
          <w:shd w:val="clear" w:color="auto" w:fill="FFFFFF"/>
        </w:rPr>
        <w:t>,</w:t>
      </w:r>
      <w:r w:rsidR="00C149B8"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 w:history="1">
        <w:r w:rsidR="00316E0B" w:rsidRPr="000A004D">
          <w:rPr>
            <w:rStyle w:val="Hyperlink"/>
            <w:rFonts w:ascii="Calibri" w:hAnsi="Calibri" w:cs="Calibri"/>
            <w:shd w:val="clear" w:color="auto" w:fill="FFFFFF"/>
          </w:rPr>
          <w:t>https://www.dewr.gov.au/workplace-relations</w:t>
        </w:r>
      </w:hyperlink>
    </w:p>
    <w:sectPr w:rsidR="00646346" w:rsidRPr="008B5BF7" w:rsidSect="007073CB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9B6A" w14:textId="77777777" w:rsidR="007073CB" w:rsidRDefault="007073CB" w:rsidP="00EE7FDA">
      <w:pPr>
        <w:spacing w:after="0"/>
      </w:pPr>
      <w:r>
        <w:separator/>
      </w:r>
    </w:p>
  </w:endnote>
  <w:endnote w:type="continuationSeparator" w:id="0">
    <w:p w14:paraId="3DFE34A9" w14:textId="77777777" w:rsidR="007073CB" w:rsidRDefault="007073CB" w:rsidP="00EE7FDA">
      <w:pPr>
        <w:spacing w:after="0"/>
      </w:pPr>
      <w:r>
        <w:continuationSeparator/>
      </w:r>
    </w:p>
  </w:endnote>
  <w:endnote w:type="continuationNotice" w:id="1">
    <w:p w14:paraId="47917CFC" w14:textId="77777777" w:rsidR="007073CB" w:rsidRDefault="00707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656A438E" w:rsidR="00105919" w:rsidRDefault="00CC769A" w:rsidP="00CC769A">
    <w:pPr>
      <w:pStyle w:val="Footer"/>
      <w:spacing w:after="100" w:afterAutospacing="1"/>
      <w:jc w:val="right"/>
    </w:pPr>
    <w:r>
      <w:t xml:space="preserve">Last updated: </w:t>
    </w:r>
    <w:r w:rsidR="00885C00">
      <w:t>March</w:t>
    </w:r>
    <w:r w:rsidR="00560FA2">
      <w:t xml:space="preserve"> </w:t>
    </w:r>
    <w:r>
      <w:t>202</w:t>
    </w:r>
    <w:r w:rsidR="00560FA2">
      <w:t>4</w:t>
    </w:r>
    <w:r w:rsidR="00782E5A"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6D80AD88" w:rsidR="00105919" w:rsidRDefault="00105919" w:rsidP="7E447D3B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2B88" w14:textId="77777777" w:rsidR="007073CB" w:rsidRDefault="007073CB" w:rsidP="00D105E6">
      <w:pPr>
        <w:spacing w:after="60"/>
      </w:pPr>
      <w:r>
        <w:separator/>
      </w:r>
    </w:p>
  </w:footnote>
  <w:footnote w:type="continuationSeparator" w:id="0">
    <w:p w14:paraId="2353B60B" w14:textId="77777777" w:rsidR="007073CB" w:rsidRDefault="007073CB" w:rsidP="00EE7FDA">
      <w:pPr>
        <w:spacing w:after="0"/>
      </w:pPr>
      <w:r>
        <w:continuationSeparator/>
      </w:r>
    </w:p>
  </w:footnote>
  <w:footnote w:type="continuationNotice" w:id="1">
    <w:p w14:paraId="65A8C2DC" w14:textId="77777777" w:rsidR="007073CB" w:rsidRDefault="007073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57DD04F5"/>
    <w:multiLevelType w:val="multilevel"/>
    <w:tmpl w:val="4C06E666"/>
    <w:numStyleLink w:val="RSCBNumberList1"/>
  </w:abstractNum>
  <w:abstractNum w:abstractNumId="1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2"/>
  </w:num>
  <w:num w:numId="2" w16cid:durableId="299654710">
    <w:abstractNumId w:val="13"/>
  </w:num>
  <w:num w:numId="3" w16cid:durableId="2025083515">
    <w:abstractNumId w:val="14"/>
  </w:num>
  <w:num w:numId="4" w16cid:durableId="151071687">
    <w:abstractNumId w:val="8"/>
  </w:num>
  <w:num w:numId="5" w16cid:durableId="550507406">
    <w:abstractNumId w:val="6"/>
  </w:num>
  <w:num w:numId="6" w16cid:durableId="1959604197">
    <w:abstractNumId w:val="9"/>
  </w:num>
  <w:num w:numId="7" w16cid:durableId="842160772">
    <w:abstractNumId w:val="7"/>
  </w:num>
  <w:num w:numId="8" w16cid:durableId="1434545816">
    <w:abstractNumId w:val="10"/>
  </w:num>
  <w:num w:numId="9" w16cid:durableId="229774031">
    <w:abstractNumId w:val="11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2BEA"/>
    <w:rsid w:val="00011BA5"/>
    <w:rsid w:val="00015006"/>
    <w:rsid w:val="00021176"/>
    <w:rsid w:val="00035042"/>
    <w:rsid w:val="00037765"/>
    <w:rsid w:val="00040F83"/>
    <w:rsid w:val="00052659"/>
    <w:rsid w:val="00052840"/>
    <w:rsid w:val="00052B07"/>
    <w:rsid w:val="000559E5"/>
    <w:rsid w:val="00055C76"/>
    <w:rsid w:val="00075B4B"/>
    <w:rsid w:val="00086331"/>
    <w:rsid w:val="0009541A"/>
    <w:rsid w:val="00097C5B"/>
    <w:rsid w:val="000C2420"/>
    <w:rsid w:val="000E406E"/>
    <w:rsid w:val="00103CE1"/>
    <w:rsid w:val="00105919"/>
    <w:rsid w:val="00122760"/>
    <w:rsid w:val="00133E76"/>
    <w:rsid w:val="0013557F"/>
    <w:rsid w:val="00137112"/>
    <w:rsid w:val="00145A12"/>
    <w:rsid w:val="00155F8B"/>
    <w:rsid w:val="001563B0"/>
    <w:rsid w:val="0016510A"/>
    <w:rsid w:val="00165A2C"/>
    <w:rsid w:val="00195EF0"/>
    <w:rsid w:val="001B6D04"/>
    <w:rsid w:val="001C6347"/>
    <w:rsid w:val="001C65BE"/>
    <w:rsid w:val="001D309A"/>
    <w:rsid w:val="001E08D0"/>
    <w:rsid w:val="001E4447"/>
    <w:rsid w:val="001E7424"/>
    <w:rsid w:val="001F444A"/>
    <w:rsid w:val="001F7332"/>
    <w:rsid w:val="00216927"/>
    <w:rsid w:val="00240E44"/>
    <w:rsid w:val="00244DD6"/>
    <w:rsid w:val="002462D7"/>
    <w:rsid w:val="00247D65"/>
    <w:rsid w:val="00253AD5"/>
    <w:rsid w:val="00257065"/>
    <w:rsid w:val="002678F4"/>
    <w:rsid w:val="002736E4"/>
    <w:rsid w:val="00275860"/>
    <w:rsid w:val="00275D69"/>
    <w:rsid w:val="00286F3C"/>
    <w:rsid w:val="002A1C52"/>
    <w:rsid w:val="002A7D6C"/>
    <w:rsid w:val="002C32A8"/>
    <w:rsid w:val="002D7DC9"/>
    <w:rsid w:val="002E766F"/>
    <w:rsid w:val="002F44CB"/>
    <w:rsid w:val="002F7ADA"/>
    <w:rsid w:val="00312F55"/>
    <w:rsid w:val="0031425C"/>
    <w:rsid w:val="00316088"/>
    <w:rsid w:val="00316E0B"/>
    <w:rsid w:val="003176BB"/>
    <w:rsid w:val="00321EE6"/>
    <w:rsid w:val="003251DE"/>
    <w:rsid w:val="003267A5"/>
    <w:rsid w:val="00335866"/>
    <w:rsid w:val="0034066B"/>
    <w:rsid w:val="0035197A"/>
    <w:rsid w:val="00356B10"/>
    <w:rsid w:val="003620A6"/>
    <w:rsid w:val="003628FD"/>
    <w:rsid w:val="00365103"/>
    <w:rsid w:val="00367D72"/>
    <w:rsid w:val="00376EF0"/>
    <w:rsid w:val="003905C3"/>
    <w:rsid w:val="003B13B2"/>
    <w:rsid w:val="003B5B1B"/>
    <w:rsid w:val="003D3044"/>
    <w:rsid w:val="003D37D6"/>
    <w:rsid w:val="003E21F8"/>
    <w:rsid w:val="003E44F1"/>
    <w:rsid w:val="003F0880"/>
    <w:rsid w:val="004071C2"/>
    <w:rsid w:val="00411101"/>
    <w:rsid w:val="00421030"/>
    <w:rsid w:val="00426E46"/>
    <w:rsid w:val="0043075A"/>
    <w:rsid w:val="00440F0C"/>
    <w:rsid w:val="00450B88"/>
    <w:rsid w:val="00455F54"/>
    <w:rsid w:val="004634A3"/>
    <w:rsid w:val="00465E38"/>
    <w:rsid w:val="00465F06"/>
    <w:rsid w:val="0046637C"/>
    <w:rsid w:val="0046691A"/>
    <w:rsid w:val="00466970"/>
    <w:rsid w:val="00467510"/>
    <w:rsid w:val="0047432C"/>
    <w:rsid w:val="00484996"/>
    <w:rsid w:val="00486236"/>
    <w:rsid w:val="00494189"/>
    <w:rsid w:val="004B3D68"/>
    <w:rsid w:val="004B48A5"/>
    <w:rsid w:val="004B6BE8"/>
    <w:rsid w:val="004C067C"/>
    <w:rsid w:val="004D00B2"/>
    <w:rsid w:val="004F1A0F"/>
    <w:rsid w:val="004F3CE3"/>
    <w:rsid w:val="004F5993"/>
    <w:rsid w:val="00515A4E"/>
    <w:rsid w:val="00517064"/>
    <w:rsid w:val="00520CA0"/>
    <w:rsid w:val="00522E88"/>
    <w:rsid w:val="00522F4D"/>
    <w:rsid w:val="00534DC7"/>
    <w:rsid w:val="00554C00"/>
    <w:rsid w:val="00555B06"/>
    <w:rsid w:val="005565B8"/>
    <w:rsid w:val="00560FA2"/>
    <w:rsid w:val="00564E62"/>
    <w:rsid w:val="00566A2E"/>
    <w:rsid w:val="005725B2"/>
    <w:rsid w:val="00575DFC"/>
    <w:rsid w:val="00577A33"/>
    <w:rsid w:val="00582D06"/>
    <w:rsid w:val="00586EA4"/>
    <w:rsid w:val="00596785"/>
    <w:rsid w:val="005A6B72"/>
    <w:rsid w:val="005C4EED"/>
    <w:rsid w:val="005D083F"/>
    <w:rsid w:val="005D150B"/>
    <w:rsid w:val="005D2489"/>
    <w:rsid w:val="005D368B"/>
    <w:rsid w:val="005D4FD9"/>
    <w:rsid w:val="005E17EE"/>
    <w:rsid w:val="005E4697"/>
    <w:rsid w:val="005F08A3"/>
    <w:rsid w:val="0060562D"/>
    <w:rsid w:val="006144E8"/>
    <w:rsid w:val="006317B0"/>
    <w:rsid w:val="0063350D"/>
    <w:rsid w:val="00642393"/>
    <w:rsid w:val="00646346"/>
    <w:rsid w:val="00654A65"/>
    <w:rsid w:val="00657B92"/>
    <w:rsid w:val="00677611"/>
    <w:rsid w:val="00691F21"/>
    <w:rsid w:val="00694DDA"/>
    <w:rsid w:val="006B588A"/>
    <w:rsid w:val="006C1C69"/>
    <w:rsid w:val="006C7EC3"/>
    <w:rsid w:val="006D1E27"/>
    <w:rsid w:val="006D7710"/>
    <w:rsid w:val="006E48B7"/>
    <w:rsid w:val="006F2229"/>
    <w:rsid w:val="006F269A"/>
    <w:rsid w:val="007009FF"/>
    <w:rsid w:val="00706143"/>
    <w:rsid w:val="007073CB"/>
    <w:rsid w:val="007115A0"/>
    <w:rsid w:val="00714B7E"/>
    <w:rsid w:val="0071703C"/>
    <w:rsid w:val="00725E1B"/>
    <w:rsid w:val="00730B97"/>
    <w:rsid w:val="00737C1D"/>
    <w:rsid w:val="007425C1"/>
    <w:rsid w:val="00755FD7"/>
    <w:rsid w:val="00756814"/>
    <w:rsid w:val="00763821"/>
    <w:rsid w:val="00771F9D"/>
    <w:rsid w:val="00774BA7"/>
    <w:rsid w:val="00782E5A"/>
    <w:rsid w:val="0078584C"/>
    <w:rsid w:val="00795A86"/>
    <w:rsid w:val="007A18FA"/>
    <w:rsid w:val="007A19ED"/>
    <w:rsid w:val="007A3566"/>
    <w:rsid w:val="007B2968"/>
    <w:rsid w:val="007C395D"/>
    <w:rsid w:val="007C3D4E"/>
    <w:rsid w:val="007C6FBE"/>
    <w:rsid w:val="007D4962"/>
    <w:rsid w:val="007E261E"/>
    <w:rsid w:val="007E6977"/>
    <w:rsid w:val="007F393F"/>
    <w:rsid w:val="007F3B05"/>
    <w:rsid w:val="007F63CC"/>
    <w:rsid w:val="0080594C"/>
    <w:rsid w:val="0080712D"/>
    <w:rsid w:val="00810BBE"/>
    <w:rsid w:val="0081339F"/>
    <w:rsid w:val="00813629"/>
    <w:rsid w:val="00817BD6"/>
    <w:rsid w:val="00832F2D"/>
    <w:rsid w:val="008447BA"/>
    <w:rsid w:val="00850977"/>
    <w:rsid w:val="00853A5C"/>
    <w:rsid w:val="00853FD1"/>
    <w:rsid w:val="00873ADA"/>
    <w:rsid w:val="00876539"/>
    <w:rsid w:val="00883D2C"/>
    <w:rsid w:val="00885C00"/>
    <w:rsid w:val="008A28DA"/>
    <w:rsid w:val="008A2E95"/>
    <w:rsid w:val="008A38C5"/>
    <w:rsid w:val="008A4C66"/>
    <w:rsid w:val="008A78FF"/>
    <w:rsid w:val="008B5BF7"/>
    <w:rsid w:val="008B6BCB"/>
    <w:rsid w:val="008C40DA"/>
    <w:rsid w:val="008C7CCE"/>
    <w:rsid w:val="008F24CE"/>
    <w:rsid w:val="00931FEE"/>
    <w:rsid w:val="009508C9"/>
    <w:rsid w:val="00951E42"/>
    <w:rsid w:val="009535E9"/>
    <w:rsid w:val="00961F5C"/>
    <w:rsid w:val="00973379"/>
    <w:rsid w:val="009758E6"/>
    <w:rsid w:val="00977710"/>
    <w:rsid w:val="00997BE6"/>
    <w:rsid w:val="009A079F"/>
    <w:rsid w:val="009A3692"/>
    <w:rsid w:val="009A4E4D"/>
    <w:rsid w:val="009A7447"/>
    <w:rsid w:val="009C070A"/>
    <w:rsid w:val="009D079F"/>
    <w:rsid w:val="009D20AD"/>
    <w:rsid w:val="009E1256"/>
    <w:rsid w:val="009F6507"/>
    <w:rsid w:val="009F652B"/>
    <w:rsid w:val="00A026C3"/>
    <w:rsid w:val="00A04466"/>
    <w:rsid w:val="00A112E2"/>
    <w:rsid w:val="00A1654A"/>
    <w:rsid w:val="00A17E1B"/>
    <w:rsid w:val="00A23D73"/>
    <w:rsid w:val="00A34D39"/>
    <w:rsid w:val="00A513A6"/>
    <w:rsid w:val="00A66485"/>
    <w:rsid w:val="00A70EEB"/>
    <w:rsid w:val="00A713BC"/>
    <w:rsid w:val="00A74FD2"/>
    <w:rsid w:val="00A81FB9"/>
    <w:rsid w:val="00A82BDB"/>
    <w:rsid w:val="00A93391"/>
    <w:rsid w:val="00AA03F6"/>
    <w:rsid w:val="00AA2B47"/>
    <w:rsid w:val="00AA2FD8"/>
    <w:rsid w:val="00AB49D3"/>
    <w:rsid w:val="00AB582D"/>
    <w:rsid w:val="00AC0D20"/>
    <w:rsid w:val="00AE10CD"/>
    <w:rsid w:val="00B00423"/>
    <w:rsid w:val="00B12AD0"/>
    <w:rsid w:val="00B37B24"/>
    <w:rsid w:val="00B45D09"/>
    <w:rsid w:val="00B46AF4"/>
    <w:rsid w:val="00B60C2D"/>
    <w:rsid w:val="00B61E4E"/>
    <w:rsid w:val="00B71AB9"/>
    <w:rsid w:val="00B809A9"/>
    <w:rsid w:val="00B81A68"/>
    <w:rsid w:val="00BA48C8"/>
    <w:rsid w:val="00BA5B76"/>
    <w:rsid w:val="00BA60E5"/>
    <w:rsid w:val="00BB57FE"/>
    <w:rsid w:val="00BD4462"/>
    <w:rsid w:val="00BD48FE"/>
    <w:rsid w:val="00BD6E26"/>
    <w:rsid w:val="00BE133B"/>
    <w:rsid w:val="00BE16F4"/>
    <w:rsid w:val="00BE54EE"/>
    <w:rsid w:val="00BE6D94"/>
    <w:rsid w:val="00BF0AE0"/>
    <w:rsid w:val="00BF2EE7"/>
    <w:rsid w:val="00BF7BDF"/>
    <w:rsid w:val="00C026EC"/>
    <w:rsid w:val="00C04E0C"/>
    <w:rsid w:val="00C118C9"/>
    <w:rsid w:val="00C149B8"/>
    <w:rsid w:val="00C230BC"/>
    <w:rsid w:val="00C23511"/>
    <w:rsid w:val="00C30A1E"/>
    <w:rsid w:val="00C340C4"/>
    <w:rsid w:val="00C34A51"/>
    <w:rsid w:val="00C50AA1"/>
    <w:rsid w:val="00C51CEE"/>
    <w:rsid w:val="00C55508"/>
    <w:rsid w:val="00C62C4C"/>
    <w:rsid w:val="00C65EDF"/>
    <w:rsid w:val="00C66B71"/>
    <w:rsid w:val="00C76FE3"/>
    <w:rsid w:val="00C87B7D"/>
    <w:rsid w:val="00C93E25"/>
    <w:rsid w:val="00CA4D93"/>
    <w:rsid w:val="00CA5415"/>
    <w:rsid w:val="00CB1B0F"/>
    <w:rsid w:val="00CC6513"/>
    <w:rsid w:val="00CC769A"/>
    <w:rsid w:val="00CD0E63"/>
    <w:rsid w:val="00CD38C9"/>
    <w:rsid w:val="00CD4680"/>
    <w:rsid w:val="00CD5F0D"/>
    <w:rsid w:val="00CF5EE4"/>
    <w:rsid w:val="00CF6EBF"/>
    <w:rsid w:val="00D062CF"/>
    <w:rsid w:val="00D105E6"/>
    <w:rsid w:val="00D10955"/>
    <w:rsid w:val="00D16360"/>
    <w:rsid w:val="00D30B1F"/>
    <w:rsid w:val="00D571F2"/>
    <w:rsid w:val="00D57D3C"/>
    <w:rsid w:val="00D67447"/>
    <w:rsid w:val="00D7115B"/>
    <w:rsid w:val="00D744B5"/>
    <w:rsid w:val="00D80977"/>
    <w:rsid w:val="00D84DC0"/>
    <w:rsid w:val="00D910F9"/>
    <w:rsid w:val="00D97626"/>
    <w:rsid w:val="00DA26E6"/>
    <w:rsid w:val="00DA46BB"/>
    <w:rsid w:val="00DB6A75"/>
    <w:rsid w:val="00DC25C3"/>
    <w:rsid w:val="00DD4EBE"/>
    <w:rsid w:val="00DE1663"/>
    <w:rsid w:val="00DE16C1"/>
    <w:rsid w:val="00DF0B8A"/>
    <w:rsid w:val="00DF4833"/>
    <w:rsid w:val="00DF60E1"/>
    <w:rsid w:val="00E04579"/>
    <w:rsid w:val="00E46312"/>
    <w:rsid w:val="00E47934"/>
    <w:rsid w:val="00E55470"/>
    <w:rsid w:val="00E6460C"/>
    <w:rsid w:val="00E814A0"/>
    <w:rsid w:val="00E93338"/>
    <w:rsid w:val="00EA527C"/>
    <w:rsid w:val="00EB2D68"/>
    <w:rsid w:val="00EB36E4"/>
    <w:rsid w:val="00EC1677"/>
    <w:rsid w:val="00EC4486"/>
    <w:rsid w:val="00EC4BBE"/>
    <w:rsid w:val="00EC63BF"/>
    <w:rsid w:val="00ED3F85"/>
    <w:rsid w:val="00EE511B"/>
    <w:rsid w:val="00EE59F7"/>
    <w:rsid w:val="00EE68B6"/>
    <w:rsid w:val="00EE7FDA"/>
    <w:rsid w:val="00EF2005"/>
    <w:rsid w:val="00EF27F0"/>
    <w:rsid w:val="00F02D83"/>
    <w:rsid w:val="00F064DD"/>
    <w:rsid w:val="00F07C2C"/>
    <w:rsid w:val="00F121AC"/>
    <w:rsid w:val="00F221A4"/>
    <w:rsid w:val="00F23048"/>
    <w:rsid w:val="00F23C4B"/>
    <w:rsid w:val="00F251C8"/>
    <w:rsid w:val="00F25A17"/>
    <w:rsid w:val="00F26F10"/>
    <w:rsid w:val="00F27FF6"/>
    <w:rsid w:val="00F33CD1"/>
    <w:rsid w:val="00F36B35"/>
    <w:rsid w:val="00F465FC"/>
    <w:rsid w:val="00F54B75"/>
    <w:rsid w:val="00F55BB9"/>
    <w:rsid w:val="00F60DEB"/>
    <w:rsid w:val="00F70E81"/>
    <w:rsid w:val="00F861FC"/>
    <w:rsid w:val="00F86ADF"/>
    <w:rsid w:val="00F96CB0"/>
    <w:rsid w:val="00FA1736"/>
    <w:rsid w:val="00FB1E68"/>
    <w:rsid w:val="00FB2DD9"/>
    <w:rsid w:val="00FB4335"/>
    <w:rsid w:val="00FC7B88"/>
    <w:rsid w:val="00FD4F03"/>
    <w:rsid w:val="00FD6726"/>
    <w:rsid w:val="00FE0BBC"/>
    <w:rsid w:val="00FE78FE"/>
    <w:rsid w:val="00FF5068"/>
    <w:rsid w:val="00FF5CA8"/>
    <w:rsid w:val="00FF73BA"/>
    <w:rsid w:val="07A732DC"/>
    <w:rsid w:val="07B96395"/>
    <w:rsid w:val="0AC89D34"/>
    <w:rsid w:val="0C43DC40"/>
    <w:rsid w:val="0EEBD763"/>
    <w:rsid w:val="0F33F6C7"/>
    <w:rsid w:val="11029282"/>
    <w:rsid w:val="112091DC"/>
    <w:rsid w:val="11B224AA"/>
    <w:rsid w:val="12F7ADA6"/>
    <w:rsid w:val="1386F888"/>
    <w:rsid w:val="140DA0AE"/>
    <w:rsid w:val="184554B6"/>
    <w:rsid w:val="1873F1BB"/>
    <w:rsid w:val="190E102C"/>
    <w:rsid w:val="1AA4F055"/>
    <w:rsid w:val="1B1D4A1E"/>
    <w:rsid w:val="1BE892A3"/>
    <w:rsid w:val="1C9201B4"/>
    <w:rsid w:val="1D3DB74D"/>
    <w:rsid w:val="1D784089"/>
    <w:rsid w:val="1E8CBBF5"/>
    <w:rsid w:val="20C42064"/>
    <w:rsid w:val="23EECDD5"/>
    <w:rsid w:val="2575AF6D"/>
    <w:rsid w:val="26CFC9D3"/>
    <w:rsid w:val="28EBB7A8"/>
    <w:rsid w:val="2BC9216C"/>
    <w:rsid w:val="2CE259D0"/>
    <w:rsid w:val="2D56DA82"/>
    <w:rsid w:val="2D5AC0A6"/>
    <w:rsid w:val="2DE36880"/>
    <w:rsid w:val="2DE983A8"/>
    <w:rsid w:val="2ECE3AF0"/>
    <w:rsid w:val="2F09AD88"/>
    <w:rsid w:val="330984CC"/>
    <w:rsid w:val="346FCC60"/>
    <w:rsid w:val="34FFAF0B"/>
    <w:rsid w:val="35E638D7"/>
    <w:rsid w:val="3611BD79"/>
    <w:rsid w:val="36C0A3AF"/>
    <w:rsid w:val="3703D21E"/>
    <w:rsid w:val="37BAE09F"/>
    <w:rsid w:val="389D2D1D"/>
    <w:rsid w:val="3922AB7C"/>
    <w:rsid w:val="3B1A5427"/>
    <w:rsid w:val="3E11333E"/>
    <w:rsid w:val="41D4066F"/>
    <w:rsid w:val="443B3A91"/>
    <w:rsid w:val="45A74241"/>
    <w:rsid w:val="45ADD3B4"/>
    <w:rsid w:val="496BF928"/>
    <w:rsid w:val="4A809611"/>
    <w:rsid w:val="4C46C53E"/>
    <w:rsid w:val="4DC956B8"/>
    <w:rsid w:val="50B9F9EF"/>
    <w:rsid w:val="51329B6D"/>
    <w:rsid w:val="53AD65C2"/>
    <w:rsid w:val="55667500"/>
    <w:rsid w:val="5605C109"/>
    <w:rsid w:val="57A08CBE"/>
    <w:rsid w:val="58036F3D"/>
    <w:rsid w:val="58433FD9"/>
    <w:rsid w:val="58B7EA3F"/>
    <w:rsid w:val="591D51A6"/>
    <w:rsid w:val="5E060C7C"/>
    <w:rsid w:val="607CC3B7"/>
    <w:rsid w:val="61FD1EAA"/>
    <w:rsid w:val="6400EE81"/>
    <w:rsid w:val="6610301E"/>
    <w:rsid w:val="66670AD9"/>
    <w:rsid w:val="6727F23F"/>
    <w:rsid w:val="6AC50B17"/>
    <w:rsid w:val="6E3FA475"/>
    <w:rsid w:val="6E914365"/>
    <w:rsid w:val="6F269A24"/>
    <w:rsid w:val="7053C967"/>
    <w:rsid w:val="71E8B173"/>
    <w:rsid w:val="71F26405"/>
    <w:rsid w:val="74049EF8"/>
    <w:rsid w:val="74FEA2D0"/>
    <w:rsid w:val="755810AC"/>
    <w:rsid w:val="76BD7A2E"/>
    <w:rsid w:val="7AC614CD"/>
    <w:rsid w:val="7E447D3B"/>
    <w:rsid w:val="7F4DE5F7"/>
    <w:rsid w:val="7FB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styleId="CommentReference">
    <w:name w:val="annotation reference"/>
    <w:basedOn w:val="DefaultParagraphFont"/>
    <w:uiPriority w:val="99"/>
    <w:semiHidden/>
    <w:rsid w:val="004F1A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1A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A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A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A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634A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C118C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1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  <SharedWithUsers xmlns="f6ea322a-84be-47d5-b47f-0374e0177435">
      <UserInfo>
        <DisplayName>MCDERMOTT,Christopher</DisplayName>
        <AccountId>209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2DF2C-1784-4D95-9B99-87FC201F3ED7}">
  <ds:schemaRefs>
    <ds:schemaRef ds:uri="http://schemas.microsoft.com/office/2006/metadata/properties"/>
    <ds:schemaRef ds:uri="http://schemas.microsoft.com/office/infopath/2007/PartnerControls"/>
    <ds:schemaRef ds:uri="c3bb4156-0582-4d49-9748-da12e4bfffd4"/>
    <ds:schemaRef ds:uri="f6ea322a-84be-47d5-b47f-0374e0177435"/>
  </ds:schemaRefs>
</ds:datastoreItem>
</file>

<file path=customXml/itemProps2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89856-D93D-4E2D-A951-20D365857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b4156-0582-4d49-9748-da12e4bfffd4"/>
    <ds:schemaRef ds:uri="f6ea322a-84be-47d5-b47f-0374e0177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28C244-FD52-43CC-B5C9-AD051C9EB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Meaning of ‘employee’ and ‘employer’ in the Fair Work Act 2009</dc:title>
  <dc:subject/>
  <dc:creator/>
  <cp:keywords/>
  <dc:description/>
  <cp:lastModifiedBy/>
  <cp:revision>1</cp:revision>
  <dcterms:created xsi:type="dcterms:W3CDTF">2024-03-08T06:21:00Z</dcterms:created>
  <dcterms:modified xsi:type="dcterms:W3CDTF">2024-03-12T04:54:00Z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2023-12-21T06:24:50Z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7eea6388-c2bd-4468-aa06-2fc68e0603dc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