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2935A3E6" w:rsidR="00782E5A" w:rsidRDefault="001A49E1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F2BB85" wp14:editId="2E2C6F94">
                <wp:simplePos x="0" y="0"/>
                <wp:positionH relativeFrom="page">
                  <wp:align>left</wp:align>
                </wp:positionH>
                <wp:positionV relativeFrom="page">
                  <wp:align>center</wp:align>
                </wp:positionV>
                <wp:extent cx="7559675" cy="10696575"/>
                <wp:effectExtent l="0" t="0" r="3175" b="952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41331" id="Rectangle 1" o:spid="_x0000_s1026" alt="&quot;&quot;" style="position:absolute;margin-left:0;margin-top:0;width:595.25pt;height:842.2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AFRpY43AAAAAcBAAAPAAAAZHJzL2Rvd25yZXYu&#10;eG1sTI9BT8MwDIXvSPyHyJO4sXSDjtE1nQAJcWZs0ri5jWmrNU6VpFv378m4jIv1rGe99zlfj6YT&#10;R3K+taxgNk1AEFdWt1wr2H693y9B+ICssbNMCs7kYV3c3uSYaXviTzpuQi1iCPsMFTQh9JmUvmrI&#10;oJ/anjh6P9YZDHF1tdQOTzHcdHKeJAtpsOXY0GBPbw1Vh81gFMzTb+te9/q83/FBftQlDg9PqNTd&#10;ZHxZgQg0husxXPAjOhSRqbQDay86BfGR8Dcv3uw5SUGUUS2WjynIIpf/+Yt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" stroked="f" strokeweight="1pt">
                <v:fill r:id="rId12" o:title="" recolor="t" rotate="t" type="frame"/>
                <w10:wrap anchorx="page" anchory="page"/>
              </v:rect>
            </w:pict>
          </mc:Fallback>
        </mc:AlternateContent>
      </w:r>
      <w:r w:rsidR="00782E5A">
        <w:rPr>
          <w:noProof/>
        </w:rPr>
        <w:drawing>
          <wp:inline distT="0" distB="0" distL="0" distR="0" wp14:anchorId="1900E1D2" wp14:editId="4E060076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35EF1CF7" w:rsidR="005565B8" w:rsidRDefault="005565B8" w:rsidP="00F70E81">
      <w:pPr>
        <w:sectPr w:rsidR="005565B8" w:rsidSect="00B93E9F">
          <w:footerReference w:type="default" r:id="rId14"/>
          <w:footerReference w:type="first" r:id="rId15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</w:p>
    <w:p w14:paraId="3AE47EA6" w14:textId="540A463E" w:rsidR="00755FD7" w:rsidRDefault="00707CA7" w:rsidP="00755FD7">
      <w:pPr>
        <w:pStyle w:val="Title"/>
      </w:pPr>
      <w:r>
        <w:t>Repeal de</w:t>
      </w:r>
      <w:r w:rsidR="5AF0BF34">
        <w:t>-</w:t>
      </w:r>
      <w:r>
        <w:t>merger from registered organisations amalgamation provisions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009974B0">
        <w:tc>
          <w:tcPr>
            <w:tcW w:w="9638" w:type="dxa"/>
          </w:tcPr>
          <w:p w14:paraId="0F3A9A04" w14:textId="3B8C8176" w:rsidR="002F7ADA" w:rsidRPr="00243F46" w:rsidRDefault="002F7ADA" w:rsidP="009974B0">
            <w:r>
              <w:t>Th</w:t>
            </w:r>
            <w:r w:rsidR="001B149B">
              <w:t>i</w:t>
            </w:r>
            <w:r w:rsidR="00AD09A8">
              <w:t>s</w:t>
            </w:r>
            <w:r w:rsidR="00457CDB">
              <w:t xml:space="preserve"> </w:t>
            </w:r>
            <w:r w:rsidR="00500E21" w:rsidRPr="00887378">
              <w:rPr>
                <w:i/>
                <w:iCs/>
                <w:szCs w:val="20"/>
              </w:rPr>
              <w:t>Fair Work Legislation Amendment (Closing Loopholes No. 2) Act 2024</w:t>
            </w:r>
            <w:r w:rsidR="00DA4901">
              <w:rPr>
                <w:szCs w:val="20"/>
              </w:rPr>
              <w:t xml:space="preserve"> </w:t>
            </w:r>
            <w:r w:rsidR="009A033F" w:rsidRPr="0046600C">
              <w:t>repeal</w:t>
            </w:r>
            <w:r w:rsidR="009B18E2">
              <w:t>s</w:t>
            </w:r>
            <w:r w:rsidR="009A033F" w:rsidRPr="0046600C">
              <w:t xml:space="preserve"> the 2020 changes to the </w:t>
            </w:r>
            <w:r w:rsidR="009A033F" w:rsidRPr="0003400A">
              <w:rPr>
                <w:i/>
                <w:iCs/>
              </w:rPr>
              <w:t>Fair Work (Registered Organisations) Act 2009</w:t>
            </w:r>
            <w:r w:rsidR="00F03199">
              <w:rPr>
                <w:i/>
                <w:iCs/>
              </w:rPr>
              <w:t xml:space="preserve"> </w:t>
            </w:r>
            <w:r w:rsidR="009A033F" w:rsidRPr="0046600C">
              <w:t>relating to the withdrawal of a constituent part from an amalgamated registered organisation</w:t>
            </w:r>
            <w:r w:rsidR="00DA4901">
              <w:t xml:space="preserve"> and restore</w:t>
            </w:r>
            <w:r w:rsidR="009B18E2">
              <w:t>s</w:t>
            </w:r>
            <w:r w:rsidR="00DA4901">
              <w:t xml:space="preserve"> the previous provisions</w:t>
            </w:r>
            <w:r w:rsidR="009A033F" w:rsidRPr="0046600C">
              <w:t xml:space="preserve">. </w:t>
            </w:r>
          </w:p>
        </w:tc>
      </w:tr>
    </w:tbl>
    <w:p w14:paraId="3E505AA3" w14:textId="499AE160" w:rsidR="003905C3" w:rsidRDefault="003905C3" w:rsidP="003905C3">
      <w:pPr>
        <w:pStyle w:val="Heading1"/>
      </w:pPr>
      <w:r>
        <w:t xml:space="preserve">What </w:t>
      </w:r>
      <w:r w:rsidR="00E822A7">
        <w:t>has changed</w:t>
      </w:r>
      <w:r>
        <w:t>?</w:t>
      </w:r>
    </w:p>
    <w:p w14:paraId="4D0CBF88" w14:textId="6C5F7573" w:rsidR="00182899" w:rsidRDefault="00447A30" w:rsidP="003905C3">
      <w:pPr>
        <w:rPr>
          <w:lang w:val="en-GB"/>
        </w:rPr>
      </w:pPr>
      <w:r>
        <w:rPr>
          <w:szCs w:val="20"/>
        </w:rPr>
        <w:t xml:space="preserve">The </w:t>
      </w:r>
      <w:r w:rsidRPr="00887378">
        <w:rPr>
          <w:i/>
          <w:iCs/>
          <w:szCs w:val="20"/>
        </w:rPr>
        <w:t>Fair Work Legislation Amendment (Closing Loopholes No. 2) Act 2024</w:t>
      </w:r>
      <w:r>
        <w:rPr>
          <w:szCs w:val="20"/>
        </w:rPr>
        <w:t xml:space="preserve"> </w:t>
      </w:r>
      <w:r>
        <w:rPr>
          <w:szCs w:val="20"/>
        </w:rPr>
        <w:t xml:space="preserve">(Closing Loopholes 2 Act) </w:t>
      </w:r>
      <w:r w:rsidR="00DA4901">
        <w:rPr>
          <w:lang w:val="en-GB"/>
        </w:rPr>
        <w:t>repeal</w:t>
      </w:r>
      <w:r w:rsidR="00653963">
        <w:rPr>
          <w:lang w:val="en-GB"/>
        </w:rPr>
        <w:t xml:space="preserve">s </w:t>
      </w:r>
      <w:r w:rsidR="00182899" w:rsidRPr="708DCBDD">
        <w:rPr>
          <w:lang w:val="en-GB"/>
        </w:rPr>
        <w:t xml:space="preserve">changes made to the </w:t>
      </w:r>
      <w:r w:rsidR="00A17918" w:rsidRPr="00A17918">
        <w:rPr>
          <w:i/>
          <w:iCs/>
          <w:lang w:val="en-GB"/>
        </w:rPr>
        <w:t>Fair Work (Registered Organisations) Act 2009</w:t>
      </w:r>
      <w:r w:rsidR="00A17918" w:rsidRPr="00A17918">
        <w:rPr>
          <w:lang w:val="en-GB"/>
        </w:rPr>
        <w:t xml:space="preserve"> (Registered Organisations Act) </w:t>
      </w:r>
      <w:r w:rsidR="00182899" w:rsidRPr="708DCBDD">
        <w:rPr>
          <w:lang w:val="en-GB"/>
        </w:rPr>
        <w:t xml:space="preserve">by the </w:t>
      </w:r>
      <w:r w:rsidR="00070D0A" w:rsidRPr="708DCBDD">
        <w:rPr>
          <w:i/>
          <w:iCs/>
          <w:lang w:val="en-GB"/>
        </w:rPr>
        <w:t>Fair</w:t>
      </w:r>
      <w:r w:rsidR="007E47CA" w:rsidRPr="708DCBDD">
        <w:rPr>
          <w:i/>
          <w:iCs/>
          <w:lang w:val="en-GB"/>
        </w:rPr>
        <w:t> </w:t>
      </w:r>
      <w:r w:rsidR="00070D0A" w:rsidRPr="708DCBDD">
        <w:rPr>
          <w:i/>
          <w:iCs/>
          <w:lang w:val="en-GB"/>
        </w:rPr>
        <w:t xml:space="preserve">Work (Registered Organisations) Amendment (Withdrawal from Amalgamations) Act 2020 </w:t>
      </w:r>
      <w:r w:rsidR="00070D0A" w:rsidRPr="708DCBDD">
        <w:rPr>
          <w:lang w:val="en-GB"/>
        </w:rPr>
        <w:t>(except for some minor technical amendments)</w:t>
      </w:r>
      <w:r w:rsidR="3F7879A2" w:rsidRPr="708DCBDD">
        <w:rPr>
          <w:lang w:val="en-GB"/>
        </w:rPr>
        <w:t xml:space="preserve"> </w:t>
      </w:r>
      <w:r w:rsidR="00DA4901">
        <w:rPr>
          <w:lang w:val="en-GB"/>
        </w:rPr>
        <w:t xml:space="preserve">and </w:t>
      </w:r>
      <w:r w:rsidR="00D00064">
        <w:rPr>
          <w:lang w:val="en-GB"/>
        </w:rPr>
        <w:t>restore</w:t>
      </w:r>
      <w:r w:rsidR="00653963">
        <w:rPr>
          <w:lang w:val="en-GB"/>
        </w:rPr>
        <w:t>s</w:t>
      </w:r>
      <w:r w:rsidR="009B6AC4">
        <w:rPr>
          <w:lang w:val="en-GB"/>
        </w:rPr>
        <w:t xml:space="preserve"> </w:t>
      </w:r>
      <w:r w:rsidR="00D00064">
        <w:rPr>
          <w:lang w:val="en-GB"/>
        </w:rPr>
        <w:t>the previous longstanding provisions</w:t>
      </w:r>
      <w:r w:rsidR="00070D0A" w:rsidRPr="708DCBDD">
        <w:rPr>
          <w:lang w:val="en-GB"/>
        </w:rPr>
        <w:t xml:space="preserve">. </w:t>
      </w:r>
    </w:p>
    <w:p w14:paraId="7B20AFEE" w14:textId="10910816" w:rsidR="001142EF" w:rsidRDefault="00E373DD" w:rsidP="0863CB4F">
      <w:pPr>
        <w:rPr>
          <w:rStyle w:val="normaltextrun"/>
          <w:rFonts w:cs="Calibri"/>
          <w:color w:val="000000"/>
          <w:shd w:val="clear" w:color="auto" w:fill="FFFFFF"/>
          <w:lang w:val="en-GB"/>
        </w:rPr>
      </w:pPr>
      <w:r w:rsidRPr="0863CB4F">
        <w:rPr>
          <w:lang w:val="en-GB"/>
        </w:rPr>
        <w:t>Th</w:t>
      </w:r>
      <w:r w:rsidR="0069381D">
        <w:rPr>
          <w:lang w:val="en-GB"/>
        </w:rPr>
        <w:t>e 2020</w:t>
      </w:r>
      <w:r w:rsidRPr="0863CB4F">
        <w:rPr>
          <w:lang w:val="en-GB"/>
        </w:rPr>
        <w:t xml:space="preserve"> changes allowed </w:t>
      </w:r>
      <w:r w:rsidR="22CC7635" w:rsidRPr="0863CB4F">
        <w:rPr>
          <w:lang w:val="en-GB"/>
        </w:rPr>
        <w:t>the Fair Work Commission</w:t>
      </w:r>
      <w:r w:rsidR="00AD366D">
        <w:rPr>
          <w:lang w:val="en-GB"/>
        </w:rPr>
        <w:t xml:space="preserve"> (</w:t>
      </w:r>
      <w:r w:rsidR="00196956">
        <w:rPr>
          <w:lang w:val="en-GB"/>
        </w:rPr>
        <w:t xml:space="preserve">the </w:t>
      </w:r>
      <w:r w:rsidR="00AD366D">
        <w:rPr>
          <w:lang w:val="en-GB"/>
        </w:rPr>
        <w:t>Commission)</w:t>
      </w:r>
      <w:r w:rsidR="22CC7635" w:rsidRPr="0863CB4F">
        <w:rPr>
          <w:lang w:val="en-GB"/>
        </w:rPr>
        <w:t xml:space="preserve"> to accept </w:t>
      </w:r>
      <w:r w:rsidRPr="0863CB4F">
        <w:rPr>
          <w:lang w:val="en-GB"/>
        </w:rPr>
        <w:t>de</w:t>
      </w:r>
      <w:r w:rsidR="062D18BF" w:rsidRPr="0863CB4F">
        <w:rPr>
          <w:lang w:val="en-GB"/>
        </w:rPr>
        <w:t>-</w:t>
      </w:r>
      <w:r w:rsidRPr="0863CB4F">
        <w:rPr>
          <w:lang w:val="en-GB"/>
        </w:rPr>
        <w:t xml:space="preserve">merger applications made more than </w:t>
      </w:r>
      <w:r w:rsidR="00960DA8" w:rsidRPr="0863CB4F">
        <w:rPr>
          <w:lang w:val="en-GB"/>
        </w:rPr>
        <w:t>5</w:t>
      </w:r>
      <w:r w:rsidRPr="0863CB4F">
        <w:rPr>
          <w:lang w:val="en-GB"/>
        </w:rPr>
        <w:t xml:space="preserve"> years after </w:t>
      </w:r>
      <w:r w:rsidR="076BB23E" w:rsidRPr="0863CB4F">
        <w:rPr>
          <w:lang w:val="en-GB"/>
        </w:rPr>
        <w:t>an</w:t>
      </w:r>
      <w:r w:rsidRPr="0863CB4F">
        <w:rPr>
          <w:lang w:val="en-GB"/>
        </w:rPr>
        <w:t xml:space="preserve"> amalgamation </w:t>
      </w:r>
      <w:r w:rsidR="66A20C4D" w:rsidRPr="0863CB4F">
        <w:rPr>
          <w:lang w:val="en-GB"/>
        </w:rPr>
        <w:t xml:space="preserve">occurred </w:t>
      </w:r>
      <w:r w:rsidRPr="0863CB4F">
        <w:rPr>
          <w:lang w:val="en-GB"/>
        </w:rPr>
        <w:t>and broadened the definition of ‘</w:t>
      </w:r>
      <w:r w:rsidR="5C306982" w:rsidRPr="0863CB4F">
        <w:rPr>
          <w:lang w:val="en-GB"/>
        </w:rPr>
        <w:t xml:space="preserve">separately identifiable </w:t>
      </w:r>
      <w:r w:rsidRPr="0863CB4F">
        <w:rPr>
          <w:lang w:val="en-GB"/>
        </w:rPr>
        <w:t xml:space="preserve">constituent part’ (a part of an organisation </w:t>
      </w:r>
      <w:r w:rsidR="080611A5" w:rsidRPr="0863CB4F">
        <w:rPr>
          <w:lang w:val="en-GB"/>
        </w:rPr>
        <w:t>cap</w:t>
      </w:r>
      <w:r w:rsidRPr="0863CB4F">
        <w:rPr>
          <w:lang w:val="en-GB"/>
        </w:rPr>
        <w:t xml:space="preserve">able </w:t>
      </w:r>
      <w:r w:rsidR="7E8C9187" w:rsidRPr="0863CB4F">
        <w:rPr>
          <w:lang w:val="en-GB"/>
        </w:rPr>
        <w:t xml:space="preserve">of </w:t>
      </w:r>
      <w:r w:rsidRPr="0863CB4F">
        <w:rPr>
          <w:lang w:val="en-GB"/>
        </w:rPr>
        <w:t>de</w:t>
      </w:r>
      <w:r w:rsidR="673515A6" w:rsidRPr="0863CB4F">
        <w:rPr>
          <w:lang w:val="en-GB"/>
        </w:rPr>
        <w:t>-</w:t>
      </w:r>
      <w:r w:rsidRPr="0863CB4F">
        <w:rPr>
          <w:lang w:val="en-GB"/>
        </w:rPr>
        <w:t>merg</w:t>
      </w:r>
      <w:r w:rsidR="644EB914" w:rsidRPr="0863CB4F">
        <w:rPr>
          <w:lang w:val="en-GB"/>
        </w:rPr>
        <w:t>ing</w:t>
      </w:r>
      <w:r w:rsidRPr="0863CB4F">
        <w:rPr>
          <w:lang w:val="en-GB"/>
        </w:rPr>
        <w:t>).</w:t>
      </w:r>
      <w:r w:rsidR="00D26B2B">
        <w:rPr>
          <w:lang w:val="en-GB"/>
        </w:rPr>
        <w:t xml:space="preserve">  </w:t>
      </w:r>
    </w:p>
    <w:p w14:paraId="02E83365" w14:textId="481224F5" w:rsidR="6A15EBB2" w:rsidRDefault="007B2150" w:rsidP="0863CB4F">
      <w:pPr>
        <w:rPr>
          <w:lang w:val="en-GB"/>
        </w:rPr>
      </w:pPr>
      <w:r>
        <w:rPr>
          <w:rStyle w:val="normaltextrun"/>
          <w:rFonts w:cs="Calibri"/>
          <w:color w:val="000000"/>
          <w:shd w:val="clear" w:color="auto" w:fill="FFFFFF"/>
          <w:lang w:val="en-GB"/>
        </w:rPr>
        <w:t>As a part of the 2020 changes</w:t>
      </w:r>
      <w:r w:rsidR="6A15EBB2">
        <w:rPr>
          <w:rStyle w:val="normaltextrun"/>
          <w:rFonts w:cs="Calibri"/>
          <w:color w:val="000000"/>
          <w:shd w:val="clear" w:color="auto" w:fill="FFFFFF"/>
          <w:lang w:val="en-GB"/>
        </w:rPr>
        <w:t xml:space="preserve">, </w:t>
      </w:r>
      <w:r w:rsidR="003A502D">
        <w:rPr>
          <w:rStyle w:val="normaltextrun"/>
          <w:rFonts w:cs="Calibri"/>
          <w:color w:val="000000"/>
          <w:shd w:val="clear" w:color="auto" w:fill="FFFFFF"/>
          <w:lang w:val="en-GB"/>
        </w:rPr>
        <w:t>several</w:t>
      </w:r>
      <w:r w:rsidR="6DDAFC9B">
        <w:rPr>
          <w:rStyle w:val="normaltextrun"/>
          <w:rFonts w:cs="Calibri"/>
          <w:color w:val="000000"/>
          <w:shd w:val="clear" w:color="auto" w:fill="FFFFFF"/>
          <w:lang w:val="en-GB"/>
        </w:rPr>
        <w:t xml:space="preserve"> technical amendments were </w:t>
      </w:r>
      <w:r>
        <w:rPr>
          <w:rStyle w:val="normaltextrun"/>
          <w:rFonts w:cs="Calibri"/>
          <w:color w:val="000000"/>
          <w:shd w:val="clear" w:color="auto" w:fill="FFFFFF"/>
          <w:lang w:val="en-GB"/>
        </w:rPr>
        <w:t xml:space="preserve">also </w:t>
      </w:r>
      <w:r w:rsidR="6DDAFC9B">
        <w:rPr>
          <w:rStyle w:val="normaltextrun"/>
          <w:rFonts w:cs="Calibri"/>
          <w:color w:val="000000"/>
          <w:shd w:val="clear" w:color="auto" w:fill="FFFFFF"/>
          <w:lang w:val="en-GB"/>
        </w:rPr>
        <w:t xml:space="preserve">made regarding the conduct of ballots, the proposed name and rules </w:t>
      </w:r>
      <w:r w:rsidR="726C7314">
        <w:rPr>
          <w:rStyle w:val="normaltextrun"/>
          <w:rFonts w:cs="Calibri"/>
          <w:color w:val="000000"/>
          <w:shd w:val="clear" w:color="auto" w:fill="FFFFFF"/>
          <w:lang w:val="en-GB"/>
        </w:rPr>
        <w:t xml:space="preserve">of </w:t>
      </w:r>
      <w:r w:rsidR="71E4BC94">
        <w:rPr>
          <w:rStyle w:val="normaltextrun"/>
          <w:rFonts w:cs="Calibri"/>
          <w:color w:val="000000"/>
          <w:shd w:val="clear" w:color="auto" w:fill="FFFFFF"/>
          <w:lang w:val="en-GB"/>
        </w:rPr>
        <w:t>the relevant organisations involved</w:t>
      </w:r>
      <w:r w:rsidR="726C7314">
        <w:rPr>
          <w:rStyle w:val="normaltextrun"/>
          <w:rFonts w:cs="Calibri"/>
          <w:color w:val="000000"/>
          <w:shd w:val="clear" w:color="auto" w:fill="FFFFFF"/>
          <w:lang w:val="en-GB"/>
        </w:rPr>
        <w:t>, the Commission’s power to accept undertaking</w:t>
      </w:r>
      <w:r w:rsidR="7B15E2A0">
        <w:rPr>
          <w:rStyle w:val="normaltextrun"/>
          <w:rFonts w:cs="Calibri"/>
          <w:color w:val="000000"/>
          <w:shd w:val="clear" w:color="auto" w:fill="FFFFFF"/>
          <w:lang w:val="en-GB"/>
        </w:rPr>
        <w:t>s</w:t>
      </w:r>
      <w:r w:rsidR="726C7314">
        <w:rPr>
          <w:rStyle w:val="normaltextrun"/>
          <w:rFonts w:cs="Calibri"/>
          <w:color w:val="000000"/>
          <w:shd w:val="clear" w:color="auto" w:fill="FFFFFF"/>
          <w:lang w:val="en-GB"/>
        </w:rPr>
        <w:t xml:space="preserve"> and the transfer </w:t>
      </w:r>
      <w:r w:rsidR="1BD5AB39">
        <w:rPr>
          <w:rStyle w:val="normaltextrun"/>
          <w:rFonts w:cs="Calibri"/>
          <w:color w:val="000000"/>
          <w:shd w:val="clear" w:color="auto" w:fill="FFFFFF"/>
          <w:lang w:val="en-GB"/>
        </w:rPr>
        <w:t>of members at the conclusion of a demerger process.</w:t>
      </w:r>
    </w:p>
    <w:p w14:paraId="65BABF1C" w14:textId="32C56D42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00F554FC">
        <w:t xml:space="preserve">do these changes </w:t>
      </w:r>
      <w:r>
        <w:t>mean</w:t>
      </w:r>
      <w:bookmarkEnd w:id="0"/>
      <w:r>
        <w:t>?</w:t>
      </w:r>
      <w:bookmarkEnd w:id="1"/>
    </w:p>
    <w:p w14:paraId="20930117" w14:textId="6A53C43F" w:rsidR="001142EF" w:rsidRPr="00383050" w:rsidRDefault="00EC1E4A" w:rsidP="001142EF">
      <w:r>
        <w:t>The changes repeal</w:t>
      </w:r>
      <w:r w:rsidR="0DABA71A">
        <w:t xml:space="preserve"> the 2020 changes </w:t>
      </w:r>
      <w:r>
        <w:t xml:space="preserve">and </w:t>
      </w:r>
      <w:r w:rsidR="47BC743F">
        <w:t xml:space="preserve">restore the requirement for de-merger applications from amalgamated organisations to be made </w:t>
      </w:r>
      <w:r w:rsidR="7252144E">
        <w:t>2</w:t>
      </w:r>
      <w:r w:rsidR="47BC743F">
        <w:t xml:space="preserve"> to </w:t>
      </w:r>
      <w:r w:rsidR="7252144E">
        <w:t>5</w:t>
      </w:r>
      <w:r w:rsidR="47BC743F">
        <w:t xml:space="preserve"> years after the amalgamations occurred. </w:t>
      </w:r>
      <w:r>
        <w:t xml:space="preserve">The </w:t>
      </w:r>
      <w:r w:rsidR="0001354A">
        <w:t xml:space="preserve">Closing Loopholes 2 </w:t>
      </w:r>
      <w:r>
        <w:t>Act also</w:t>
      </w:r>
      <w:r w:rsidR="47BC743F">
        <w:t xml:space="preserve"> restore</w:t>
      </w:r>
      <w:r>
        <w:t>s</w:t>
      </w:r>
      <w:r w:rsidR="47BC743F">
        <w:t xml:space="preserve"> the longstanding </w:t>
      </w:r>
      <w:r w:rsidR="371B979B">
        <w:t xml:space="preserve">category of </w:t>
      </w:r>
      <w:r w:rsidR="47BC743F">
        <w:t>constituent part</w:t>
      </w:r>
      <w:r w:rsidR="6D814F5F">
        <w:t>s</w:t>
      </w:r>
      <w:r w:rsidR="47BC743F">
        <w:t xml:space="preserve"> that </w:t>
      </w:r>
      <w:r w:rsidR="22BD9DC9">
        <w:t>are capable of de-merging</w:t>
      </w:r>
      <w:r w:rsidR="6FE95940">
        <w:t xml:space="preserve"> and reverse</w:t>
      </w:r>
      <w:r w:rsidR="00E15F4E">
        <w:t>s</w:t>
      </w:r>
      <w:r w:rsidR="6FE95940">
        <w:t xml:space="preserve"> the technical amendments </w:t>
      </w:r>
      <w:r w:rsidR="00E15F4E">
        <w:t xml:space="preserve">noted </w:t>
      </w:r>
      <w:r w:rsidR="6FE95940">
        <w:t>above</w:t>
      </w:r>
      <w:r w:rsidR="001142EF">
        <w:t>.</w:t>
      </w:r>
    </w:p>
    <w:p w14:paraId="43891D7F" w14:textId="6EE2EA2F" w:rsidR="003905C3" w:rsidRDefault="003905C3" w:rsidP="00383050">
      <w:pPr>
        <w:pStyle w:val="Heading1"/>
        <w:tabs>
          <w:tab w:val="left" w:pos="6624"/>
        </w:tabs>
      </w:pPr>
      <w:r>
        <w:t xml:space="preserve">When will </w:t>
      </w:r>
      <w:r w:rsidR="00F554FC">
        <w:t xml:space="preserve">these changes </w:t>
      </w:r>
      <w:r>
        <w:t>come into effect?</w:t>
      </w:r>
      <w:r w:rsidR="00733A9A">
        <w:tab/>
      </w:r>
    </w:p>
    <w:p w14:paraId="159940C2" w14:textId="4FABA515" w:rsidR="00351F64" w:rsidRPr="00DC7BE1" w:rsidRDefault="232A9985" w:rsidP="00DC7BE1">
      <w:pPr>
        <w:spacing w:line="240" w:lineRule="auto"/>
        <w:rPr>
          <w:rStyle w:val="normaltextrun"/>
          <w:rFonts w:ascii="Calibri" w:hAnsi="Calibri" w:cs="Calibri"/>
        </w:rPr>
      </w:pPr>
      <w:r w:rsidRPr="69143E23">
        <w:rPr>
          <w:rStyle w:val="normaltextrun"/>
          <w:rFonts w:ascii="Calibri" w:eastAsia="Calibri" w:hAnsi="Calibri" w:cs="Calibri"/>
        </w:rPr>
        <w:t xml:space="preserve">The </w:t>
      </w:r>
      <w:r w:rsidR="00AE0FA4">
        <w:rPr>
          <w:rStyle w:val="normaltextrun"/>
          <w:rFonts w:ascii="Calibri" w:eastAsia="Calibri" w:hAnsi="Calibri" w:cs="Calibri"/>
        </w:rPr>
        <w:t>measure</w:t>
      </w:r>
      <w:r w:rsidR="4EC93FE3" w:rsidRPr="69143E23">
        <w:rPr>
          <w:rStyle w:val="normaltextrun"/>
          <w:rFonts w:ascii="Calibri" w:eastAsia="Calibri" w:hAnsi="Calibri" w:cs="Calibri"/>
        </w:rPr>
        <w:t xml:space="preserve"> </w:t>
      </w:r>
      <w:r w:rsidR="000F1B61" w:rsidRPr="69143E23">
        <w:rPr>
          <w:rStyle w:val="normaltextrun"/>
          <w:rFonts w:ascii="Calibri" w:eastAsia="Calibri" w:hAnsi="Calibri" w:cs="Calibri"/>
        </w:rPr>
        <w:t>commence</w:t>
      </w:r>
      <w:r w:rsidR="00FD3B23">
        <w:rPr>
          <w:rStyle w:val="normaltextrun"/>
          <w:rFonts w:ascii="Calibri" w:eastAsia="Calibri" w:hAnsi="Calibri" w:cs="Calibri"/>
        </w:rPr>
        <w:t>d</w:t>
      </w:r>
      <w:r w:rsidR="6178F5C4" w:rsidRPr="69143E23">
        <w:rPr>
          <w:rStyle w:val="normaltextrun"/>
          <w:rFonts w:ascii="Calibri" w:eastAsia="Calibri" w:hAnsi="Calibri" w:cs="Calibri"/>
        </w:rPr>
        <w:t xml:space="preserve"> </w:t>
      </w:r>
      <w:r w:rsidR="00FD3B23">
        <w:rPr>
          <w:rStyle w:val="normaltextrun"/>
          <w:rFonts w:ascii="Calibri" w:eastAsia="Calibri" w:hAnsi="Calibri" w:cs="Calibri"/>
        </w:rPr>
        <w:t>on 27 February 2024</w:t>
      </w:r>
      <w:r w:rsidRPr="69143E23">
        <w:rPr>
          <w:rStyle w:val="normaltextrun"/>
          <w:rFonts w:ascii="Calibri" w:eastAsia="Calibri" w:hAnsi="Calibri" w:cs="Calibri"/>
        </w:rPr>
        <w:t>.</w:t>
      </w:r>
    </w:p>
    <w:p w14:paraId="1F7FD4E3" w14:textId="62A4DC26" w:rsidR="00646346" w:rsidRPr="00F722EE" w:rsidRDefault="003905C3" w:rsidP="418E4C56">
      <w:pPr>
        <w:spacing w:after="0"/>
      </w:pP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68AE2316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>
        <w:r w:rsidR="2C7BADA2" w:rsidRPr="418E4C56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  <w:r w:rsidR="2C7BADA2" w:rsidRPr="418E4C56">
        <w:rPr>
          <w:rStyle w:val="normaltextrun"/>
          <w:rFonts w:ascii="Calibri" w:eastAsia="Calibri" w:hAnsi="Calibri" w:cs="Calibri"/>
          <w:color w:val="000000" w:themeColor="text1"/>
        </w:rPr>
        <w:t xml:space="preserve">  </w:t>
      </w:r>
      <w:r w:rsidR="2C7BADA2" w:rsidRPr="418E4C56">
        <w:rPr>
          <w:rFonts w:ascii="Calibri" w:eastAsia="Calibri" w:hAnsi="Calibri" w:cs="Calibri"/>
        </w:rPr>
        <w:t xml:space="preserve"> </w:t>
      </w:r>
    </w:p>
    <w:sectPr w:rsidR="00646346" w:rsidRPr="00F722EE" w:rsidSect="00B93E9F">
      <w:footerReference w:type="default" r:id="rId17"/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EE06" w14:textId="77777777" w:rsidR="00B93E9F" w:rsidRDefault="00B93E9F" w:rsidP="00EE7FDA">
      <w:pPr>
        <w:spacing w:after="0"/>
      </w:pPr>
      <w:r>
        <w:separator/>
      </w:r>
    </w:p>
  </w:endnote>
  <w:endnote w:type="continuationSeparator" w:id="0">
    <w:p w14:paraId="3D43C6C4" w14:textId="77777777" w:rsidR="00B93E9F" w:rsidRDefault="00B93E9F" w:rsidP="00EE7FDA">
      <w:pPr>
        <w:spacing w:after="0"/>
      </w:pPr>
      <w:r>
        <w:continuationSeparator/>
      </w:r>
    </w:p>
  </w:endnote>
  <w:endnote w:type="continuationNotice" w:id="1">
    <w:p w14:paraId="1D1CE435" w14:textId="77777777" w:rsidR="00B93E9F" w:rsidRDefault="00B93E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9556" w14:textId="2FA910ED" w:rsidR="00656BE3" w:rsidRDefault="00782E5A" w:rsidP="00656BE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6BE3" w:rsidRPr="00656BE3">
      <w:t xml:space="preserve"> </w:t>
    </w:r>
    <w:r w:rsidR="00656BE3">
      <w:t>Last updated: February 2024</w:t>
    </w:r>
  </w:p>
  <w:p w14:paraId="79687592" w14:textId="77777777" w:rsidR="00656BE3" w:rsidRDefault="00656BE3">
    <w:pPr>
      <w:pStyle w:val="Footer"/>
    </w:pPr>
  </w:p>
  <w:p w14:paraId="56D15AB9" w14:textId="77777777" w:rsidR="00656BE3" w:rsidRDefault="00656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59F2908C" w:rsidR="00105919" w:rsidRDefault="00105919" w:rsidP="005C2F1F">
    <w:pPr>
      <w:pStyle w:val="Footer"/>
      <w:jc w:val="right"/>
    </w:pPr>
  </w:p>
  <w:p w14:paraId="1EC6C30C" w14:textId="77777777" w:rsidR="005C2F1F" w:rsidRDefault="005C2F1F" w:rsidP="005C2F1F">
    <w:pPr>
      <w:pStyle w:val="Footer"/>
      <w:jc w:val="right"/>
    </w:pPr>
  </w:p>
  <w:p w14:paraId="7EA9BADF" w14:textId="39E3FC7B" w:rsidR="005C2F1F" w:rsidRDefault="005C2F1F" w:rsidP="005C2F1F">
    <w:pPr>
      <w:pStyle w:val="Footer"/>
      <w:jc w:val="right"/>
    </w:pPr>
    <w:r>
      <w:t>Last updated: March 2024</w:t>
    </w:r>
  </w:p>
  <w:p w14:paraId="66467A47" w14:textId="77777777" w:rsidR="005C2F1F" w:rsidRDefault="005C2F1F" w:rsidP="005C2F1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E412" w14:textId="2422C5D3" w:rsidR="0054388C" w:rsidRDefault="0054388C" w:rsidP="00656BE3">
    <w:pPr>
      <w:pStyle w:val="Footer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C6FCF02" wp14:editId="786568D9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236347255" name="Picture 23634725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6BE3">
      <w:t xml:space="preserve"> </w:t>
    </w:r>
    <w:r>
      <w:t>Last updated: February 2024</w:t>
    </w:r>
  </w:p>
  <w:p w14:paraId="71056D6A" w14:textId="77777777" w:rsidR="0054388C" w:rsidRDefault="0054388C">
    <w:pPr>
      <w:pStyle w:val="Footer"/>
    </w:pPr>
  </w:p>
  <w:p w14:paraId="78436468" w14:textId="77777777" w:rsidR="0054388C" w:rsidRDefault="00543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B909" w14:textId="77777777" w:rsidR="00B93E9F" w:rsidRDefault="00B93E9F" w:rsidP="00D105E6">
      <w:pPr>
        <w:spacing w:after="60"/>
      </w:pPr>
      <w:r>
        <w:separator/>
      </w:r>
    </w:p>
  </w:footnote>
  <w:footnote w:type="continuationSeparator" w:id="0">
    <w:p w14:paraId="551B4A2E" w14:textId="77777777" w:rsidR="00B93E9F" w:rsidRDefault="00B93E9F" w:rsidP="00EE7FDA">
      <w:pPr>
        <w:spacing w:after="0"/>
      </w:pPr>
      <w:r>
        <w:continuationSeparator/>
      </w:r>
    </w:p>
  </w:footnote>
  <w:footnote w:type="continuationNotice" w:id="1">
    <w:p w14:paraId="0C38226B" w14:textId="77777777" w:rsidR="00B93E9F" w:rsidRDefault="00B93E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D6E34"/>
    <w:multiLevelType w:val="multilevel"/>
    <w:tmpl w:val="0FA8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8224E2"/>
    <w:multiLevelType w:val="multilevel"/>
    <w:tmpl w:val="B10A65AC"/>
    <w:numStyleLink w:val="Style1"/>
  </w:abstractNum>
  <w:abstractNum w:abstractNumId="10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EE53EF4"/>
    <w:multiLevelType w:val="multilevel"/>
    <w:tmpl w:val="4C06E666"/>
    <w:numStyleLink w:val="RSCBNumberList1"/>
  </w:abstractNum>
  <w:abstractNum w:abstractNumId="13" w15:restartNumberingAfterBreak="0">
    <w:nsid w:val="3E4E0925"/>
    <w:multiLevelType w:val="hybridMultilevel"/>
    <w:tmpl w:val="F968A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5" w15:restartNumberingAfterBreak="0">
    <w:nsid w:val="57DD04F5"/>
    <w:multiLevelType w:val="multilevel"/>
    <w:tmpl w:val="4C06E666"/>
    <w:numStyleLink w:val="RSCBNumberList1"/>
  </w:abstractNum>
  <w:abstractNum w:abstractNumId="16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5509D"/>
    <w:multiLevelType w:val="multilevel"/>
    <w:tmpl w:val="D304D8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65201115">
    <w:abstractNumId w:val="14"/>
  </w:num>
  <w:num w:numId="2" w16cid:durableId="299654710">
    <w:abstractNumId w:val="15"/>
  </w:num>
  <w:num w:numId="3" w16cid:durableId="2025083515">
    <w:abstractNumId w:val="16"/>
  </w:num>
  <w:num w:numId="4" w16cid:durableId="151071687">
    <w:abstractNumId w:val="9"/>
  </w:num>
  <w:num w:numId="5" w16cid:durableId="550507406">
    <w:abstractNumId w:val="6"/>
  </w:num>
  <w:num w:numId="6" w16cid:durableId="1959604197">
    <w:abstractNumId w:val="10"/>
  </w:num>
  <w:num w:numId="7" w16cid:durableId="842160772">
    <w:abstractNumId w:val="7"/>
  </w:num>
  <w:num w:numId="8" w16cid:durableId="1434545816">
    <w:abstractNumId w:val="11"/>
  </w:num>
  <w:num w:numId="9" w16cid:durableId="229774031">
    <w:abstractNumId w:val="12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 w:numId="16" w16cid:durableId="1789279134">
    <w:abstractNumId w:val="13"/>
  </w:num>
  <w:num w:numId="17" w16cid:durableId="1402674570">
    <w:abstractNumId w:val="8"/>
  </w:num>
  <w:num w:numId="18" w16cid:durableId="1372456501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1F29"/>
    <w:rsid w:val="000036E5"/>
    <w:rsid w:val="00006F35"/>
    <w:rsid w:val="00007A92"/>
    <w:rsid w:val="00011BA5"/>
    <w:rsid w:val="0001354A"/>
    <w:rsid w:val="00030594"/>
    <w:rsid w:val="0003400A"/>
    <w:rsid w:val="000358EA"/>
    <w:rsid w:val="00037765"/>
    <w:rsid w:val="00040F83"/>
    <w:rsid w:val="000450FD"/>
    <w:rsid w:val="00052659"/>
    <w:rsid w:val="00052B07"/>
    <w:rsid w:val="00054266"/>
    <w:rsid w:val="00070D0A"/>
    <w:rsid w:val="00076A93"/>
    <w:rsid w:val="0009541A"/>
    <w:rsid w:val="000B3650"/>
    <w:rsid w:val="000C2420"/>
    <w:rsid w:val="000C3EB5"/>
    <w:rsid w:val="000D0207"/>
    <w:rsid w:val="000D2D70"/>
    <w:rsid w:val="000E1635"/>
    <w:rsid w:val="000E406E"/>
    <w:rsid w:val="000F01D3"/>
    <w:rsid w:val="000F1B61"/>
    <w:rsid w:val="00100009"/>
    <w:rsid w:val="00102FC6"/>
    <w:rsid w:val="00105919"/>
    <w:rsid w:val="00110FE4"/>
    <w:rsid w:val="001142EF"/>
    <w:rsid w:val="001177CD"/>
    <w:rsid w:val="00131142"/>
    <w:rsid w:val="0013216A"/>
    <w:rsid w:val="00133E76"/>
    <w:rsid w:val="0013557F"/>
    <w:rsid w:val="00145A12"/>
    <w:rsid w:val="001541DF"/>
    <w:rsid w:val="00155F80"/>
    <w:rsid w:val="00155F8B"/>
    <w:rsid w:val="0016510A"/>
    <w:rsid w:val="00165A2C"/>
    <w:rsid w:val="00182899"/>
    <w:rsid w:val="00195EF0"/>
    <w:rsid w:val="00196956"/>
    <w:rsid w:val="001A49E1"/>
    <w:rsid w:val="001B149B"/>
    <w:rsid w:val="001B6D04"/>
    <w:rsid w:val="001C6347"/>
    <w:rsid w:val="001C65BE"/>
    <w:rsid w:val="001D5806"/>
    <w:rsid w:val="001E67C7"/>
    <w:rsid w:val="001F444A"/>
    <w:rsid w:val="001F4791"/>
    <w:rsid w:val="001F7332"/>
    <w:rsid w:val="00212465"/>
    <w:rsid w:val="00213A04"/>
    <w:rsid w:val="00237CB8"/>
    <w:rsid w:val="00244DD6"/>
    <w:rsid w:val="00245229"/>
    <w:rsid w:val="002462D7"/>
    <w:rsid w:val="00251140"/>
    <w:rsid w:val="002534F8"/>
    <w:rsid w:val="00253AD5"/>
    <w:rsid w:val="00257065"/>
    <w:rsid w:val="00263001"/>
    <w:rsid w:val="002678F4"/>
    <w:rsid w:val="00275860"/>
    <w:rsid w:val="00275D69"/>
    <w:rsid w:val="00286F3C"/>
    <w:rsid w:val="002A078B"/>
    <w:rsid w:val="002A67B9"/>
    <w:rsid w:val="002B44B9"/>
    <w:rsid w:val="002B52D6"/>
    <w:rsid w:val="002B67B2"/>
    <w:rsid w:val="002B7E49"/>
    <w:rsid w:val="002C3552"/>
    <w:rsid w:val="002C508E"/>
    <w:rsid w:val="002C69DE"/>
    <w:rsid w:val="002D2370"/>
    <w:rsid w:val="002E766F"/>
    <w:rsid w:val="002F3300"/>
    <w:rsid w:val="002F7012"/>
    <w:rsid w:val="002F7ADA"/>
    <w:rsid w:val="00300C40"/>
    <w:rsid w:val="00312F55"/>
    <w:rsid w:val="0031425C"/>
    <w:rsid w:val="00316088"/>
    <w:rsid w:val="00321EE6"/>
    <w:rsid w:val="003267A5"/>
    <w:rsid w:val="00333925"/>
    <w:rsid w:val="00351F64"/>
    <w:rsid w:val="00363E4D"/>
    <w:rsid w:val="00375A68"/>
    <w:rsid w:val="00383050"/>
    <w:rsid w:val="003905C3"/>
    <w:rsid w:val="003A1609"/>
    <w:rsid w:val="003A502D"/>
    <w:rsid w:val="003B13B2"/>
    <w:rsid w:val="003D790E"/>
    <w:rsid w:val="003E179E"/>
    <w:rsid w:val="003E21F8"/>
    <w:rsid w:val="003E44F1"/>
    <w:rsid w:val="003F0880"/>
    <w:rsid w:val="003F5F74"/>
    <w:rsid w:val="004008D0"/>
    <w:rsid w:val="00407702"/>
    <w:rsid w:val="00421030"/>
    <w:rsid w:val="00426E46"/>
    <w:rsid w:val="0043075A"/>
    <w:rsid w:val="00440F0C"/>
    <w:rsid w:val="00442143"/>
    <w:rsid w:val="00447A30"/>
    <w:rsid w:val="0045290C"/>
    <w:rsid w:val="004545DE"/>
    <w:rsid w:val="00457CDB"/>
    <w:rsid w:val="00464F93"/>
    <w:rsid w:val="00465F06"/>
    <w:rsid w:val="0046600C"/>
    <w:rsid w:val="0046637C"/>
    <w:rsid w:val="0046686E"/>
    <w:rsid w:val="0047432C"/>
    <w:rsid w:val="00477668"/>
    <w:rsid w:val="00487FF6"/>
    <w:rsid w:val="0049078A"/>
    <w:rsid w:val="00495B21"/>
    <w:rsid w:val="004B3615"/>
    <w:rsid w:val="004B48A5"/>
    <w:rsid w:val="004D00B2"/>
    <w:rsid w:val="004E2D51"/>
    <w:rsid w:val="004F3CE3"/>
    <w:rsid w:val="004F5993"/>
    <w:rsid w:val="0050001F"/>
    <w:rsid w:val="00500E21"/>
    <w:rsid w:val="0050603E"/>
    <w:rsid w:val="00517064"/>
    <w:rsid w:val="00520CA0"/>
    <w:rsid w:val="00522E88"/>
    <w:rsid w:val="00527EBE"/>
    <w:rsid w:val="00534DC7"/>
    <w:rsid w:val="0054388C"/>
    <w:rsid w:val="005565B8"/>
    <w:rsid w:val="00566A2E"/>
    <w:rsid w:val="005725B2"/>
    <w:rsid w:val="00575DFC"/>
    <w:rsid w:val="00577A33"/>
    <w:rsid w:val="00582D06"/>
    <w:rsid w:val="00586EA4"/>
    <w:rsid w:val="005C1CB4"/>
    <w:rsid w:val="005C2F1F"/>
    <w:rsid w:val="005D150B"/>
    <w:rsid w:val="005D1C17"/>
    <w:rsid w:val="005D2489"/>
    <w:rsid w:val="005E0941"/>
    <w:rsid w:val="005E4E41"/>
    <w:rsid w:val="005F08A3"/>
    <w:rsid w:val="005F500A"/>
    <w:rsid w:val="005F5FCD"/>
    <w:rsid w:val="0062257F"/>
    <w:rsid w:val="0063350D"/>
    <w:rsid w:val="00646346"/>
    <w:rsid w:val="00653963"/>
    <w:rsid w:val="00654A65"/>
    <w:rsid w:val="00656BE3"/>
    <w:rsid w:val="00657B92"/>
    <w:rsid w:val="00691F21"/>
    <w:rsid w:val="0069381D"/>
    <w:rsid w:val="00695ACB"/>
    <w:rsid w:val="006B0A25"/>
    <w:rsid w:val="006B2BA5"/>
    <w:rsid w:val="006B469A"/>
    <w:rsid w:val="006D11EA"/>
    <w:rsid w:val="006D1E27"/>
    <w:rsid w:val="006D2136"/>
    <w:rsid w:val="006D7710"/>
    <w:rsid w:val="006F2229"/>
    <w:rsid w:val="006F4160"/>
    <w:rsid w:val="00704588"/>
    <w:rsid w:val="00706143"/>
    <w:rsid w:val="00707CA7"/>
    <w:rsid w:val="00720A47"/>
    <w:rsid w:val="00730B97"/>
    <w:rsid w:val="00733A9A"/>
    <w:rsid w:val="00737C1D"/>
    <w:rsid w:val="00742C3C"/>
    <w:rsid w:val="00755FD7"/>
    <w:rsid w:val="00760593"/>
    <w:rsid w:val="00767257"/>
    <w:rsid w:val="00774BA7"/>
    <w:rsid w:val="00782E5A"/>
    <w:rsid w:val="0078584C"/>
    <w:rsid w:val="007938D0"/>
    <w:rsid w:val="007A3566"/>
    <w:rsid w:val="007B2150"/>
    <w:rsid w:val="007B264D"/>
    <w:rsid w:val="007C068F"/>
    <w:rsid w:val="007C24F1"/>
    <w:rsid w:val="007C395D"/>
    <w:rsid w:val="007C3D4E"/>
    <w:rsid w:val="007D4962"/>
    <w:rsid w:val="007E3A86"/>
    <w:rsid w:val="007E47CA"/>
    <w:rsid w:val="007F63CC"/>
    <w:rsid w:val="0080594C"/>
    <w:rsid w:val="00813629"/>
    <w:rsid w:val="00817BD6"/>
    <w:rsid w:val="0083020C"/>
    <w:rsid w:val="00832F2D"/>
    <w:rsid w:val="008447BA"/>
    <w:rsid w:val="0085669A"/>
    <w:rsid w:val="00860407"/>
    <w:rsid w:val="0086614F"/>
    <w:rsid w:val="00871073"/>
    <w:rsid w:val="00876539"/>
    <w:rsid w:val="00885C34"/>
    <w:rsid w:val="008A28DA"/>
    <w:rsid w:val="008B1001"/>
    <w:rsid w:val="008B11AF"/>
    <w:rsid w:val="008B496F"/>
    <w:rsid w:val="008C04FD"/>
    <w:rsid w:val="008C238B"/>
    <w:rsid w:val="008D104A"/>
    <w:rsid w:val="008E5D24"/>
    <w:rsid w:val="008F24CE"/>
    <w:rsid w:val="009131D2"/>
    <w:rsid w:val="009248C5"/>
    <w:rsid w:val="00931FEE"/>
    <w:rsid w:val="00951E42"/>
    <w:rsid w:val="00955864"/>
    <w:rsid w:val="00960DA8"/>
    <w:rsid w:val="00961F5C"/>
    <w:rsid w:val="00973379"/>
    <w:rsid w:val="009756F9"/>
    <w:rsid w:val="009974B0"/>
    <w:rsid w:val="00997BE6"/>
    <w:rsid w:val="009A033F"/>
    <w:rsid w:val="009B18E2"/>
    <w:rsid w:val="009B1E2C"/>
    <w:rsid w:val="009B6AC4"/>
    <w:rsid w:val="009D079F"/>
    <w:rsid w:val="009D20AD"/>
    <w:rsid w:val="009D4F76"/>
    <w:rsid w:val="009E1262"/>
    <w:rsid w:val="009F652B"/>
    <w:rsid w:val="009F7F95"/>
    <w:rsid w:val="00A112E2"/>
    <w:rsid w:val="00A12824"/>
    <w:rsid w:val="00A1295F"/>
    <w:rsid w:val="00A1654A"/>
    <w:rsid w:val="00A17918"/>
    <w:rsid w:val="00A23D73"/>
    <w:rsid w:val="00A24110"/>
    <w:rsid w:val="00A25FE7"/>
    <w:rsid w:val="00A2686F"/>
    <w:rsid w:val="00A34D39"/>
    <w:rsid w:val="00A513A6"/>
    <w:rsid w:val="00A54CD6"/>
    <w:rsid w:val="00A70EEB"/>
    <w:rsid w:val="00A713BC"/>
    <w:rsid w:val="00A74FD2"/>
    <w:rsid w:val="00A80B21"/>
    <w:rsid w:val="00A81FB9"/>
    <w:rsid w:val="00A82BDB"/>
    <w:rsid w:val="00AA03F6"/>
    <w:rsid w:val="00AA2B47"/>
    <w:rsid w:val="00AA2FD8"/>
    <w:rsid w:val="00AB49D3"/>
    <w:rsid w:val="00AD09A8"/>
    <w:rsid w:val="00AD0B7E"/>
    <w:rsid w:val="00AD366D"/>
    <w:rsid w:val="00AE03D4"/>
    <w:rsid w:val="00AE0FA4"/>
    <w:rsid w:val="00AF762F"/>
    <w:rsid w:val="00B00423"/>
    <w:rsid w:val="00B15A13"/>
    <w:rsid w:val="00B30D94"/>
    <w:rsid w:val="00B41157"/>
    <w:rsid w:val="00B52124"/>
    <w:rsid w:val="00B54259"/>
    <w:rsid w:val="00B81A68"/>
    <w:rsid w:val="00B9360F"/>
    <w:rsid w:val="00B93E9F"/>
    <w:rsid w:val="00BA3145"/>
    <w:rsid w:val="00BA48C8"/>
    <w:rsid w:val="00BB57FE"/>
    <w:rsid w:val="00BD6E26"/>
    <w:rsid w:val="00BE133B"/>
    <w:rsid w:val="00BE54EE"/>
    <w:rsid w:val="00BE6D94"/>
    <w:rsid w:val="00BF2EE7"/>
    <w:rsid w:val="00BF7BDF"/>
    <w:rsid w:val="00C0410F"/>
    <w:rsid w:val="00C04E0C"/>
    <w:rsid w:val="00C17ADF"/>
    <w:rsid w:val="00C204A8"/>
    <w:rsid w:val="00C230BC"/>
    <w:rsid w:val="00C30A1E"/>
    <w:rsid w:val="00C34A51"/>
    <w:rsid w:val="00C50AA1"/>
    <w:rsid w:val="00C55508"/>
    <w:rsid w:val="00C600FD"/>
    <w:rsid w:val="00C65EDF"/>
    <w:rsid w:val="00C66B71"/>
    <w:rsid w:val="00C734D4"/>
    <w:rsid w:val="00C94D54"/>
    <w:rsid w:val="00CA4D93"/>
    <w:rsid w:val="00CA5025"/>
    <w:rsid w:val="00CD38C9"/>
    <w:rsid w:val="00CD4960"/>
    <w:rsid w:val="00CD5F0D"/>
    <w:rsid w:val="00CF6EBF"/>
    <w:rsid w:val="00D00064"/>
    <w:rsid w:val="00D06CDD"/>
    <w:rsid w:val="00D105E6"/>
    <w:rsid w:val="00D26B2B"/>
    <w:rsid w:val="00D351E5"/>
    <w:rsid w:val="00D4027E"/>
    <w:rsid w:val="00D471CD"/>
    <w:rsid w:val="00D530C2"/>
    <w:rsid w:val="00D67447"/>
    <w:rsid w:val="00D7115B"/>
    <w:rsid w:val="00D73DC4"/>
    <w:rsid w:val="00D744B5"/>
    <w:rsid w:val="00D8218A"/>
    <w:rsid w:val="00D84DC0"/>
    <w:rsid w:val="00D910F9"/>
    <w:rsid w:val="00D97626"/>
    <w:rsid w:val="00DA16BF"/>
    <w:rsid w:val="00DA46BB"/>
    <w:rsid w:val="00DA4901"/>
    <w:rsid w:val="00DC7BE1"/>
    <w:rsid w:val="00DD4EBE"/>
    <w:rsid w:val="00DE1663"/>
    <w:rsid w:val="00DE53E5"/>
    <w:rsid w:val="00DF0B8A"/>
    <w:rsid w:val="00DF60E1"/>
    <w:rsid w:val="00DF618F"/>
    <w:rsid w:val="00E00CE3"/>
    <w:rsid w:val="00E04579"/>
    <w:rsid w:val="00E1066A"/>
    <w:rsid w:val="00E15F4E"/>
    <w:rsid w:val="00E33308"/>
    <w:rsid w:val="00E373DD"/>
    <w:rsid w:val="00E44310"/>
    <w:rsid w:val="00E4789A"/>
    <w:rsid w:val="00E55470"/>
    <w:rsid w:val="00E63BF5"/>
    <w:rsid w:val="00E814A0"/>
    <w:rsid w:val="00E822A7"/>
    <w:rsid w:val="00E96C12"/>
    <w:rsid w:val="00EB3238"/>
    <w:rsid w:val="00EC1E4A"/>
    <w:rsid w:val="00EC4486"/>
    <w:rsid w:val="00EC63BF"/>
    <w:rsid w:val="00ED3F85"/>
    <w:rsid w:val="00EE511B"/>
    <w:rsid w:val="00EE59F7"/>
    <w:rsid w:val="00EE68B6"/>
    <w:rsid w:val="00EE7FDA"/>
    <w:rsid w:val="00EF27F0"/>
    <w:rsid w:val="00EF37A4"/>
    <w:rsid w:val="00F03199"/>
    <w:rsid w:val="00F10A6E"/>
    <w:rsid w:val="00F121AC"/>
    <w:rsid w:val="00F23048"/>
    <w:rsid w:val="00F23C4B"/>
    <w:rsid w:val="00F25A17"/>
    <w:rsid w:val="00F36B35"/>
    <w:rsid w:val="00F465FC"/>
    <w:rsid w:val="00F47CF6"/>
    <w:rsid w:val="00F54B75"/>
    <w:rsid w:val="00F554FC"/>
    <w:rsid w:val="00F55BB9"/>
    <w:rsid w:val="00F702C8"/>
    <w:rsid w:val="00F70E81"/>
    <w:rsid w:val="00F722EE"/>
    <w:rsid w:val="00F72A5B"/>
    <w:rsid w:val="00F96CB0"/>
    <w:rsid w:val="00FA1736"/>
    <w:rsid w:val="00FA3AB6"/>
    <w:rsid w:val="00FA604A"/>
    <w:rsid w:val="00FB4A4A"/>
    <w:rsid w:val="00FB7050"/>
    <w:rsid w:val="00FD3B23"/>
    <w:rsid w:val="00FD6726"/>
    <w:rsid w:val="00FE0BBC"/>
    <w:rsid w:val="00FE5246"/>
    <w:rsid w:val="00FF5068"/>
    <w:rsid w:val="00FF73BA"/>
    <w:rsid w:val="062BB33B"/>
    <w:rsid w:val="062D18BF"/>
    <w:rsid w:val="076BB23E"/>
    <w:rsid w:val="080611A5"/>
    <w:rsid w:val="0863CB4F"/>
    <w:rsid w:val="0D47472F"/>
    <w:rsid w:val="0DABA71A"/>
    <w:rsid w:val="0E96EABF"/>
    <w:rsid w:val="13A227D8"/>
    <w:rsid w:val="141B88EF"/>
    <w:rsid w:val="179997FE"/>
    <w:rsid w:val="186F6ADC"/>
    <w:rsid w:val="1BD5AB39"/>
    <w:rsid w:val="1CA568FE"/>
    <w:rsid w:val="22BD9DC9"/>
    <w:rsid w:val="22CC7635"/>
    <w:rsid w:val="232A9985"/>
    <w:rsid w:val="238D5284"/>
    <w:rsid w:val="27190214"/>
    <w:rsid w:val="2833D0FE"/>
    <w:rsid w:val="2A23C4B8"/>
    <w:rsid w:val="2C7BADA2"/>
    <w:rsid w:val="31038A05"/>
    <w:rsid w:val="34D5AFD9"/>
    <w:rsid w:val="35D4EC87"/>
    <w:rsid w:val="371B979B"/>
    <w:rsid w:val="38DE537B"/>
    <w:rsid w:val="3F581DD5"/>
    <w:rsid w:val="3F7879A2"/>
    <w:rsid w:val="418E4C56"/>
    <w:rsid w:val="42BB5F64"/>
    <w:rsid w:val="461A2E3F"/>
    <w:rsid w:val="47BC743F"/>
    <w:rsid w:val="4AE38D50"/>
    <w:rsid w:val="4EC93FE3"/>
    <w:rsid w:val="5ADC073D"/>
    <w:rsid w:val="5AF0BF34"/>
    <w:rsid w:val="5B7165AB"/>
    <w:rsid w:val="5BB9862B"/>
    <w:rsid w:val="5BBB7FB9"/>
    <w:rsid w:val="5C306982"/>
    <w:rsid w:val="5C8DD0D1"/>
    <w:rsid w:val="5E37563F"/>
    <w:rsid w:val="6178F5C4"/>
    <w:rsid w:val="644EB914"/>
    <w:rsid w:val="66A20C4D"/>
    <w:rsid w:val="673515A6"/>
    <w:rsid w:val="68AE2316"/>
    <w:rsid w:val="69143E23"/>
    <w:rsid w:val="6A15EBB2"/>
    <w:rsid w:val="6D814F5F"/>
    <w:rsid w:val="6DDAFC9B"/>
    <w:rsid w:val="6FE95940"/>
    <w:rsid w:val="708DCBDD"/>
    <w:rsid w:val="71E4BC94"/>
    <w:rsid w:val="7252144E"/>
    <w:rsid w:val="726C7314"/>
    <w:rsid w:val="72776455"/>
    <w:rsid w:val="7B15E2A0"/>
    <w:rsid w:val="7B34E268"/>
    <w:rsid w:val="7C7CE60F"/>
    <w:rsid w:val="7E8C9187"/>
    <w:rsid w:val="7FA5A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paragraph" w:styleId="Revision">
    <w:name w:val="Revision"/>
    <w:hidden/>
    <w:uiPriority w:val="99"/>
    <w:semiHidden/>
    <w:rsid w:val="0010000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96C12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B41157"/>
  </w:style>
  <w:style w:type="character" w:styleId="CommentReference">
    <w:name w:val="annotation reference"/>
    <w:basedOn w:val="DefaultParagraphFont"/>
    <w:uiPriority w:val="99"/>
    <w:semiHidden/>
    <w:rsid w:val="00A24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24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1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rmed xmlns="c3bb4156-0582-4d49-9748-da12e4bfffd4" xsi:nil="true"/>
    <Date xmlns="c3bb4156-0582-4d49-9748-da12e4bfffd4" xsi:nil="true"/>
    <TaxCatchAll xmlns="f6ea322a-84be-47d5-b47f-0374e0177435" xsi:nil="true"/>
    <Agency xmlns="c3bb4156-0582-4d49-9748-da12e4bfffd4" xsi:nil="true"/>
    <lcf76f155ced4ddcb4097134ff3c332f xmlns="c3bb4156-0582-4d49-9748-da12e4bfffd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BDFE0D5B48A44847B70EA1BD3862B" ma:contentTypeVersion="18" ma:contentTypeDescription="Create a new document." ma:contentTypeScope="" ma:versionID="c79f900a805d6ead317f44aae8971b4b">
  <xsd:schema xmlns:xsd="http://www.w3.org/2001/XMLSchema" xmlns:xs="http://www.w3.org/2001/XMLSchema" xmlns:p="http://schemas.microsoft.com/office/2006/metadata/properties" xmlns:ns2="c3bb4156-0582-4d49-9748-da12e4bfffd4" xmlns:ns3="f6ea322a-84be-47d5-b47f-0374e0177435" targetNamespace="http://schemas.microsoft.com/office/2006/metadata/properties" ma:root="true" ma:fieldsID="da0659c4d8a8cfc055ac7195a26c04ba" ns2:_="" ns3:_="">
    <xsd:import namespace="c3bb4156-0582-4d49-9748-da12e4bfffd4"/>
    <xsd:import namespace="f6ea322a-84be-47d5-b47f-0374e0177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ate" minOccurs="0"/>
                <xsd:element ref="ns2:Confirmed" minOccurs="0"/>
                <xsd:element ref="ns2:Agenc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4156-0582-4d49-9748-da12e4bff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Confirmed" ma:index="13" nillable="true" ma:displayName="Confirmed" ma:format="Dropdown" ma:internalName="Confirmed">
      <xsd:simpleType>
        <xsd:restriction base="dms:Text">
          <xsd:maxLength value="255"/>
        </xsd:restriction>
      </xsd:simpleType>
    </xsd:element>
    <xsd:element name="Agency" ma:index="14" nillable="true" ma:displayName="Agency" ma:format="Dropdown" ma:internalName="Agency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a322a-84be-47d5-b47f-0374e0177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3dacc5f-1863-45f1-944c-0525d7dba6df}" ma:internalName="TaxCatchAll" ma:showField="CatchAllData" ma:web="f6ea322a-84be-47d5-b47f-0374e0177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43A82B-0A7C-440E-9212-441CD4A3A643}">
  <ds:schemaRefs>
    <ds:schemaRef ds:uri="http://schemas.microsoft.com/office/2006/metadata/properties"/>
    <ds:schemaRef ds:uri="http://schemas.microsoft.com/office/infopath/2007/PartnerControls"/>
    <ds:schemaRef ds:uri="c3bb4156-0582-4d49-9748-da12e4bfffd4"/>
    <ds:schemaRef ds:uri="f6ea322a-84be-47d5-b47f-0374e0177435"/>
  </ds:schemaRefs>
</ds:datastoreItem>
</file>

<file path=customXml/itemProps2.xml><?xml version="1.0" encoding="utf-8"?>
<ds:datastoreItem xmlns:ds="http://schemas.openxmlformats.org/officeDocument/2006/customXml" ds:itemID="{F771ABC0-07C5-4709-A64D-797816B99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424765-0C0C-4E6C-8D6A-F0A4E4CF05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Repeal de-merger from registered organisations amalgamation provisions</dc:title>
  <dc:subject/>
  <dc:creator/>
  <cp:keywords/>
  <dc:description/>
  <cp:lastModifiedBy/>
  <cp:revision>5</cp:revision>
  <dcterms:created xsi:type="dcterms:W3CDTF">2023-12-21T06:42:00Z</dcterms:created>
  <dcterms:modified xsi:type="dcterms:W3CDTF">2024-03-11T23:18:00Z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2023-12-21T06:43:11Z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6cc3a12b-a6fd-4607-ae9c-d2ff77da56df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0x010100BBBBDFE0D5B48A44847B70EA1BD3862B</vt:lpwstr>
  </property>
  <property fmtid="{D5CDD505-2E9C-101B-9397-08002B2CF9AE}" pid="10" name="MediaServiceImageTags">
    <vt:lpwstr/>
  </property>
</Properties>
</file>