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07D" w14:textId="1A0E2228" w:rsidR="004806A7" w:rsidRDefault="00AD690E" w:rsidP="7921129A">
      <w:pPr>
        <w:pStyle w:val="Title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125A2" wp14:editId="7E3FDBD6">
            <wp:simplePos x="0" y="0"/>
            <wp:positionH relativeFrom="column">
              <wp:posOffset>-148590</wp:posOffset>
            </wp:positionH>
            <wp:positionV relativeFrom="paragraph">
              <wp:posOffset>-234315</wp:posOffset>
            </wp:positionV>
            <wp:extent cx="2455200" cy="752400"/>
            <wp:effectExtent l="0" t="0" r="2540" b="0"/>
            <wp:wrapNone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659B2" w14:textId="10BCC53C" w:rsidR="007E01F4" w:rsidRDefault="004806A7" w:rsidP="7921129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E7B225" wp14:editId="7BE3F865">
                <wp:simplePos x="0" y="0"/>
                <wp:positionH relativeFrom="page">
                  <wp:posOffset>-3810</wp:posOffset>
                </wp:positionH>
                <wp:positionV relativeFrom="page">
                  <wp:posOffset>-17780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 xmlns:arto="http://schemas.microsoft.com/office/word/2006/arto" xmlns:w16du="http://schemas.microsoft.com/office/word/2023/wordml/word16du">
            <w:pict>
              <v:rect id="Rectangle 3" style="position:absolute;margin-left:-.3pt;margin-top:-1.4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0D9F6EC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At0Erx3gAAAAoBAAAPAAAAZHJzL2Rvd25yZXYu&#10;eG1sTI9BT4NAEIXvJv6HzTTx1i5gpBRZGjUxnm01qbeB3QIpO0vYpaX/3ulJTzOT9/Lme8V2tr04&#10;m9F3jhTEqwiEodrpjhoFX/v3ZQbCBySNvSOj4Go8bMv7uwJz7S70ac670AgOIZ+jgjaEIZfS162x&#10;6FduMMTa0Y0WA59jI/WIFw63vUyiKJUWO+IPLQ7mrTX1aTdZBcnTjxtfD/p6+KaT/GgqnB7XqNTD&#10;Yn55BhHMHP7McMNndCiZqXITaS96BcuUjTwSLnCT42yzAVHxlmbxGmRZyP8Vy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LdBK8d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3"/>
                <w10:wrap anchorx="page" anchory="page"/>
              </v:rect>
            </w:pict>
          </mc:Fallback>
        </mc:AlternateContent>
      </w:r>
      <w:r w:rsidR="00670AF1">
        <w:t>Industrial manslaughter and other w</w:t>
      </w:r>
      <w:r w:rsidR="00FD0FBB">
        <w:t xml:space="preserve">ork, </w:t>
      </w:r>
      <w:proofErr w:type="gramStart"/>
      <w:r w:rsidR="00670AF1">
        <w:t>h</w:t>
      </w:r>
      <w:r w:rsidR="00FD0FBB">
        <w:t>ealth</w:t>
      </w:r>
      <w:proofErr w:type="gramEnd"/>
      <w:r w:rsidR="00FD0FBB">
        <w:t xml:space="preserve"> and </w:t>
      </w:r>
      <w:r w:rsidR="00670AF1">
        <w:t>s</w:t>
      </w:r>
      <w:r w:rsidR="00FD0FBB">
        <w:t>afety reforms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7E01F4" w14:paraId="1C276E09" w14:textId="77777777" w:rsidTr="5E4F4E4C">
        <w:tc>
          <w:tcPr>
            <w:tcW w:w="9638" w:type="dxa"/>
          </w:tcPr>
          <w:p w14:paraId="66DBDFD9" w14:textId="72A4238D" w:rsidR="007E01F4" w:rsidRPr="00243F46" w:rsidRDefault="344A4508" w:rsidP="5E4F4E4C">
            <w:pPr>
              <w:rPr>
                <w:szCs w:val="20"/>
              </w:rPr>
            </w:pPr>
            <w:r w:rsidRPr="5E4F4E4C">
              <w:rPr>
                <w:rFonts w:ascii="Calibri" w:eastAsia="Calibri" w:hAnsi="Calibri" w:cs="Calibri"/>
                <w:szCs w:val="20"/>
              </w:rPr>
              <w:t xml:space="preserve">The </w:t>
            </w:r>
            <w:r w:rsidRPr="5E4F4E4C">
              <w:rPr>
                <w:rFonts w:ascii="Calibri" w:eastAsia="Calibri" w:hAnsi="Calibri" w:cs="Calibri"/>
                <w:i/>
                <w:iCs/>
                <w:szCs w:val="20"/>
              </w:rPr>
              <w:t>Fair Work Legislation Amendment (Closing Loopholes) Act 2023</w:t>
            </w:r>
            <w:r w:rsidRPr="5E4F4E4C">
              <w:rPr>
                <w:rFonts w:ascii="Calibri" w:eastAsia="Calibri" w:hAnsi="Calibri" w:cs="Calibri"/>
                <w:szCs w:val="20"/>
              </w:rPr>
              <w:t xml:space="preserve"> amends the </w:t>
            </w:r>
            <w:r w:rsidR="00D4049A" w:rsidRPr="5E4F4E4C">
              <w:rPr>
                <w:rFonts w:ascii="Calibri" w:eastAsia="Calibri" w:hAnsi="Calibri" w:cs="Calibri"/>
                <w:i/>
                <w:iCs/>
                <w:szCs w:val="20"/>
              </w:rPr>
              <w:t xml:space="preserve">Work Health and Safety Act 2011 </w:t>
            </w:r>
            <w:r w:rsidRPr="5E4F4E4C">
              <w:rPr>
                <w:rFonts w:ascii="Calibri" w:eastAsia="Calibri" w:hAnsi="Calibri" w:cs="Calibri"/>
                <w:szCs w:val="20"/>
              </w:rPr>
              <w:t>(the</w:t>
            </w:r>
            <w:r w:rsidR="0090695C" w:rsidRPr="5E4F4E4C">
              <w:rPr>
                <w:rFonts w:ascii="Calibri" w:eastAsia="Calibri" w:hAnsi="Calibri" w:cs="Calibri"/>
                <w:szCs w:val="20"/>
              </w:rPr>
              <w:t> </w:t>
            </w:r>
            <w:r w:rsidR="00D4049A" w:rsidRPr="5E4F4E4C">
              <w:rPr>
                <w:rFonts w:ascii="Calibri" w:eastAsia="Calibri" w:hAnsi="Calibri" w:cs="Calibri"/>
                <w:szCs w:val="20"/>
              </w:rPr>
              <w:t xml:space="preserve">WHS </w:t>
            </w:r>
            <w:r w:rsidRPr="5E4F4E4C">
              <w:rPr>
                <w:rFonts w:ascii="Calibri" w:eastAsia="Calibri" w:hAnsi="Calibri" w:cs="Calibri"/>
                <w:szCs w:val="20"/>
              </w:rPr>
              <w:t>Act)</w:t>
            </w:r>
            <w:r w:rsidR="007E01F4" w:rsidRPr="5E4F4E4C">
              <w:rPr>
                <w:szCs w:val="20"/>
              </w:rPr>
              <w:t xml:space="preserve"> </w:t>
            </w:r>
            <w:r w:rsidR="0F89E228" w:rsidRPr="5E4F4E4C">
              <w:rPr>
                <w:szCs w:val="20"/>
              </w:rPr>
              <w:t xml:space="preserve">to </w:t>
            </w:r>
            <w:r w:rsidR="2EFB3387" w:rsidRPr="5E4F4E4C">
              <w:rPr>
                <w:szCs w:val="20"/>
              </w:rPr>
              <w:t>strengthen Commonwealth work health and safety offence</w:t>
            </w:r>
            <w:r w:rsidR="007A530A" w:rsidRPr="5E4F4E4C">
              <w:rPr>
                <w:szCs w:val="20"/>
              </w:rPr>
              <w:t>s</w:t>
            </w:r>
            <w:r w:rsidR="2EFB3387" w:rsidRPr="5E4F4E4C">
              <w:rPr>
                <w:szCs w:val="20"/>
              </w:rPr>
              <w:t xml:space="preserve"> and penalt</w:t>
            </w:r>
            <w:r w:rsidR="007A530A" w:rsidRPr="5E4F4E4C">
              <w:rPr>
                <w:szCs w:val="20"/>
              </w:rPr>
              <w:t>ies</w:t>
            </w:r>
            <w:r w:rsidR="002A36EB" w:rsidRPr="5E4F4E4C">
              <w:rPr>
                <w:szCs w:val="20"/>
              </w:rPr>
              <w:t xml:space="preserve"> by introducing an industrial manslaughter offence</w:t>
            </w:r>
            <w:r w:rsidR="00D305DB" w:rsidRPr="5E4F4E4C">
              <w:rPr>
                <w:szCs w:val="20"/>
              </w:rPr>
              <w:t xml:space="preserve">, increasing </w:t>
            </w:r>
            <w:proofErr w:type="gramStart"/>
            <w:r w:rsidR="00D305DB" w:rsidRPr="5E4F4E4C">
              <w:rPr>
                <w:szCs w:val="20"/>
              </w:rPr>
              <w:t>penalties</w:t>
            </w:r>
            <w:proofErr w:type="gramEnd"/>
            <w:r w:rsidR="00D305DB" w:rsidRPr="5E4F4E4C">
              <w:rPr>
                <w:szCs w:val="20"/>
              </w:rPr>
              <w:t xml:space="preserve"> and </w:t>
            </w:r>
            <w:r w:rsidR="00E13830" w:rsidRPr="5E4F4E4C">
              <w:rPr>
                <w:szCs w:val="20"/>
              </w:rPr>
              <w:t>providing new criminal responsibility provisions for bodies corporate and the Commonwealth</w:t>
            </w:r>
            <w:r w:rsidR="00D305DB" w:rsidRPr="5E4F4E4C">
              <w:rPr>
                <w:szCs w:val="20"/>
              </w:rPr>
              <w:t>.</w:t>
            </w:r>
            <w:r w:rsidR="1A2DE2C7" w:rsidRPr="5E4F4E4C">
              <w:rPr>
                <w:szCs w:val="20"/>
              </w:rPr>
              <w:t xml:space="preserve"> The amendments also establish a Family and Injured Workers Advisory Committee. </w:t>
            </w:r>
          </w:p>
        </w:tc>
      </w:tr>
    </w:tbl>
    <w:p w14:paraId="542F3971" w14:textId="5F4308C0" w:rsidR="007E01F4" w:rsidRDefault="007E01F4" w:rsidP="4FB44F6F">
      <w:pPr>
        <w:pStyle w:val="Heading1"/>
      </w:pPr>
      <w:r>
        <w:t xml:space="preserve">What </w:t>
      </w:r>
      <w:r w:rsidR="69B5C153">
        <w:t>has changed</w:t>
      </w:r>
      <w:r>
        <w:t>?</w:t>
      </w:r>
    </w:p>
    <w:p w14:paraId="40EDD442" w14:textId="591448DF" w:rsidR="2E7201A0" w:rsidRDefault="008A591C" w:rsidP="4FB44F6F">
      <w:pPr>
        <w:pStyle w:val="Heading1"/>
        <w:rPr>
          <w:rFonts w:eastAsia="Calibri" w:cs="Calibri"/>
          <w:b w:val="0"/>
          <w:color w:val="000000" w:themeColor="text1"/>
          <w:sz w:val="22"/>
          <w:szCs w:val="22"/>
        </w:rPr>
      </w:pPr>
      <w:r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The </w:t>
      </w:r>
      <w:r w:rsidR="637A00EE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changes amend 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the </w:t>
      </w:r>
      <w:r w:rsidR="0A54CDCE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WHS </w:t>
      </w:r>
      <w:r w:rsidR="00CC060F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Act </w:t>
      </w:r>
      <w:r w:rsidR="003557A2" w:rsidRPr="513C2479">
        <w:rPr>
          <w:rFonts w:eastAsia="Calibri" w:cs="Calibri"/>
          <w:b w:val="0"/>
          <w:color w:val="000000" w:themeColor="text1"/>
          <w:sz w:val="22"/>
          <w:szCs w:val="22"/>
        </w:rPr>
        <w:t>to strengthen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 the work </w:t>
      </w:r>
      <w:r w:rsidR="00E05541" w:rsidRPr="513C2479">
        <w:rPr>
          <w:rFonts w:eastAsia="Calibri" w:cs="Calibri"/>
          <w:b w:val="0"/>
          <w:color w:val="000000" w:themeColor="text1"/>
          <w:sz w:val="22"/>
          <w:szCs w:val="22"/>
        </w:rPr>
        <w:t>health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 and safety offence</w:t>
      </w:r>
      <w:r w:rsidR="00E1025C" w:rsidRPr="513C2479">
        <w:rPr>
          <w:rFonts w:eastAsia="Calibri" w:cs="Calibri"/>
          <w:b w:val="0"/>
          <w:color w:val="000000" w:themeColor="text1"/>
          <w:sz w:val="22"/>
          <w:szCs w:val="22"/>
        </w:rPr>
        <w:t>s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 and penalt</w:t>
      </w:r>
      <w:r w:rsidR="00E1025C" w:rsidRPr="513C2479">
        <w:rPr>
          <w:rFonts w:eastAsia="Calibri" w:cs="Calibri"/>
          <w:b w:val="0"/>
          <w:color w:val="000000" w:themeColor="text1"/>
          <w:sz w:val="22"/>
          <w:szCs w:val="22"/>
        </w:rPr>
        <w:t>ies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 regime </w:t>
      </w:r>
      <w:r w:rsidR="000831EB" w:rsidRPr="513C2479">
        <w:rPr>
          <w:rFonts w:eastAsia="Calibri" w:cs="Calibri"/>
          <w:b w:val="0"/>
          <w:color w:val="000000" w:themeColor="text1"/>
          <w:sz w:val="22"/>
          <w:szCs w:val="22"/>
        </w:rPr>
        <w:t xml:space="preserve">by </w:t>
      </w:r>
      <w:r w:rsidR="2E7201A0" w:rsidRPr="513C2479">
        <w:rPr>
          <w:rFonts w:eastAsia="Calibri" w:cs="Calibri"/>
          <w:b w:val="0"/>
          <w:color w:val="000000" w:themeColor="text1"/>
          <w:sz w:val="22"/>
          <w:szCs w:val="22"/>
        </w:rPr>
        <w:t>including:</w:t>
      </w:r>
    </w:p>
    <w:p w14:paraId="12181088" w14:textId="64D62E47" w:rsidR="00AF3ADA" w:rsidRPr="00AF3ADA" w:rsidRDefault="00286829" w:rsidP="00B61ACC">
      <w:pPr>
        <w:pStyle w:val="ListBullet"/>
      </w:pPr>
      <w:r>
        <w:t>A</w:t>
      </w:r>
      <w:r w:rsidR="00AF3ADA">
        <w:t xml:space="preserve">n industrial manslaughter offence for the Commonwealth work health and safety jurisdiction with penalties of $18 million for a body corporate and 25 years </w:t>
      </w:r>
      <w:r w:rsidR="0081654C">
        <w:t xml:space="preserve">imprisonment </w:t>
      </w:r>
      <w:r w:rsidR="00AF3ADA">
        <w:t>for an individual.</w:t>
      </w:r>
    </w:p>
    <w:p w14:paraId="403ED96B" w14:textId="7D6E3E43" w:rsidR="00AF3ADA" w:rsidRPr="00B61ACC" w:rsidRDefault="00D329D3" w:rsidP="00B61ACC">
      <w:pPr>
        <w:pStyle w:val="ListBullet"/>
      </w:pPr>
      <w:r>
        <w:t>S</w:t>
      </w:r>
      <w:r w:rsidR="00AF3ADA">
        <w:t>ignificant increas</w:t>
      </w:r>
      <w:r w:rsidR="00286829">
        <w:t>e</w:t>
      </w:r>
      <w:r>
        <w:t>s</w:t>
      </w:r>
      <w:r w:rsidR="00286829">
        <w:t xml:space="preserve"> to</w:t>
      </w:r>
      <w:r w:rsidR="00AF3ADA">
        <w:t xml:space="preserve"> the Category 1 </w:t>
      </w:r>
      <w:r w:rsidR="00286829">
        <w:t xml:space="preserve">offence </w:t>
      </w:r>
      <w:r w:rsidR="00AF3ADA">
        <w:t>penalt</w:t>
      </w:r>
      <w:r w:rsidR="00E451E5">
        <w:t>ies</w:t>
      </w:r>
      <w:r w:rsidR="00AF3ADA">
        <w:t xml:space="preserve"> from $3 million to $15 million for a body corporate, </w:t>
      </w:r>
      <w:r w:rsidR="00FF7AAE">
        <w:t xml:space="preserve">from </w:t>
      </w:r>
      <w:r w:rsidR="00AF3ADA">
        <w:t>$600,000 to $3 million for a person conducting a business or undertaking or an officer, and from $300,000 to $1.5 million for any other person.</w:t>
      </w:r>
    </w:p>
    <w:p w14:paraId="4627B78F" w14:textId="7C7EC979" w:rsidR="00AF3ADA" w:rsidRPr="00B61ACC" w:rsidRDefault="00BD6CD7" w:rsidP="00B61ACC">
      <w:pPr>
        <w:pStyle w:val="ListBullet"/>
      </w:pPr>
      <w:r>
        <w:t>A</w:t>
      </w:r>
      <w:r w:rsidR="004A5761">
        <w:t xml:space="preserve"> </w:t>
      </w:r>
      <w:r w:rsidR="008667DB">
        <w:t>39.03%</w:t>
      </w:r>
      <w:r>
        <w:t xml:space="preserve"> i</w:t>
      </w:r>
      <w:r w:rsidR="00AF3ADA">
        <w:t>ncreas</w:t>
      </w:r>
      <w:r>
        <w:t>e to</w:t>
      </w:r>
      <w:r w:rsidR="00AF3ADA">
        <w:t xml:space="preserve"> all other penalties in the </w:t>
      </w:r>
      <w:r w:rsidR="00341748" w:rsidRPr="00821901">
        <w:rPr>
          <w:rFonts w:ascii="Calibri" w:eastAsia="Calibri" w:hAnsi="Calibri" w:cs="Calibri"/>
          <w:color w:val="000000" w:themeColor="text1"/>
        </w:rPr>
        <w:t>WHS Act</w:t>
      </w:r>
      <w:r w:rsidR="00AF3ADA" w:rsidRPr="6D82E1D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7CB9D30B" w14:textId="668FD3EE" w:rsidR="00AF3ADA" w:rsidRPr="00B61ACC" w:rsidRDefault="00450CD4" w:rsidP="00B61ACC">
      <w:pPr>
        <w:pStyle w:val="ListBullet"/>
        <w:rPr>
          <w:bCs/>
        </w:rPr>
      </w:pPr>
      <w:r>
        <w:rPr>
          <w:bCs/>
        </w:rPr>
        <w:t>For those penalties which have increased, a</w:t>
      </w:r>
      <w:r w:rsidR="00BD6CD7" w:rsidRPr="00B61ACC">
        <w:rPr>
          <w:bCs/>
        </w:rPr>
        <w:t xml:space="preserve">n </w:t>
      </w:r>
      <w:r w:rsidR="00AF3ADA" w:rsidRPr="00B61ACC">
        <w:rPr>
          <w:bCs/>
        </w:rPr>
        <w:t>indexing mechanism to annually increase penalties in line with the</w:t>
      </w:r>
      <w:r w:rsidR="00F44CD1">
        <w:rPr>
          <w:bCs/>
        </w:rPr>
        <w:t xml:space="preserve"> national</w:t>
      </w:r>
      <w:r w:rsidR="00AF3ADA" w:rsidRPr="00B61ACC">
        <w:rPr>
          <w:bCs/>
        </w:rPr>
        <w:t xml:space="preserve"> consumer price index.</w:t>
      </w:r>
    </w:p>
    <w:p w14:paraId="4B1010D5" w14:textId="05F5F178" w:rsidR="00430A4C" w:rsidRDefault="00BD6CD7" w:rsidP="00430A4C">
      <w:pPr>
        <w:pStyle w:val="ListBullet"/>
        <w:rPr>
          <w:bCs/>
        </w:rPr>
      </w:pPr>
      <w:r w:rsidRPr="00B61ACC">
        <w:rPr>
          <w:bCs/>
        </w:rPr>
        <w:t xml:space="preserve">New </w:t>
      </w:r>
      <w:r w:rsidR="00AF3ADA" w:rsidRPr="00B61ACC">
        <w:rPr>
          <w:bCs/>
        </w:rPr>
        <w:t xml:space="preserve">criminal responsibility provisions </w:t>
      </w:r>
      <w:r w:rsidR="00B311B3" w:rsidRPr="00B61ACC">
        <w:rPr>
          <w:bCs/>
        </w:rPr>
        <w:t xml:space="preserve">for </w:t>
      </w:r>
      <w:r w:rsidR="00AF3ADA" w:rsidRPr="00B61ACC">
        <w:rPr>
          <w:bCs/>
        </w:rPr>
        <w:t>bodies corporate</w:t>
      </w:r>
      <w:r w:rsidR="00B311B3" w:rsidRPr="00B61ACC">
        <w:rPr>
          <w:bCs/>
        </w:rPr>
        <w:t xml:space="preserve"> and the </w:t>
      </w:r>
      <w:r w:rsidR="00AF3ADA" w:rsidRPr="00B61ACC">
        <w:rPr>
          <w:bCs/>
        </w:rPr>
        <w:t xml:space="preserve">Commonwealth. </w:t>
      </w:r>
    </w:p>
    <w:p w14:paraId="6AFE8C4E" w14:textId="77777777" w:rsidR="00430A4C" w:rsidRDefault="00430A4C" w:rsidP="00430A4C">
      <w:pPr>
        <w:pStyle w:val="ListBullet"/>
        <w:numPr>
          <w:ilvl w:val="0"/>
          <w:numId w:val="0"/>
        </w:numPr>
        <w:rPr>
          <w:bCs/>
        </w:rPr>
      </w:pPr>
    </w:p>
    <w:p w14:paraId="1829BED9" w14:textId="39FF437D" w:rsidR="00430A4C" w:rsidRPr="00430A4C" w:rsidRDefault="34357024" w:rsidP="00430A4C">
      <w:pPr>
        <w:pStyle w:val="ListBullet"/>
        <w:numPr>
          <w:ilvl w:val="0"/>
          <w:numId w:val="0"/>
        </w:numPr>
      </w:pPr>
      <w:r>
        <w:t xml:space="preserve">The </w:t>
      </w:r>
      <w:r w:rsidR="3362311A">
        <w:t>changes</w:t>
      </w:r>
      <w:r>
        <w:t xml:space="preserve"> also amend the </w:t>
      </w:r>
      <w:r w:rsidR="78E149A7" w:rsidRPr="00821901">
        <w:t xml:space="preserve">WHS </w:t>
      </w:r>
      <w:r w:rsidR="316C74DF" w:rsidRPr="00821901">
        <w:t>Act</w:t>
      </w:r>
      <w:r>
        <w:t xml:space="preserve"> to establish a Family and Injured Workers Advisory Committee. The Committee </w:t>
      </w:r>
      <w:r w:rsidR="4946B6A7">
        <w:t xml:space="preserve">will </w:t>
      </w:r>
      <w:r>
        <w:t xml:space="preserve">provide advice to the Minister for Employment and Workplace Relations and Commonwealth work health and safety regulators on the support needs of those affected by </w:t>
      </w:r>
      <w:r w:rsidR="6A59990E">
        <w:t xml:space="preserve">a </w:t>
      </w:r>
      <w:r>
        <w:t>serious workplace incident</w:t>
      </w:r>
      <w:r w:rsidR="6A59990E">
        <w:t xml:space="preserve"> and help inform the development of relevant policies and strategies</w:t>
      </w:r>
      <w:r>
        <w:t xml:space="preserve">. </w:t>
      </w:r>
    </w:p>
    <w:p w14:paraId="65F21001" w14:textId="1E56FE88" w:rsidR="007E01F4" w:rsidRDefault="007E01F4" w:rsidP="00AF3ADA">
      <w:pPr>
        <w:pStyle w:val="Heading1"/>
      </w:pPr>
      <w:r>
        <w:t xml:space="preserve">What </w:t>
      </w:r>
      <w:bookmarkStart w:id="0" w:name="_Hlk129776466"/>
      <w:bookmarkStart w:id="1" w:name="_Hlk129776483"/>
      <w:r w:rsidR="005D77B6">
        <w:t>will</w:t>
      </w:r>
      <w:r w:rsidR="06885696">
        <w:t xml:space="preserve"> </w:t>
      </w:r>
      <w:r w:rsidR="11BCE6C2">
        <w:t xml:space="preserve">these changes </w:t>
      </w:r>
      <w:r>
        <w:t>mean</w:t>
      </w:r>
      <w:bookmarkEnd w:id="0"/>
      <w:r>
        <w:t>?</w:t>
      </w:r>
      <w:bookmarkEnd w:id="1"/>
    </w:p>
    <w:p w14:paraId="001AA24A" w14:textId="6EB61081" w:rsidR="00CA3686" w:rsidRPr="00B61ACC" w:rsidRDefault="00606C70" w:rsidP="00B61ACC">
      <w:pPr>
        <w:pStyle w:val="ListBullet"/>
        <w:rPr>
          <w:bCs/>
        </w:rPr>
      </w:pPr>
      <w:r>
        <w:rPr>
          <w:bCs/>
        </w:rPr>
        <w:t>The</w:t>
      </w:r>
      <w:r w:rsidR="00C704DB" w:rsidRPr="00B61ACC">
        <w:rPr>
          <w:bCs/>
        </w:rPr>
        <w:t xml:space="preserve"> industrial manslaughter offence </w:t>
      </w:r>
      <w:r w:rsidR="00FC6553">
        <w:rPr>
          <w:bCs/>
        </w:rPr>
        <w:t>and</w:t>
      </w:r>
      <w:r w:rsidR="00953EBE" w:rsidRPr="00B61ACC">
        <w:rPr>
          <w:bCs/>
        </w:rPr>
        <w:t xml:space="preserve"> </w:t>
      </w:r>
      <w:r w:rsidR="00C704DB" w:rsidRPr="00B61ACC">
        <w:rPr>
          <w:bCs/>
        </w:rPr>
        <w:t xml:space="preserve">higher </w:t>
      </w:r>
      <w:r w:rsidR="00CA3686" w:rsidRPr="00B61ACC">
        <w:rPr>
          <w:bCs/>
        </w:rPr>
        <w:t xml:space="preserve">penalties for breaching work health and safety duties </w:t>
      </w:r>
      <w:r w:rsidR="00C704DB" w:rsidRPr="00B61ACC">
        <w:rPr>
          <w:bCs/>
        </w:rPr>
        <w:t xml:space="preserve">will </w:t>
      </w:r>
      <w:r w:rsidR="00130D08" w:rsidRPr="00B61ACC">
        <w:rPr>
          <w:bCs/>
        </w:rPr>
        <w:t xml:space="preserve">promote compliance </w:t>
      </w:r>
      <w:r w:rsidR="00CA3686" w:rsidRPr="00B61ACC">
        <w:rPr>
          <w:bCs/>
        </w:rPr>
        <w:t xml:space="preserve">and </w:t>
      </w:r>
      <w:r w:rsidR="00414EB1">
        <w:rPr>
          <w:bCs/>
        </w:rPr>
        <w:t xml:space="preserve">help </w:t>
      </w:r>
      <w:r w:rsidR="009C452C">
        <w:rPr>
          <w:bCs/>
        </w:rPr>
        <w:t>make workplaces</w:t>
      </w:r>
      <w:r w:rsidR="00CA3686" w:rsidRPr="00B61ACC">
        <w:rPr>
          <w:bCs/>
        </w:rPr>
        <w:t xml:space="preserve"> safe</w:t>
      </w:r>
      <w:r w:rsidR="009C452C">
        <w:rPr>
          <w:bCs/>
        </w:rPr>
        <w:t>r</w:t>
      </w:r>
      <w:r w:rsidR="00CA3686" w:rsidRPr="00B61ACC">
        <w:rPr>
          <w:bCs/>
        </w:rPr>
        <w:t>.</w:t>
      </w:r>
    </w:p>
    <w:p w14:paraId="5211A170" w14:textId="5B8808CC" w:rsidR="00FF2BB0" w:rsidRDefault="00FF2BB0" w:rsidP="00FF2BB0">
      <w:pPr>
        <w:pStyle w:val="ListBullet"/>
      </w:pPr>
      <w:r>
        <w:t xml:space="preserve">The industrial manslaughter offence </w:t>
      </w:r>
      <w:r w:rsidR="003E77C8">
        <w:t xml:space="preserve">will </w:t>
      </w:r>
      <w:r w:rsidR="00B64F50">
        <w:t>address</w:t>
      </w:r>
      <w:r w:rsidR="00614EDD">
        <w:t xml:space="preserve"> </w:t>
      </w:r>
      <w:r>
        <w:t xml:space="preserve">community </w:t>
      </w:r>
      <w:r w:rsidR="00B64F50">
        <w:t>concern</w:t>
      </w:r>
      <w:r w:rsidR="00EF1D12">
        <w:t xml:space="preserve"> and</w:t>
      </w:r>
      <w:r w:rsidR="00650FF9">
        <w:t xml:space="preserve"> </w:t>
      </w:r>
      <w:r>
        <w:t xml:space="preserve">apply </w:t>
      </w:r>
      <w:r w:rsidR="00EF1D12">
        <w:t xml:space="preserve">higher penalties </w:t>
      </w:r>
      <w:r>
        <w:t xml:space="preserve">to </w:t>
      </w:r>
      <w:r w:rsidR="00093D2E">
        <w:t xml:space="preserve">the </w:t>
      </w:r>
      <w:r w:rsidR="00937E0C">
        <w:t xml:space="preserve">most </w:t>
      </w:r>
      <w:r>
        <w:t>egregious breaches of work health and safety duties</w:t>
      </w:r>
      <w:r w:rsidR="00393DBE">
        <w:t>,</w:t>
      </w:r>
      <w:r w:rsidR="00636EA0">
        <w:t xml:space="preserve"> those which</w:t>
      </w:r>
      <w:r>
        <w:t xml:space="preserve"> cause death.</w:t>
      </w:r>
    </w:p>
    <w:p w14:paraId="1669AF54" w14:textId="1283AA86" w:rsidR="008F58C5" w:rsidRDefault="008F58C5" w:rsidP="00B61ACC">
      <w:pPr>
        <w:pStyle w:val="ListBullet"/>
        <w:rPr>
          <w:bCs/>
        </w:rPr>
      </w:pPr>
      <w:r>
        <w:rPr>
          <w:bCs/>
        </w:rPr>
        <w:lastRenderedPageBreak/>
        <w:t xml:space="preserve">The </w:t>
      </w:r>
      <w:r w:rsidR="00FF2BB0">
        <w:rPr>
          <w:bCs/>
        </w:rPr>
        <w:t xml:space="preserve">indexing </w:t>
      </w:r>
      <w:r>
        <w:rPr>
          <w:bCs/>
        </w:rPr>
        <w:t xml:space="preserve">mechanism </w:t>
      </w:r>
      <w:r w:rsidR="00FF2BB0">
        <w:rPr>
          <w:bCs/>
        </w:rPr>
        <w:t xml:space="preserve">will ensure </w:t>
      </w:r>
      <w:r w:rsidR="00AF7F41">
        <w:rPr>
          <w:bCs/>
        </w:rPr>
        <w:t xml:space="preserve">work health and safety </w:t>
      </w:r>
      <w:r>
        <w:rPr>
          <w:bCs/>
        </w:rPr>
        <w:t xml:space="preserve">penalties retain </w:t>
      </w:r>
      <w:r w:rsidR="00470155">
        <w:rPr>
          <w:bCs/>
        </w:rPr>
        <w:t xml:space="preserve">their relative </w:t>
      </w:r>
      <w:r>
        <w:rPr>
          <w:bCs/>
        </w:rPr>
        <w:t xml:space="preserve">value and </w:t>
      </w:r>
      <w:r w:rsidR="0006285B">
        <w:rPr>
          <w:bCs/>
        </w:rPr>
        <w:t>remain</w:t>
      </w:r>
      <w:r>
        <w:rPr>
          <w:bCs/>
        </w:rPr>
        <w:t xml:space="preserve"> a serious deterrent</w:t>
      </w:r>
      <w:r w:rsidR="00F1281A">
        <w:rPr>
          <w:bCs/>
        </w:rPr>
        <w:t xml:space="preserve"> into the future</w:t>
      </w:r>
      <w:r>
        <w:rPr>
          <w:bCs/>
        </w:rPr>
        <w:t>.</w:t>
      </w:r>
    </w:p>
    <w:p w14:paraId="2CEAD28D" w14:textId="12AE10F3" w:rsidR="00B61ACC" w:rsidRPr="00430A4C" w:rsidRDefault="008F58C5" w:rsidP="007469AF">
      <w:pPr>
        <w:pStyle w:val="ListBullet"/>
      </w:pPr>
      <w:r>
        <w:t>New criminal responsibi</w:t>
      </w:r>
      <w:r w:rsidR="00336ED5">
        <w:t>l</w:t>
      </w:r>
      <w:r>
        <w:t xml:space="preserve">ity </w:t>
      </w:r>
      <w:r w:rsidR="00336ED5">
        <w:t xml:space="preserve">provisions will ensure </w:t>
      </w:r>
      <w:r w:rsidR="00EF55C2">
        <w:t>bodies corporate and the Commonwealth</w:t>
      </w:r>
      <w:r w:rsidR="00336ED5">
        <w:t xml:space="preserve"> </w:t>
      </w:r>
      <w:r w:rsidR="004057FA">
        <w:t>are</w:t>
      </w:r>
      <w:r w:rsidR="00336ED5">
        <w:t xml:space="preserve"> </w:t>
      </w:r>
      <w:r w:rsidR="00AF7F41">
        <w:t xml:space="preserve">held </w:t>
      </w:r>
      <w:r w:rsidR="00AB4A4F">
        <w:t>account</w:t>
      </w:r>
      <w:r w:rsidR="000B37C3">
        <w:t>able</w:t>
      </w:r>
      <w:r w:rsidR="00AF7F41">
        <w:t xml:space="preserve"> for breaches of work health and safety duties.</w:t>
      </w:r>
      <w:r w:rsidR="00FE48F2">
        <w:t xml:space="preserve"> </w:t>
      </w:r>
    </w:p>
    <w:p w14:paraId="3D8D3B10" w14:textId="2F8AE133" w:rsidR="5E4F4E4C" w:rsidRDefault="5E4F4E4C" w:rsidP="5E4F4E4C">
      <w:pPr>
        <w:pStyle w:val="ListBullet"/>
        <w:numPr>
          <w:ilvl w:val="0"/>
          <w:numId w:val="0"/>
        </w:numPr>
      </w:pPr>
    </w:p>
    <w:p w14:paraId="04BB8E42" w14:textId="46375541" w:rsidR="00430A4C" w:rsidRPr="00D04799" w:rsidRDefault="00430A4C" w:rsidP="246B58A8">
      <w:pPr>
        <w:pStyle w:val="ListBullet"/>
        <w:numPr>
          <w:ilvl w:val="0"/>
          <w:numId w:val="0"/>
        </w:numPr>
      </w:pPr>
      <w:r>
        <w:t xml:space="preserve">The Family and Injured Workers Advisory Committee will ensure that bereaved families and seriously injured workers and their families </w:t>
      </w:r>
      <w:proofErr w:type="gramStart"/>
      <w:r>
        <w:t>have the opportunity to</w:t>
      </w:r>
      <w:proofErr w:type="gramEnd"/>
      <w:r>
        <w:t xml:space="preserve"> give feedback to government, and advocate for change or reform to meet the needs of those affected by a workplace death or serious injury or illness. </w:t>
      </w:r>
    </w:p>
    <w:p w14:paraId="2B305F35" w14:textId="6E79D0B3" w:rsidR="00A24C60" w:rsidRDefault="00A24C60" w:rsidP="7921129A">
      <w:pPr>
        <w:pStyle w:val="Heading1"/>
      </w:pPr>
      <w:r>
        <w:t>When w</w:t>
      </w:r>
      <w:r w:rsidR="0835AF4B">
        <w:t xml:space="preserve">ill </w:t>
      </w:r>
      <w:r w:rsidR="355FE208">
        <w:t xml:space="preserve">these changes </w:t>
      </w:r>
      <w:r w:rsidR="2690AA58">
        <w:t>come into</w:t>
      </w:r>
      <w:r>
        <w:t xml:space="preserve"> effect?</w:t>
      </w:r>
    </w:p>
    <w:p w14:paraId="52B8ED16" w14:textId="77777777" w:rsidR="00DB5984" w:rsidRDefault="003D4EDD" w:rsidP="3D21ED67">
      <w:pPr>
        <w:spacing w:after="0" w:line="240" w:lineRule="auto"/>
        <w:rPr>
          <w:rStyle w:val="cf01"/>
          <w:rFonts w:asciiTheme="minorHAnsi" w:hAnsiTheme="minorHAnsi" w:cstheme="minorHAnsi"/>
          <w:sz w:val="22"/>
          <w:szCs w:val="22"/>
        </w:rPr>
      </w:pPr>
      <w:r w:rsidRPr="00821901">
        <w:rPr>
          <w:rStyle w:val="cf01"/>
          <w:rFonts w:asciiTheme="minorHAnsi" w:hAnsiTheme="minorHAnsi" w:cstheme="minorHAnsi"/>
          <w:sz w:val="22"/>
          <w:szCs w:val="22"/>
        </w:rPr>
        <w:t xml:space="preserve">The industrial manslaughter offence will commence on 1 July 2024. </w:t>
      </w:r>
    </w:p>
    <w:p w14:paraId="326CC51C" w14:textId="77777777" w:rsidR="00DB5984" w:rsidRDefault="00DB5984" w:rsidP="3D21ED67">
      <w:pPr>
        <w:spacing w:after="0" w:line="240" w:lineRule="auto"/>
        <w:rPr>
          <w:rStyle w:val="cf01"/>
          <w:rFonts w:asciiTheme="minorHAnsi" w:hAnsiTheme="minorHAnsi" w:cstheme="minorHAnsi"/>
          <w:sz w:val="22"/>
          <w:szCs w:val="22"/>
        </w:rPr>
      </w:pPr>
    </w:p>
    <w:p w14:paraId="3DDB6843" w14:textId="3CF9ECDB" w:rsidR="00430A4C" w:rsidRPr="00D04799" w:rsidRDefault="004C5FFE" w:rsidP="3D21ED67">
      <w:pPr>
        <w:spacing w:after="0" w:line="240" w:lineRule="auto"/>
        <w:rPr>
          <w:rStyle w:val="normaltextrun"/>
        </w:rPr>
      </w:pPr>
      <w:r w:rsidRPr="00821901">
        <w:rPr>
          <w:rStyle w:val="normaltextrun"/>
          <w:rFonts w:ascii="Calibri" w:eastAsia="Calibri" w:hAnsi="Calibri" w:cs="Calibri"/>
        </w:rPr>
        <w:t>T</w:t>
      </w:r>
      <w:r w:rsidR="00430A4C" w:rsidRPr="00821901">
        <w:rPr>
          <w:rStyle w:val="normaltextrun"/>
          <w:rFonts w:ascii="Calibri" w:eastAsia="Calibri" w:hAnsi="Calibri" w:cs="Calibri"/>
        </w:rPr>
        <w:t xml:space="preserve">he Minister for Employment and Workplace Relations </w:t>
      </w:r>
      <w:r w:rsidR="33C612E6" w:rsidRPr="513C2479">
        <w:rPr>
          <w:rStyle w:val="normaltextrun"/>
          <w:rFonts w:ascii="Calibri" w:eastAsia="Calibri" w:hAnsi="Calibri" w:cs="Calibri"/>
        </w:rPr>
        <w:t>is</w:t>
      </w:r>
      <w:r w:rsidR="00430A4C" w:rsidRPr="00821901">
        <w:rPr>
          <w:rStyle w:val="normaltextrun"/>
          <w:rFonts w:ascii="Calibri" w:eastAsia="Calibri" w:hAnsi="Calibri" w:cs="Calibri"/>
        </w:rPr>
        <w:t xml:space="preserve"> required to establish the Family and Injured Workers Advisory Committee within 12 months of the commencement of the </w:t>
      </w:r>
      <w:r w:rsidR="00C83C85">
        <w:rPr>
          <w:rStyle w:val="normaltextrun"/>
          <w:rFonts w:ascii="Calibri" w:eastAsia="Calibri" w:hAnsi="Calibri" w:cs="Calibri"/>
        </w:rPr>
        <w:t xml:space="preserve">relevant </w:t>
      </w:r>
      <w:r w:rsidR="00430A4C" w:rsidRPr="00821901">
        <w:rPr>
          <w:rStyle w:val="normaltextrun"/>
          <w:rFonts w:ascii="Calibri" w:eastAsia="Calibri" w:hAnsi="Calibri" w:cs="Calibri"/>
        </w:rPr>
        <w:t xml:space="preserve">provisions. </w:t>
      </w:r>
    </w:p>
    <w:p w14:paraId="4005605A" w14:textId="77777777" w:rsidR="00B2504A" w:rsidRDefault="00B2504A" w:rsidP="7921129A">
      <w:pPr>
        <w:spacing w:after="0" w:line="240" w:lineRule="auto"/>
      </w:pPr>
    </w:p>
    <w:p w14:paraId="166E4032" w14:textId="6AB790AC" w:rsidR="0075753A" w:rsidRPr="00D04799" w:rsidDel="003D4EDD" w:rsidRDefault="0075753A" w:rsidP="0075753A">
      <w:pPr>
        <w:spacing w:after="0" w:line="240" w:lineRule="auto"/>
        <w:rPr>
          <w:rFonts w:ascii="Calibri" w:eastAsia="Calibri" w:hAnsi="Calibri" w:cs="Calibri"/>
        </w:rPr>
      </w:pPr>
      <w:r>
        <w:rPr>
          <w:rStyle w:val="cf01"/>
          <w:rFonts w:asciiTheme="minorHAnsi" w:hAnsiTheme="minorHAnsi" w:cstheme="minorBidi"/>
          <w:sz w:val="22"/>
          <w:szCs w:val="22"/>
        </w:rPr>
        <w:t>Most</w:t>
      </w:r>
      <w:r w:rsidRPr="005761AA">
        <w:rPr>
          <w:rStyle w:val="cf01"/>
          <w:rFonts w:asciiTheme="minorHAnsi" w:hAnsiTheme="minorHAnsi" w:cstheme="minorBidi"/>
          <w:sz w:val="22"/>
          <w:szCs w:val="22"/>
        </w:rPr>
        <w:t xml:space="preserve"> other amendments </w:t>
      </w:r>
      <w:r w:rsidR="000C2F8B">
        <w:rPr>
          <w:rStyle w:val="cf01"/>
          <w:rFonts w:asciiTheme="minorHAnsi" w:hAnsiTheme="minorHAnsi" w:cstheme="minorBidi"/>
          <w:sz w:val="22"/>
          <w:szCs w:val="22"/>
        </w:rPr>
        <w:t>commenced</w:t>
      </w:r>
      <w:r w:rsidRPr="005761AA">
        <w:rPr>
          <w:rStyle w:val="cf01"/>
          <w:rFonts w:asciiTheme="minorHAnsi" w:hAnsiTheme="minorHAnsi" w:cstheme="minorBidi"/>
          <w:sz w:val="22"/>
          <w:szCs w:val="22"/>
        </w:rPr>
        <w:t xml:space="preserve"> on </w:t>
      </w:r>
      <w:r w:rsidRPr="246B58A8">
        <w:rPr>
          <w:rStyle w:val="cf01"/>
          <w:rFonts w:asciiTheme="minorHAnsi" w:hAnsiTheme="minorHAnsi" w:cstheme="minorBidi"/>
          <w:sz w:val="22"/>
          <w:szCs w:val="22"/>
        </w:rPr>
        <w:t xml:space="preserve">15 December 2023. </w:t>
      </w:r>
    </w:p>
    <w:p w14:paraId="1EA168CD" w14:textId="77777777" w:rsidR="0075753A" w:rsidRPr="00D04799" w:rsidRDefault="0075753A" w:rsidP="0075753A">
      <w:pPr>
        <w:spacing w:after="0" w:line="240" w:lineRule="auto"/>
        <w:rPr>
          <w:rStyle w:val="normaltextrun"/>
          <w:rFonts w:ascii="Calibri" w:eastAsia="Calibri" w:hAnsi="Calibri" w:cs="Calibri"/>
        </w:rPr>
      </w:pPr>
    </w:p>
    <w:p w14:paraId="1F7FD4E3" w14:textId="13A2592A" w:rsidR="00AC2593" w:rsidRDefault="15CEB174" w:rsidP="5F3A98E3">
      <w:pPr>
        <w:rPr>
          <w:rStyle w:val="normaltextrun"/>
          <w:rFonts w:ascii="Calibri" w:hAnsi="Calibri" w:cs="Calibri"/>
          <w:shd w:val="clear" w:color="auto" w:fill="FFFFFF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7C276F81" w:rsidRPr="0F764ED5">
        <w:rPr>
          <w:rStyle w:val="normaltextrun"/>
          <w:rFonts w:ascii="Calibri" w:hAnsi="Calibri" w:cs="Calibri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5303061C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4">
        <w:r w:rsidR="10396D14" w:rsidRPr="5F3A98E3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10396D14" w:rsidRPr="5F3A98E3">
        <w:rPr>
          <w:rStyle w:val="normaltextrun"/>
          <w:rFonts w:ascii="Calibri" w:eastAsia="Calibri" w:hAnsi="Calibri" w:cs="Calibri"/>
          <w:color w:val="000000" w:themeColor="text1"/>
        </w:rPr>
        <w:t xml:space="preserve">  </w:t>
      </w:r>
      <w:r w:rsidR="10396D14" w:rsidRPr="5F3A98E3">
        <w:rPr>
          <w:rFonts w:ascii="Calibri" w:eastAsia="Calibri" w:hAnsi="Calibri" w:cs="Calibri"/>
        </w:rPr>
        <w:t xml:space="preserve"> </w:t>
      </w:r>
    </w:p>
    <w:sectPr w:rsidR="00AC2593" w:rsidSect="00821901">
      <w:footerReference w:type="even" r:id="rId15"/>
      <w:footerReference w:type="default" r:id="rId16"/>
      <w:footerReference w:type="first" r:id="rId17"/>
      <w:type w:val="continuous"/>
      <w:pgSz w:w="11906" w:h="16838"/>
      <w:pgMar w:top="1134" w:right="1134" w:bottom="1134" w:left="1134" w:header="0" w:footer="0" w:gutter="0"/>
      <w:cols w:space="34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C112" w14:textId="77777777" w:rsidR="00FA4DA2" w:rsidRDefault="00FA4DA2" w:rsidP="00EE7FDA">
      <w:pPr>
        <w:spacing w:after="0"/>
      </w:pPr>
      <w:r>
        <w:separator/>
      </w:r>
    </w:p>
  </w:endnote>
  <w:endnote w:type="continuationSeparator" w:id="0">
    <w:p w14:paraId="52F785BF" w14:textId="77777777" w:rsidR="00FA4DA2" w:rsidRDefault="00FA4DA2" w:rsidP="00EE7FDA">
      <w:pPr>
        <w:spacing w:after="0"/>
      </w:pPr>
      <w:r>
        <w:continuationSeparator/>
      </w:r>
    </w:p>
  </w:endnote>
  <w:endnote w:type="continuationNotice" w:id="1">
    <w:p w14:paraId="3D9F2500" w14:textId="77777777" w:rsidR="00FA4DA2" w:rsidRDefault="00FA4D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2EDA" w14:textId="3487A395" w:rsidR="00217055" w:rsidRDefault="00140682" w:rsidP="00217055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8FEA58E" wp14:editId="3B01A8E9">
              <wp:simplePos x="0" y="0"/>
              <wp:positionH relativeFrom="page">
                <wp:posOffset>1284</wp:posOffset>
              </wp:positionH>
              <wp:positionV relativeFrom="page">
                <wp:posOffset>10530144</wp:posOffset>
              </wp:positionV>
              <wp:extent cx="7559675" cy="10696575"/>
              <wp:effectExtent l="0" t="0" r="3175" b="9525"/>
              <wp:wrapNone/>
              <wp:docPr id="1711079094" name="Rectangle 17110790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0696575"/>
                      </a:xfrm>
                      <a:prstGeom prst="rect">
                        <a:avLst/>
                      </a:prstGeom>
                      <a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a14="http://schemas.microsoft.com/office/drawing/2010/main" xmlns:arto="http://schemas.microsoft.com/office/word/2006/arto" xmlns:w16du="http://schemas.microsoft.com/office/word/2023/wordml/word16du">
          <w:pict>
            <v:rect id="Rectangle 1711079094" style="position:absolute;margin-left:.1pt;margin-top:829.15pt;width:595.25pt;height:842.25pt;z-index:-251656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6B4CA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BUJzxA3gAAAAsBAAAPAAAAZHJzL2Rvd25yZXYu&#10;eG1sTI/BTsMwDIbvSLxDZCRuLF3LtlKaToCEODNAGje3MW21xqmSdOvenuwER/v/9flzuZ3NII7k&#10;fG9ZwXKRgCBurO65VfD58XqXg/ABWeNgmRScycO2ur4qsdD2xO903IVWRAj7AhV0IYyFlL7pyKBf&#10;2JE4Zj/WGQxxdK3UDk8RbgaZJslaGuw5XuhwpJeOmsNuMgrS1bd1z3t93n/xQb61NU7ZBpW6vZmf&#10;HkEEmsNfGS76UR2q6FTbibUXQ2TEXtyuV3kG4pIvH5INiFpBlt2nOciqlP9/q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VCc8QN4AAAAL&#10;AQAADwAAAAAAAAAAAAAAAAD9vwAAZHJzL2Rvd25yZXYueG1sUEsBAi0AFAAGAAgAAAAhAKomDr68&#10;AAAAIQEAABkAAAAAAAAAAAAAAAAACMEAAGRycy9fcmVscy9lMm9Eb2MueG1sLnJlbHNQSwUGAAAA&#10;AAYABgB8AQAA+8EAAAAA&#10;">
              <v:fill type="frame" o:title="" recolor="t" rotate="t" r:id="rId2"/>
              <w10:wrap anchorx="page" anchory="page"/>
            </v:rect>
          </w:pict>
        </mc:Fallback>
      </mc:AlternateContent>
    </w:r>
    <w:r w:rsidR="00217055">
      <w:t>Last updated: December 2023</w:t>
    </w:r>
  </w:p>
  <w:p w14:paraId="1F4243D5" w14:textId="7CC1DEA7" w:rsidR="00217055" w:rsidRDefault="00140682" w:rsidP="00140682">
    <w:pPr>
      <w:pStyle w:val="Footer"/>
      <w:tabs>
        <w:tab w:val="left" w:pos="5860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12BCB434" w:rsidR="00105919" w:rsidRDefault="00782E5A" w:rsidP="00821901">
    <w:pPr>
      <w:pStyle w:val="Footer"/>
      <w:spacing w:after="240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E5A5" w14:textId="77777777" w:rsidR="00FA4DA2" w:rsidRDefault="00FA4DA2" w:rsidP="00D105E6">
      <w:pPr>
        <w:spacing w:after="60"/>
      </w:pPr>
      <w:r>
        <w:separator/>
      </w:r>
    </w:p>
  </w:footnote>
  <w:footnote w:type="continuationSeparator" w:id="0">
    <w:p w14:paraId="01959ABA" w14:textId="77777777" w:rsidR="00FA4DA2" w:rsidRDefault="00FA4DA2" w:rsidP="00EE7FDA">
      <w:pPr>
        <w:spacing w:after="0"/>
      </w:pPr>
      <w:r>
        <w:continuationSeparator/>
      </w:r>
    </w:p>
  </w:footnote>
  <w:footnote w:type="continuationNotice" w:id="1">
    <w:p w14:paraId="16A904D2" w14:textId="77777777" w:rsidR="00FA4DA2" w:rsidRDefault="00FA4D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24E2"/>
    <w:multiLevelType w:val="multilevel"/>
    <w:tmpl w:val="B10A65AC"/>
    <w:numStyleLink w:val="Style1"/>
  </w:abstractNum>
  <w:abstractNum w:abstractNumId="3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EE53EF4"/>
    <w:multiLevelType w:val="multilevel"/>
    <w:tmpl w:val="4C06E666"/>
    <w:numStyleLink w:val="RSCBNumberList1"/>
  </w:abstractNum>
  <w:abstractNum w:abstractNumId="6" w15:restartNumberingAfterBreak="0">
    <w:nsid w:val="3B265D30"/>
    <w:multiLevelType w:val="multilevel"/>
    <w:tmpl w:val="684832F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4ED9"/>
    <w:multiLevelType w:val="hybridMultilevel"/>
    <w:tmpl w:val="96A0DD6E"/>
    <w:lvl w:ilvl="0" w:tplc="7E1EC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9" w15:restartNumberingAfterBreak="0">
    <w:nsid w:val="534D97D1"/>
    <w:multiLevelType w:val="hybridMultilevel"/>
    <w:tmpl w:val="AE7A325E"/>
    <w:lvl w:ilvl="0" w:tplc="8918E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6B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0B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4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26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0F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A3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41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04F5"/>
    <w:multiLevelType w:val="multilevel"/>
    <w:tmpl w:val="4C06E666"/>
    <w:numStyleLink w:val="RSCBNumberList1"/>
  </w:abstractNum>
  <w:abstractNum w:abstractNumId="11" w15:restartNumberingAfterBreak="0">
    <w:nsid w:val="5BE4600B"/>
    <w:multiLevelType w:val="hybridMultilevel"/>
    <w:tmpl w:val="167E3278"/>
    <w:lvl w:ilvl="0" w:tplc="A93E1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6D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E9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8F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81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6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4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8A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C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8FADB"/>
    <w:multiLevelType w:val="hybridMultilevel"/>
    <w:tmpl w:val="06289CF6"/>
    <w:lvl w:ilvl="0" w:tplc="353CC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49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A0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40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0D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04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C3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6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67CC"/>
    <w:multiLevelType w:val="hybridMultilevel"/>
    <w:tmpl w:val="ECEEEAEA"/>
    <w:lvl w:ilvl="0" w:tplc="911EA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C5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C6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5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CE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C7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02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C6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E973"/>
    <w:multiLevelType w:val="hybridMultilevel"/>
    <w:tmpl w:val="1DF0D4A6"/>
    <w:lvl w:ilvl="0" w:tplc="6A8AC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22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8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0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0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C0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0D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63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0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1209">
    <w:abstractNumId w:val="6"/>
  </w:num>
  <w:num w:numId="2" w16cid:durableId="33164268">
    <w:abstractNumId w:val="8"/>
  </w:num>
  <w:num w:numId="3" w16cid:durableId="1697268580">
    <w:abstractNumId w:val="10"/>
  </w:num>
  <w:num w:numId="4" w16cid:durableId="1854490995">
    <w:abstractNumId w:val="13"/>
  </w:num>
  <w:num w:numId="5" w16cid:durableId="1873031975">
    <w:abstractNumId w:val="2"/>
  </w:num>
  <w:num w:numId="6" w16cid:durableId="587230418">
    <w:abstractNumId w:val="0"/>
  </w:num>
  <w:num w:numId="7" w16cid:durableId="2095587334">
    <w:abstractNumId w:val="3"/>
  </w:num>
  <w:num w:numId="8" w16cid:durableId="37170471">
    <w:abstractNumId w:val="1"/>
  </w:num>
  <w:num w:numId="9" w16cid:durableId="1566650236">
    <w:abstractNumId w:val="4"/>
  </w:num>
  <w:num w:numId="10" w16cid:durableId="1058358678">
    <w:abstractNumId w:val="5"/>
  </w:num>
  <w:num w:numId="11" w16cid:durableId="888881555">
    <w:abstractNumId w:val="9"/>
  </w:num>
  <w:num w:numId="12" w16cid:durableId="690111591">
    <w:abstractNumId w:val="11"/>
  </w:num>
  <w:num w:numId="13" w16cid:durableId="78793341">
    <w:abstractNumId w:val="12"/>
  </w:num>
  <w:num w:numId="14" w16cid:durableId="1082416290">
    <w:abstractNumId w:val="15"/>
  </w:num>
  <w:num w:numId="15" w16cid:durableId="1808281250">
    <w:abstractNumId w:val="14"/>
  </w:num>
  <w:num w:numId="16" w16cid:durableId="1180856242">
    <w:abstractNumId w:val="7"/>
  </w:num>
  <w:num w:numId="17" w16cid:durableId="1473332949">
    <w:abstractNumId w:val="2"/>
  </w:num>
  <w:num w:numId="18" w16cid:durableId="599802940">
    <w:abstractNumId w:val="2"/>
  </w:num>
  <w:num w:numId="19" w16cid:durableId="55851940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109"/>
    <w:rsid w:val="00011BA5"/>
    <w:rsid w:val="0003593A"/>
    <w:rsid w:val="00037765"/>
    <w:rsid w:val="00040F83"/>
    <w:rsid w:val="000415E7"/>
    <w:rsid w:val="00052659"/>
    <w:rsid w:val="00052B07"/>
    <w:rsid w:val="00052FF6"/>
    <w:rsid w:val="00056831"/>
    <w:rsid w:val="00057911"/>
    <w:rsid w:val="0006285B"/>
    <w:rsid w:val="000742B3"/>
    <w:rsid w:val="00077CE1"/>
    <w:rsid w:val="000831EB"/>
    <w:rsid w:val="00093D2E"/>
    <w:rsid w:val="0009541A"/>
    <w:rsid w:val="000A1DDC"/>
    <w:rsid w:val="000B215D"/>
    <w:rsid w:val="000B37C3"/>
    <w:rsid w:val="000C1427"/>
    <w:rsid w:val="000C2420"/>
    <w:rsid w:val="000C2F8B"/>
    <w:rsid w:val="000E406E"/>
    <w:rsid w:val="00105919"/>
    <w:rsid w:val="00107C56"/>
    <w:rsid w:val="00122D06"/>
    <w:rsid w:val="00130D08"/>
    <w:rsid w:val="00131686"/>
    <w:rsid w:val="0013557F"/>
    <w:rsid w:val="00140682"/>
    <w:rsid w:val="0014216E"/>
    <w:rsid w:val="00145A12"/>
    <w:rsid w:val="00155F8B"/>
    <w:rsid w:val="00162AF2"/>
    <w:rsid w:val="0016510A"/>
    <w:rsid w:val="00165A2C"/>
    <w:rsid w:val="0017210F"/>
    <w:rsid w:val="0017282F"/>
    <w:rsid w:val="00191798"/>
    <w:rsid w:val="0019210B"/>
    <w:rsid w:val="00195EF0"/>
    <w:rsid w:val="001A4184"/>
    <w:rsid w:val="001B0F8C"/>
    <w:rsid w:val="001B6D04"/>
    <w:rsid w:val="001C6347"/>
    <w:rsid w:val="001C65BE"/>
    <w:rsid w:val="001D1A30"/>
    <w:rsid w:val="001F444A"/>
    <w:rsid w:val="001F5B81"/>
    <w:rsid w:val="001F7332"/>
    <w:rsid w:val="00217055"/>
    <w:rsid w:val="00225514"/>
    <w:rsid w:val="00230A9F"/>
    <w:rsid w:val="00244DD6"/>
    <w:rsid w:val="002462D7"/>
    <w:rsid w:val="002468B0"/>
    <w:rsid w:val="00253AD5"/>
    <w:rsid w:val="00257065"/>
    <w:rsid w:val="00266C78"/>
    <w:rsid w:val="002678F4"/>
    <w:rsid w:val="00275860"/>
    <w:rsid w:val="00275D69"/>
    <w:rsid w:val="00284074"/>
    <w:rsid w:val="00286829"/>
    <w:rsid w:val="00286F3C"/>
    <w:rsid w:val="00292DCE"/>
    <w:rsid w:val="002A36EB"/>
    <w:rsid w:val="002A5D15"/>
    <w:rsid w:val="002C2821"/>
    <w:rsid w:val="002C506C"/>
    <w:rsid w:val="002C7E62"/>
    <w:rsid w:val="002E766F"/>
    <w:rsid w:val="002F03FF"/>
    <w:rsid w:val="00301FFA"/>
    <w:rsid w:val="00305579"/>
    <w:rsid w:val="00312F55"/>
    <w:rsid w:val="0031425C"/>
    <w:rsid w:val="00316088"/>
    <w:rsid w:val="003267A5"/>
    <w:rsid w:val="00336ED5"/>
    <w:rsid w:val="00341748"/>
    <w:rsid w:val="003507D2"/>
    <w:rsid w:val="003557A2"/>
    <w:rsid w:val="00363313"/>
    <w:rsid w:val="00393DBE"/>
    <w:rsid w:val="00397ED3"/>
    <w:rsid w:val="003B13B2"/>
    <w:rsid w:val="003B2C3C"/>
    <w:rsid w:val="003C59D6"/>
    <w:rsid w:val="003D4EDD"/>
    <w:rsid w:val="003D5F7C"/>
    <w:rsid w:val="003E21F8"/>
    <w:rsid w:val="003E44F1"/>
    <w:rsid w:val="003E77C8"/>
    <w:rsid w:val="003F0880"/>
    <w:rsid w:val="003F0DEC"/>
    <w:rsid w:val="00402E00"/>
    <w:rsid w:val="00405599"/>
    <w:rsid w:val="004057FA"/>
    <w:rsid w:val="00406777"/>
    <w:rsid w:val="00414EB1"/>
    <w:rsid w:val="00421030"/>
    <w:rsid w:val="00426E46"/>
    <w:rsid w:val="00430A4C"/>
    <w:rsid w:val="00440F0C"/>
    <w:rsid w:val="004509A3"/>
    <w:rsid w:val="00450CD4"/>
    <w:rsid w:val="00455959"/>
    <w:rsid w:val="0046637C"/>
    <w:rsid w:val="00470155"/>
    <w:rsid w:val="0047432C"/>
    <w:rsid w:val="004806A7"/>
    <w:rsid w:val="0049693F"/>
    <w:rsid w:val="004A1163"/>
    <w:rsid w:val="004A3AE1"/>
    <w:rsid w:val="004A5761"/>
    <w:rsid w:val="004B48A5"/>
    <w:rsid w:val="004C3DAF"/>
    <w:rsid w:val="004C5FFE"/>
    <w:rsid w:val="004C7409"/>
    <w:rsid w:val="004D00B2"/>
    <w:rsid w:val="004D701B"/>
    <w:rsid w:val="004F3CE3"/>
    <w:rsid w:val="004F5993"/>
    <w:rsid w:val="00500E61"/>
    <w:rsid w:val="00513963"/>
    <w:rsid w:val="00515EA7"/>
    <w:rsid w:val="00517064"/>
    <w:rsid w:val="00520CA0"/>
    <w:rsid w:val="00522E88"/>
    <w:rsid w:val="0053143D"/>
    <w:rsid w:val="00534DC7"/>
    <w:rsid w:val="005565B8"/>
    <w:rsid w:val="00566360"/>
    <w:rsid w:val="00566A2E"/>
    <w:rsid w:val="005725B2"/>
    <w:rsid w:val="00573292"/>
    <w:rsid w:val="00575DFC"/>
    <w:rsid w:val="00577A33"/>
    <w:rsid w:val="00582D06"/>
    <w:rsid w:val="00586EA4"/>
    <w:rsid w:val="005C0735"/>
    <w:rsid w:val="005D150B"/>
    <w:rsid w:val="005D2489"/>
    <w:rsid w:val="005D565F"/>
    <w:rsid w:val="005D77B6"/>
    <w:rsid w:val="005F08A3"/>
    <w:rsid w:val="005F577A"/>
    <w:rsid w:val="005F6208"/>
    <w:rsid w:val="005F7741"/>
    <w:rsid w:val="00606C70"/>
    <w:rsid w:val="00614EDD"/>
    <w:rsid w:val="00616C48"/>
    <w:rsid w:val="00622B60"/>
    <w:rsid w:val="00623457"/>
    <w:rsid w:val="006319E3"/>
    <w:rsid w:val="0063350D"/>
    <w:rsid w:val="00636EA0"/>
    <w:rsid w:val="00646346"/>
    <w:rsid w:val="00650FF9"/>
    <w:rsid w:val="00654A65"/>
    <w:rsid w:val="00657B92"/>
    <w:rsid w:val="0066417C"/>
    <w:rsid w:val="0066468C"/>
    <w:rsid w:val="00670AF1"/>
    <w:rsid w:val="00672DDA"/>
    <w:rsid w:val="00677E8E"/>
    <w:rsid w:val="00691F21"/>
    <w:rsid w:val="006A0FA3"/>
    <w:rsid w:val="006A4D8D"/>
    <w:rsid w:val="006B4F7C"/>
    <w:rsid w:val="006D1E27"/>
    <w:rsid w:val="006D3564"/>
    <w:rsid w:val="006D7710"/>
    <w:rsid w:val="006D7A73"/>
    <w:rsid w:val="006E4F6F"/>
    <w:rsid w:val="006E66B4"/>
    <w:rsid w:val="006F2229"/>
    <w:rsid w:val="00706143"/>
    <w:rsid w:val="00730B97"/>
    <w:rsid w:val="00733AF4"/>
    <w:rsid w:val="00734E00"/>
    <w:rsid w:val="00735914"/>
    <w:rsid w:val="00737C1D"/>
    <w:rsid w:val="007469AF"/>
    <w:rsid w:val="0075753A"/>
    <w:rsid w:val="0077138F"/>
    <w:rsid w:val="00774BA7"/>
    <w:rsid w:val="00782E5A"/>
    <w:rsid w:val="0078584C"/>
    <w:rsid w:val="00794C19"/>
    <w:rsid w:val="007A25B9"/>
    <w:rsid w:val="007A3566"/>
    <w:rsid w:val="007A3ADA"/>
    <w:rsid w:val="007A530A"/>
    <w:rsid w:val="007B6464"/>
    <w:rsid w:val="007C3D4E"/>
    <w:rsid w:val="007D210B"/>
    <w:rsid w:val="007D4962"/>
    <w:rsid w:val="007E01F4"/>
    <w:rsid w:val="007E2988"/>
    <w:rsid w:val="007F2E31"/>
    <w:rsid w:val="007F63CC"/>
    <w:rsid w:val="008005C8"/>
    <w:rsid w:val="0080594C"/>
    <w:rsid w:val="00807A49"/>
    <w:rsid w:val="00813629"/>
    <w:rsid w:val="008139C4"/>
    <w:rsid w:val="0081654C"/>
    <w:rsid w:val="00817BD6"/>
    <w:rsid w:val="00821901"/>
    <w:rsid w:val="00832F2D"/>
    <w:rsid w:val="00834471"/>
    <w:rsid w:val="00841AD5"/>
    <w:rsid w:val="008433A5"/>
    <w:rsid w:val="008447BA"/>
    <w:rsid w:val="00852E70"/>
    <w:rsid w:val="00864774"/>
    <w:rsid w:val="008667DB"/>
    <w:rsid w:val="00876539"/>
    <w:rsid w:val="00883028"/>
    <w:rsid w:val="008A28DA"/>
    <w:rsid w:val="008A591C"/>
    <w:rsid w:val="008B0CF0"/>
    <w:rsid w:val="008D0DCD"/>
    <w:rsid w:val="008E4A2F"/>
    <w:rsid w:val="008F24CE"/>
    <w:rsid w:val="008F58C5"/>
    <w:rsid w:val="0090695C"/>
    <w:rsid w:val="00931FEE"/>
    <w:rsid w:val="00937E0C"/>
    <w:rsid w:val="00941C70"/>
    <w:rsid w:val="00944BA3"/>
    <w:rsid w:val="00945425"/>
    <w:rsid w:val="00953EBE"/>
    <w:rsid w:val="009570FE"/>
    <w:rsid w:val="00957514"/>
    <w:rsid w:val="00961F5C"/>
    <w:rsid w:val="009641F4"/>
    <w:rsid w:val="00973379"/>
    <w:rsid w:val="009745A5"/>
    <w:rsid w:val="00975830"/>
    <w:rsid w:val="0098488E"/>
    <w:rsid w:val="009875AA"/>
    <w:rsid w:val="00987779"/>
    <w:rsid w:val="009977D4"/>
    <w:rsid w:val="00997BE6"/>
    <w:rsid w:val="009B01D6"/>
    <w:rsid w:val="009C2C3D"/>
    <w:rsid w:val="009C452C"/>
    <w:rsid w:val="009D079F"/>
    <w:rsid w:val="009F42B9"/>
    <w:rsid w:val="009F652B"/>
    <w:rsid w:val="009F705C"/>
    <w:rsid w:val="00A0128F"/>
    <w:rsid w:val="00A03029"/>
    <w:rsid w:val="00A112E2"/>
    <w:rsid w:val="00A1654A"/>
    <w:rsid w:val="00A1F508"/>
    <w:rsid w:val="00A23D73"/>
    <w:rsid w:val="00A24C60"/>
    <w:rsid w:val="00A26BED"/>
    <w:rsid w:val="00A27B33"/>
    <w:rsid w:val="00A329F3"/>
    <w:rsid w:val="00A34D39"/>
    <w:rsid w:val="00A36DC7"/>
    <w:rsid w:val="00A502B6"/>
    <w:rsid w:val="00A513A6"/>
    <w:rsid w:val="00A56B6F"/>
    <w:rsid w:val="00A66857"/>
    <w:rsid w:val="00A70EEB"/>
    <w:rsid w:val="00A713BC"/>
    <w:rsid w:val="00A74FD2"/>
    <w:rsid w:val="00A81FB9"/>
    <w:rsid w:val="00A82BDB"/>
    <w:rsid w:val="00A91E3C"/>
    <w:rsid w:val="00AA03F6"/>
    <w:rsid w:val="00AA2FD8"/>
    <w:rsid w:val="00AB49D3"/>
    <w:rsid w:val="00AB4A4F"/>
    <w:rsid w:val="00AC2593"/>
    <w:rsid w:val="00AD055F"/>
    <w:rsid w:val="00AD1FF7"/>
    <w:rsid w:val="00AD34C9"/>
    <w:rsid w:val="00AD41F1"/>
    <w:rsid w:val="00AD690E"/>
    <w:rsid w:val="00AF3ADA"/>
    <w:rsid w:val="00AF7F41"/>
    <w:rsid w:val="00B00423"/>
    <w:rsid w:val="00B11540"/>
    <w:rsid w:val="00B2504A"/>
    <w:rsid w:val="00B30320"/>
    <w:rsid w:val="00B311B3"/>
    <w:rsid w:val="00B311D8"/>
    <w:rsid w:val="00B61ACC"/>
    <w:rsid w:val="00B63A6E"/>
    <w:rsid w:val="00B64F50"/>
    <w:rsid w:val="00B81A68"/>
    <w:rsid w:val="00B84B36"/>
    <w:rsid w:val="00B900D9"/>
    <w:rsid w:val="00B97C05"/>
    <w:rsid w:val="00BA45C3"/>
    <w:rsid w:val="00BA48C8"/>
    <w:rsid w:val="00BA5DC6"/>
    <w:rsid w:val="00BB1A11"/>
    <w:rsid w:val="00BB57FE"/>
    <w:rsid w:val="00BB5DFF"/>
    <w:rsid w:val="00BB70A7"/>
    <w:rsid w:val="00BC75EF"/>
    <w:rsid w:val="00BD6CD7"/>
    <w:rsid w:val="00BD6E26"/>
    <w:rsid w:val="00BE133B"/>
    <w:rsid w:val="00BE3A96"/>
    <w:rsid w:val="00BE4AE7"/>
    <w:rsid w:val="00BE54EE"/>
    <w:rsid w:val="00BE6D94"/>
    <w:rsid w:val="00BF2EE7"/>
    <w:rsid w:val="00BF7BDF"/>
    <w:rsid w:val="00C0077F"/>
    <w:rsid w:val="00C03BA4"/>
    <w:rsid w:val="00C04E0C"/>
    <w:rsid w:val="00C17910"/>
    <w:rsid w:val="00C230BC"/>
    <w:rsid w:val="00C26367"/>
    <w:rsid w:val="00C30A1E"/>
    <w:rsid w:val="00C332D4"/>
    <w:rsid w:val="00C44836"/>
    <w:rsid w:val="00C50AA1"/>
    <w:rsid w:val="00C521EE"/>
    <w:rsid w:val="00C55508"/>
    <w:rsid w:val="00C65EDF"/>
    <w:rsid w:val="00C66B71"/>
    <w:rsid w:val="00C704DB"/>
    <w:rsid w:val="00C80E6C"/>
    <w:rsid w:val="00C83C85"/>
    <w:rsid w:val="00C93790"/>
    <w:rsid w:val="00C96565"/>
    <w:rsid w:val="00CA3301"/>
    <w:rsid w:val="00CA3686"/>
    <w:rsid w:val="00CC060F"/>
    <w:rsid w:val="00CD38C9"/>
    <w:rsid w:val="00CD5F0D"/>
    <w:rsid w:val="00CF1DD7"/>
    <w:rsid w:val="00CF6EBF"/>
    <w:rsid w:val="00D04799"/>
    <w:rsid w:val="00D105E6"/>
    <w:rsid w:val="00D277EC"/>
    <w:rsid w:val="00D305DB"/>
    <w:rsid w:val="00D329D3"/>
    <w:rsid w:val="00D377B0"/>
    <w:rsid w:val="00D4049A"/>
    <w:rsid w:val="00D42C0D"/>
    <w:rsid w:val="00D469A9"/>
    <w:rsid w:val="00D51EDF"/>
    <w:rsid w:val="00D55EE2"/>
    <w:rsid w:val="00D84567"/>
    <w:rsid w:val="00D84DC0"/>
    <w:rsid w:val="00D910F9"/>
    <w:rsid w:val="00D91A83"/>
    <w:rsid w:val="00D96782"/>
    <w:rsid w:val="00D97626"/>
    <w:rsid w:val="00DA184B"/>
    <w:rsid w:val="00DA46BB"/>
    <w:rsid w:val="00DB590A"/>
    <w:rsid w:val="00DB5984"/>
    <w:rsid w:val="00DD4EBE"/>
    <w:rsid w:val="00DD6A1F"/>
    <w:rsid w:val="00DE1663"/>
    <w:rsid w:val="00DF0B8A"/>
    <w:rsid w:val="00DF2959"/>
    <w:rsid w:val="00DF60E1"/>
    <w:rsid w:val="00E04579"/>
    <w:rsid w:val="00E05541"/>
    <w:rsid w:val="00E1025C"/>
    <w:rsid w:val="00E13830"/>
    <w:rsid w:val="00E26C88"/>
    <w:rsid w:val="00E451E5"/>
    <w:rsid w:val="00E50253"/>
    <w:rsid w:val="00E55419"/>
    <w:rsid w:val="00E55470"/>
    <w:rsid w:val="00E555D6"/>
    <w:rsid w:val="00E56BA4"/>
    <w:rsid w:val="00E729D9"/>
    <w:rsid w:val="00E72A75"/>
    <w:rsid w:val="00E814A0"/>
    <w:rsid w:val="00E929BC"/>
    <w:rsid w:val="00EC4486"/>
    <w:rsid w:val="00EC63BF"/>
    <w:rsid w:val="00ED3F85"/>
    <w:rsid w:val="00EE511B"/>
    <w:rsid w:val="00EE59F7"/>
    <w:rsid w:val="00EE68B6"/>
    <w:rsid w:val="00EE7FDA"/>
    <w:rsid w:val="00EF1D12"/>
    <w:rsid w:val="00EF27F0"/>
    <w:rsid w:val="00EF55C2"/>
    <w:rsid w:val="00F04214"/>
    <w:rsid w:val="00F121AC"/>
    <w:rsid w:val="00F1281A"/>
    <w:rsid w:val="00F13A14"/>
    <w:rsid w:val="00F14860"/>
    <w:rsid w:val="00F23048"/>
    <w:rsid w:val="00F23C4B"/>
    <w:rsid w:val="00F25A17"/>
    <w:rsid w:val="00F36B35"/>
    <w:rsid w:val="00F43F8B"/>
    <w:rsid w:val="00F44CD1"/>
    <w:rsid w:val="00F52332"/>
    <w:rsid w:val="00F54B75"/>
    <w:rsid w:val="00F55BB9"/>
    <w:rsid w:val="00F62238"/>
    <w:rsid w:val="00F64802"/>
    <w:rsid w:val="00F65726"/>
    <w:rsid w:val="00F70E81"/>
    <w:rsid w:val="00FA1736"/>
    <w:rsid w:val="00FA4DA2"/>
    <w:rsid w:val="00FC5681"/>
    <w:rsid w:val="00FC6553"/>
    <w:rsid w:val="00FD0FBB"/>
    <w:rsid w:val="00FD489C"/>
    <w:rsid w:val="00FD6726"/>
    <w:rsid w:val="00FE03E6"/>
    <w:rsid w:val="00FE0BBC"/>
    <w:rsid w:val="00FE4532"/>
    <w:rsid w:val="00FE48F2"/>
    <w:rsid w:val="00FE717A"/>
    <w:rsid w:val="00FF2BB0"/>
    <w:rsid w:val="00FF5068"/>
    <w:rsid w:val="00FF73BA"/>
    <w:rsid w:val="00FF7AAE"/>
    <w:rsid w:val="02DB75D8"/>
    <w:rsid w:val="046E06D4"/>
    <w:rsid w:val="05CB6648"/>
    <w:rsid w:val="06885696"/>
    <w:rsid w:val="072D8992"/>
    <w:rsid w:val="072F5C11"/>
    <w:rsid w:val="0835AF4B"/>
    <w:rsid w:val="0921B4DA"/>
    <w:rsid w:val="09A2FDF0"/>
    <w:rsid w:val="0A54CDCE"/>
    <w:rsid w:val="0A7F0068"/>
    <w:rsid w:val="0C99F0DA"/>
    <w:rsid w:val="0DAD928F"/>
    <w:rsid w:val="0EF0B2FC"/>
    <w:rsid w:val="0F764ED5"/>
    <w:rsid w:val="0F89E228"/>
    <w:rsid w:val="10396D14"/>
    <w:rsid w:val="11BCE6C2"/>
    <w:rsid w:val="15CEB174"/>
    <w:rsid w:val="1A2DE2C7"/>
    <w:rsid w:val="1C4E25DF"/>
    <w:rsid w:val="1C7B7342"/>
    <w:rsid w:val="1DF76496"/>
    <w:rsid w:val="1FAA48F6"/>
    <w:rsid w:val="21B30160"/>
    <w:rsid w:val="22A23D63"/>
    <w:rsid w:val="246B58A8"/>
    <w:rsid w:val="25ACC5EE"/>
    <w:rsid w:val="2690AA58"/>
    <w:rsid w:val="274895C4"/>
    <w:rsid w:val="2DB2EEF9"/>
    <w:rsid w:val="2E7201A0"/>
    <w:rsid w:val="2ECBB211"/>
    <w:rsid w:val="2EFB3387"/>
    <w:rsid w:val="2F5E2EE6"/>
    <w:rsid w:val="316C74DF"/>
    <w:rsid w:val="325572DC"/>
    <w:rsid w:val="329B6DD9"/>
    <w:rsid w:val="32A185A2"/>
    <w:rsid w:val="32D47999"/>
    <w:rsid w:val="3362311A"/>
    <w:rsid w:val="33C612E6"/>
    <w:rsid w:val="34357024"/>
    <w:rsid w:val="344A4508"/>
    <w:rsid w:val="355FE208"/>
    <w:rsid w:val="35D46876"/>
    <w:rsid w:val="381D6723"/>
    <w:rsid w:val="39D52510"/>
    <w:rsid w:val="3A262129"/>
    <w:rsid w:val="3C31DC7B"/>
    <w:rsid w:val="3C5C65B4"/>
    <w:rsid w:val="3D21ED67"/>
    <w:rsid w:val="426DF2CD"/>
    <w:rsid w:val="428FA282"/>
    <w:rsid w:val="45D815CF"/>
    <w:rsid w:val="473E37BF"/>
    <w:rsid w:val="48141100"/>
    <w:rsid w:val="4836501C"/>
    <w:rsid w:val="48602CEE"/>
    <w:rsid w:val="4946B6A7"/>
    <w:rsid w:val="4C7CAEAD"/>
    <w:rsid w:val="4F8F4085"/>
    <w:rsid w:val="4FB44F6F"/>
    <w:rsid w:val="513C2479"/>
    <w:rsid w:val="5303061C"/>
    <w:rsid w:val="56E8D9EC"/>
    <w:rsid w:val="5A45E25A"/>
    <w:rsid w:val="5AB118D7"/>
    <w:rsid w:val="5ADC073A"/>
    <w:rsid w:val="5BE1B2BB"/>
    <w:rsid w:val="5E3D7335"/>
    <w:rsid w:val="5E4F4E4C"/>
    <w:rsid w:val="5F01CE80"/>
    <w:rsid w:val="5F3A98E3"/>
    <w:rsid w:val="5F49B56C"/>
    <w:rsid w:val="6110F123"/>
    <w:rsid w:val="637A00EE"/>
    <w:rsid w:val="64CEAE6C"/>
    <w:rsid w:val="667C57F4"/>
    <w:rsid w:val="66B58C78"/>
    <w:rsid w:val="688CBDE1"/>
    <w:rsid w:val="69815096"/>
    <w:rsid w:val="69B5C153"/>
    <w:rsid w:val="6A59990E"/>
    <w:rsid w:val="6BC35EFA"/>
    <w:rsid w:val="6D82E1D1"/>
    <w:rsid w:val="6DCE2968"/>
    <w:rsid w:val="7033774F"/>
    <w:rsid w:val="71DE722A"/>
    <w:rsid w:val="72F94B13"/>
    <w:rsid w:val="7596BDF0"/>
    <w:rsid w:val="76257553"/>
    <w:rsid w:val="78C83CA9"/>
    <w:rsid w:val="78E149A7"/>
    <w:rsid w:val="7921129A"/>
    <w:rsid w:val="7A64AF7F"/>
    <w:rsid w:val="7C2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66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C2593"/>
  </w:style>
  <w:style w:type="paragraph" w:styleId="Revision">
    <w:name w:val="Revision"/>
    <w:hidden/>
    <w:uiPriority w:val="99"/>
    <w:semiHidden/>
    <w:rsid w:val="00C9379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455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55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5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4BA3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3D4E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wr.gov.au/workplace-relation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manslaughter and other work, health and safety reforms</dc:title>
  <dc:subject/>
  <dc:creator/>
  <cp:keywords/>
  <dc:description/>
  <cp:lastModifiedBy/>
  <cp:revision>1</cp:revision>
  <dcterms:created xsi:type="dcterms:W3CDTF">2023-12-21T05:21:00Z</dcterms:created>
  <dcterms:modified xsi:type="dcterms:W3CDTF">2023-12-21T05:21:00Z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2023-12-21T05:21:15Z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5e81779f-6d10-43e8-97a4-2c214eb6971e</vt:lpwstr>
  </property>
  <property fmtid="{D5CDD505-2E9C-101B-9397-08002B2CF9AE}" pid="8" name="MSIP_Label_79d889eb-932f-4752-8739-64d25806ef64_ContentBits">
    <vt:lpwstr>0</vt:lpwstr>
  </property>
</Properties>
</file>