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0973" w14:textId="77777777" w:rsidR="00AA034E" w:rsidRDefault="002908B3" w:rsidP="00AA034E">
      <w:pPr>
        <w:spacing w:before="100" w:beforeAutospacing="1"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D7FB7" wp14:editId="44059FDA">
            <wp:simplePos x="0" y="0"/>
            <wp:positionH relativeFrom="page">
              <wp:align>left</wp:align>
            </wp:positionH>
            <wp:positionV relativeFrom="page">
              <wp:posOffset>-215900</wp:posOffset>
            </wp:positionV>
            <wp:extent cx="15105600" cy="2235600"/>
            <wp:effectExtent l="0" t="0" r="1270" b="0"/>
            <wp:wrapNone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056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F7F">
        <w:rPr>
          <w:noProof/>
        </w:rPr>
        <w:drawing>
          <wp:inline distT="0" distB="0" distL="0" distR="0" wp14:anchorId="35AF3735" wp14:editId="1DE5BB61">
            <wp:extent cx="2865600" cy="874800"/>
            <wp:effectExtent l="0" t="0" r="0" b="1905"/>
            <wp:docPr id="3" name="Graphic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CC0C" w14:textId="77777777" w:rsidR="00A12597" w:rsidRPr="000F58FD" w:rsidRDefault="00A12597" w:rsidP="00A12597">
      <w:pPr>
        <w:pStyle w:val="Title"/>
        <w:rPr>
          <w:sz w:val="56"/>
        </w:rPr>
      </w:pPr>
      <w:bookmarkStart w:id="0" w:name="_Toc30065222"/>
      <w:r w:rsidRPr="000F58FD">
        <w:rPr>
          <w:sz w:val="56"/>
        </w:rPr>
        <w:t>2023 APS Employee Census Action Plan</w:t>
      </w:r>
    </w:p>
    <w:p w14:paraId="32F676B3" w14:textId="710D4086" w:rsidR="00A17940" w:rsidRDefault="00DB7261" w:rsidP="00A12597">
      <w:pPr>
        <w:pStyle w:val="Heading1"/>
        <w:jc w:val="both"/>
        <w:rPr>
          <w:sz w:val="28"/>
          <w:szCs w:val="28"/>
        </w:rPr>
      </w:pPr>
      <w:r>
        <w:rPr>
          <w:sz w:val="28"/>
          <w:szCs w:val="28"/>
        </w:rPr>
        <w:t>Our shared</w:t>
      </w:r>
      <w:r w:rsidR="0019432C">
        <w:rPr>
          <w:sz w:val="28"/>
          <w:szCs w:val="28"/>
        </w:rPr>
        <w:t xml:space="preserve"> </w:t>
      </w:r>
      <w:r w:rsidR="00541EE3">
        <w:rPr>
          <w:sz w:val="28"/>
          <w:szCs w:val="28"/>
        </w:rPr>
        <w:t>vision</w:t>
      </w:r>
      <w:r w:rsidR="0021177C">
        <w:rPr>
          <w:sz w:val="28"/>
          <w:szCs w:val="28"/>
        </w:rPr>
        <w:t xml:space="preserve"> for the Census Action Plan</w:t>
      </w:r>
    </w:p>
    <w:p w14:paraId="3568A82E" w14:textId="7F3A2D38" w:rsidR="00542401" w:rsidRDefault="00542401">
      <w:r>
        <w:t xml:space="preserve">We </w:t>
      </w:r>
      <w:r w:rsidR="00A8588D">
        <w:t>aim</w:t>
      </w:r>
      <w:r>
        <w:t xml:space="preserve"> to set the standard</w:t>
      </w:r>
      <w:r w:rsidR="206E1BF6">
        <w:t>,</w:t>
      </w:r>
      <w:r>
        <w:t xml:space="preserve"> as a model employer</w:t>
      </w:r>
      <w:r w:rsidR="03200C80">
        <w:t>,</w:t>
      </w:r>
      <w:r w:rsidR="00C560B2">
        <w:t xml:space="preserve"> for</w:t>
      </w:r>
      <w:r w:rsidR="009E0CC2">
        <w:t xml:space="preserve"> engaging, </w:t>
      </w:r>
      <w:r w:rsidR="008A332A">
        <w:t>meaningful</w:t>
      </w:r>
      <w:r w:rsidR="009E0CC2">
        <w:t xml:space="preserve"> work that puts employee wellbeing at </w:t>
      </w:r>
      <w:r w:rsidR="008A332A">
        <w:t>the</w:t>
      </w:r>
      <w:r w:rsidR="009E0CC2">
        <w:t xml:space="preserve"> centre</w:t>
      </w:r>
      <w:r w:rsidR="008A332A">
        <w:t xml:space="preserve"> of how we work</w:t>
      </w:r>
      <w:r w:rsidR="009E0CC2">
        <w:t xml:space="preserve">. Our Census Action Plan </w:t>
      </w:r>
      <w:r w:rsidR="00BB5C63">
        <w:t xml:space="preserve">has four areas of focus </w:t>
      </w:r>
      <w:r w:rsidR="009E0CC2">
        <w:t>to sustain and continuously improv</w:t>
      </w:r>
      <w:r w:rsidR="008321B6">
        <w:t xml:space="preserve">e </w:t>
      </w:r>
      <w:r w:rsidR="00BB5C63">
        <w:t>what matters</w:t>
      </w:r>
      <w:r w:rsidR="008321B6">
        <w:t xml:space="preserve"> most to our people</w:t>
      </w:r>
      <w:r w:rsidR="00BB5C63">
        <w:t xml:space="preserve"> based on our census results.</w:t>
      </w:r>
      <w:r w:rsidR="008321B6">
        <w:t xml:space="preserve"> The Plan is </w:t>
      </w:r>
      <w:r w:rsidR="009E0CC2">
        <w:t xml:space="preserve">our </w:t>
      </w:r>
      <w:r w:rsidR="009E0CC2" w:rsidRPr="00124D84">
        <w:rPr>
          <w:b/>
          <w:bCs/>
        </w:rPr>
        <w:t>shared responsibility</w:t>
      </w:r>
      <w:r w:rsidR="0003502D">
        <w:t xml:space="preserve"> and </w:t>
      </w:r>
      <w:r w:rsidR="00935161">
        <w:t xml:space="preserve">is </w:t>
      </w:r>
      <w:r w:rsidR="0003502D">
        <w:t xml:space="preserve">implemented through </w:t>
      </w:r>
      <w:r w:rsidR="007C0D66" w:rsidRPr="00124D84">
        <w:rPr>
          <w:b/>
          <w:bCs/>
        </w:rPr>
        <w:t xml:space="preserve">local actions across </w:t>
      </w:r>
      <w:r w:rsidR="00F474ED" w:rsidRPr="00124D84">
        <w:rPr>
          <w:b/>
          <w:bCs/>
        </w:rPr>
        <w:t>the department</w:t>
      </w:r>
      <w:r w:rsidR="0003502D">
        <w:t xml:space="preserve">. </w:t>
      </w:r>
    </w:p>
    <w:p w14:paraId="79711EF1" w14:textId="77777777" w:rsidR="00D4619C" w:rsidRDefault="00D4619C">
      <w:pPr>
        <w:spacing w:after="160" w:line="259" w:lineRule="auto"/>
      </w:pPr>
    </w:p>
    <w:p w14:paraId="443CDC73" w14:textId="77777777" w:rsidR="00064152" w:rsidRPr="00090093" w:rsidRDefault="00064152" w:rsidP="00365E80">
      <w:pPr>
        <w:pStyle w:val="Heading3"/>
        <w:shd w:val="clear" w:color="auto" w:fill="62165C"/>
        <w:spacing w:before="0"/>
        <w:jc w:val="center"/>
        <w:rPr>
          <w:color w:val="FFFFFF" w:themeColor="background1"/>
        </w:rPr>
      </w:pPr>
      <w:r w:rsidRPr="00090093">
        <w:rPr>
          <w:b/>
          <w:bCs/>
          <w:color w:val="FFFFFF" w:themeColor="background1"/>
        </w:rPr>
        <w:t>Wellbeing</w:t>
      </w:r>
    </w:p>
    <w:p w14:paraId="6DE20D74" w14:textId="680DE50B" w:rsidR="00064152" w:rsidRPr="008C48A4" w:rsidRDefault="00011E63" w:rsidP="26DD5D7A">
      <w:pPr>
        <w:spacing w:before="120" w:after="120"/>
        <w:rPr>
          <w:rStyle w:val="Emphasis"/>
          <w:b/>
          <w:bCs/>
          <w:i w:val="0"/>
          <w:iCs w:val="0"/>
        </w:rPr>
      </w:pPr>
      <w:r w:rsidRPr="26DD5D7A">
        <w:rPr>
          <w:rStyle w:val="Emphasis"/>
          <w:b/>
          <w:bCs/>
          <w:i w:val="0"/>
          <w:iCs w:val="0"/>
        </w:rPr>
        <w:t>Our Focus:</w:t>
      </w:r>
      <w:r w:rsidR="00AE5FF0" w:rsidRPr="26DD5D7A">
        <w:rPr>
          <w:rStyle w:val="Emphasis"/>
          <w:b/>
          <w:bCs/>
          <w:i w:val="0"/>
          <w:iCs w:val="0"/>
        </w:rPr>
        <w:t xml:space="preserve"> </w:t>
      </w:r>
      <w:r w:rsidR="00064152" w:rsidRPr="26DD5D7A">
        <w:rPr>
          <w:rStyle w:val="Emphasis"/>
          <w:b/>
          <w:bCs/>
          <w:i w:val="0"/>
          <w:iCs w:val="0"/>
        </w:rPr>
        <w:t xml:space="preserve">We will improve our wellbeing </w:t>
      </w:r>
      <w:r w:rsidR="008C48A4" w:rsidRPr="26DD5D7A">
        <w:rPr>
          <w:rStyle w:val="Emphasis"/>
          <w:b/>
          <w:bCs/>
          <w:i w:val="0"/>
          <w:iCs w:val="0"/>
        </w:rPr>
        <w:t>through workload management, business improvement</w:t>
      </w:r>
      <w:r w:rsidR="00064152" w:rsidRPr="26DD5D7A">
        <w:rPr>
          <w:rStyle w:val="Emphasis"/>
          <w:b/>
          <w:bCs/>
          <w:i w:val="0"/>
          <w:iCs w:val="0"/>
        </w:rPr>
        <w:t xml:space="preserve"> and reinforcing behaviours that </w:t>
      </w:r>
      <w:r w:rsidR="0008529C" w:rsidRPr="26DD5D7A">
        <w:rPr>
          <w:rStyle w:val="Emphasis"/>
          <w:b/>
          <w:bCs/>
          <w:i w:val="0"/>
          <w:iCs w:val="0"/>
        </w:rPr>
        <w:t xml:space="preserve">drive </w:t>
      </w:r>
      <w:r w:rsidR="00064152" w:rsidRPr="26DD5D7A">
        <w:rPr>
          <w:rStyle w:val="Emphasis"/>
          <w:b/>
          <w:bCs/>
          <w:i w:val="0"/>
          <w:iCs w:val="0"/>
        </w:rPr>
        <w:t>wellbeing.</w:t>
      </w:r>
    </w:p>
    <w:p w14:paraId="142B07A4" w14:textId="02C77389" w:rsidR="00064152" w:rsidRPr="00AF0BEA" w:rsidRDefault="00064152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 w:rsidRPr="00AF0BEA">
        <w:t>Identify process</w:t>
      </w:r>
      <w:r w:rsidR="00124D84">
        <w:t xml:space="preserve"> and practice</w:t>
      </w:r>
      <w:r w:rsidRPr="00AF0BEA">
        <w:t xml:space="preserve"> efficiencies </w:t>
      </w:r>
      <w:r w:rsidR="00124D84">
        <w:t xml:space="preserve">across the department </w:t>
      </w:r>
      <w:r w:rsidRPr="00AF0BEA">
        <w:t>to streamline operations and increase our productivity.</w:t>
      </w:r>
    </w:p>
    <w:p w14:paraId="51D0D2A7" w14:textId="1130759B" w:rsidR="00064152" w:rsidRPr="00AF0BEA" w:rsidRDefault="00064152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 w:rsidRPr="00AF0BEA">
        <w:t xml:space="preserve">Implement </w:t>
      </w:r>
      <w:r w:rsidR="00352410">
        <w:t>business</w:t>
      </w:r>
      <w:r w:rsidR="00352410" w:rsidRPr="00AF0BEA">
        <w:t xml:space="preserve"> </w:t>
      </w:r>
      <w:r w:rsidRPr="00AF0BEA">
        <w:t xml:space="preserve">plans </w:t>
      </w:r>
      <w:r w:rsidR="00C76B9F">
        <w:t>across the department</w:t>
      </w:r>
      <w:r w:rsidRPr="00AF0BEA">
        <w:t xml:space="preserve"> that </w:t>
      </w:r>
      <w:r w:rsidR="00CF72A0">
        <w:t xml:space="preserve">provide </w:t>
      </w:r>
      <w:r w:rsidR="007D7EAB">
        <w:t>clear direction</w:t>
      </w:r>
      <w:r w:rsidRPr="00AF0BEA">
        <w:t xml:space="preserve"> and prioritise our work. </w:t>
      </w:r>
    </w:p>
    <w:p w14:paraId="532E33B9" w14:textId="667E3EEC" w:rsidR="00064152" w:rsidRPr="00AF0BEA" w:rsidRDefault="00352410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>
        <w:t>Monitor and encourage</w:t>
      </w:r>
      <w:r w:rsidR="001A3CEF">
        <w:t xml:space="preserve"> regular </w:t>
      </w:r>
      <w:r w:rsidR="08EEF352">
        <w:t>time off</w:t>
      </w:r>
      <w:r w:rsidR="001A3CEF">
        <w:t xml:space="preserve"> from work to sustain our wellbeing culture.</w:t>
      </w:r>
      <w:r w:rsidR="00064152">
        <w:t xml:space="preserve"> </w:t>
      </w:r>
    </w:p>
    <w:p w14:paraId="679DD294" w14:textId="73855F14" w:rsidR="00E20CFE" w:rsidRPr="00AF0BEA" w:rsidRDefault="00064152" w:rsidP="00AF0BEA">
      <w:pPr>
        <w:pStyle w:val="ListParagraph"/>
        <w:numPr>
          <w:ilvl w:val="0"/>
          <w:numId w:val="22"/>
        </w:numPr>
        <w:spacing w:line="240" w:lineRule="auto"/>
        <w:ind w:left="357" w:hanging="357"/>
      </w:pPr>
      <w:r w:rsidRPr="00AF0BEA">
        <w:t>Implement reward and recognition initiatives that celebrate how we work as well as what we achieve together.</w:t>
      </w:r>
    </w:p>
    <w:p w14:paraId="660DBCFE" w14:textId="77777777" w:rsidR="00064152" w:rsidRPr="00283370" w:rsidRDefault="00064152" w:rsidP="00283370">
      <w:pPr>
        <w:pStyle w:val="Heading3"/>
        <w:shd w:val="clear" w:color="auto" w:fill="7A9F4C"/>
        <w:spacing w:before="0"/>
        <w:jc w:val="center"/>
        <w:rPr>
          <w:color w:val="FFFFFF" w:themeColor="background1"/>
        </w:rPr>
      </w:pPr>
      <w:r w:rsidRPr="00283370">
        <w:rPr>
          <w:b/>
          <w:bCs/>
          <w:color w:val="FFFFFF" w:themeColor="background1"/>
        </w:rPr>
        <w:t>Culture</w:t>
      </w:r>
    </w:p>
    <w:p w14:paraId="38183D3B" w14:textId="6EA1174F" w:rsidR="00064152" w:rsidRPr="008C48A4" w:rsidRDefault="00011E63" w:rsidP="00AE5FF0">
      <w:pPr>
        <w:spacing w:before="120" w:after="120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Our </w:t>
      </w:r>
      <w:r w:rsidR="00AE5FF0">
        <w:rPr>
          <w:rStyle w:val="Emphasis"/>
          <w:b/>
          <w:bCs/>
          <w:i w:val="0"/>
          <w:iCs w:val="0"/>
        </w:rPr>
        <w:t xml:space="preserve">Focus: </w:t>
      </w:r>
      <w:r w:rsidR="00064152" w:rsidRPr="008C48A4">
        <w:rPr>
          <w:rStyle w:val="Emphasis"/>
          <w:b/>
          <w:bCs/>
          <w:i w:val="0"/>
          <w:iCs w:val="0"/>
        </w:rPr>
        <w:t xml:space="preserve">We will continue to </w:t>
      </w:r>
      <w:r w:rsidR="003E6B98">
        <w:rPr>
          <w:rStyle w:val="Emphasis"/>
          <w:b/>
          <w:bCs/>
          <w:i w:val="0"/>
          <w:iCs w:val="0"/>
        </w:rPr>
        <w:t>shape</w:t>
      </w:r>
      <w:r w:rsidR="003E6B98" w:rsidRPr="008C48A4">
        <w:rPr>
          <w:rStyle w:val="Emphasis"/>
          <w:b/>
          <w:bCs/>
          <w:i w:val="0"/>
          <w:iCs w:val="0"/>
        </w:rPr>
        <w:t xml:space="preserve"> </w:t>
      </w:r>
      <w:r w:rsidR="00064152" w:rsidRPr="008C48A4">
        <w:rPr>
          <w:rStyle w:val="Emphasis"/>
          <w:b/>
          <w:bCs/>
          <w:i w:val="0"/>
          <w:iCs w:val="0"/>
        </w:rPr>
        <w:t>our culture through reviewing where we work, how we work and how we invest in our people.</w:t>
      </w:r>
    </w:p>
    <w:p w14:paraId="166BEF70" w14:textId="3554E0C9" w:rsidR="00D9716B" w:rsidRPr="00AF0BEA" w:rsidRDefault="0005687B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>
        <w:t>Review</w:t>
      </w:r>
      <w:r w:rsidR="00064152" w:rsidRPr="00AF0BEA">
        <w:t xml:space="preserve"> our approach to </w:t>
      </w:r>
      <w:r w:rsidR="0051204E">
        <w:t>leveraging our geographic</w:t>
      </w:r>
      <w:r w:rsidR="00C572C8">
        <w:t>al</w:t>
      </w:r>
      <w:r w:rsidR="0051204E">
        <w:t xml:space="preserve"> </w:t>
      </w:r>
      <w:r w:rsidR="00064152" w:rsidRPr="00AF0BEA">
        <w:t>location to enhance talent acquisition and retention.</w:t>
      </w:r>
    </w:p>
    <w:p w14:paraId="323C0F4D" w14:textId="350825B0" w:rsidR="00D9716B" w:rsidRPr="00AF0BEA" w:rsidRDefault="00064152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 w:rsidRPr="00AF0BEA">
        <w:t xml:space="preserve">Deliver a People Strategy that </w:t>
      </w:r>
      <w:r w:rsidR="00894AA0" w:rsidRPr="00AF0BEA">
        <w:t>ensures we maintain a</w:t>
      </w:r>
      <w:r w:rsidR="002404CA">
        <w:t xml:space="preserve"> high</w:t>
      </w:r>
      <w:r w:rsidR="00B80042">
        <w:t>-</w:t>
      </w:r>
      <w:r w:rsidR="002404CA">
        <w:t>performing,</w:t>
      </w:r>
      <w:r w:rsidR="00894AA0" w:rsidRPr="00AF0BEA">
        <w:t xml:space="preserve"> capable, inclusive and </w:t>
      </w:r>
      <w:r w:rsidR="006E0B6A">
        <w:t>curious</w:t>
      </w:r>
      <w:r w:rsidR="00894AA0" w:rsidRPr="00AF0BEA">
        <w:t xml:space="preserve"> workforce.</w:t>
      </w:r>
    </w:p>
    <w:p w14:paraId="0B490009" w14:textId="6F70F066" w:rsidR="00064152" w:rsidRPr="00AF0BEA" w:rsidRDefault="00064152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 w:rsidRPr="00AF0BEA">
        <w:t xml:space="preserve">Deliver an Enterprise Risk Strategy that focuses on lifting </w:t>
      </w:r>
      <w:r w:rsidR="002404CA">
        <w:t xml:space="preserve">our </w:t>
      </w:r>
      <w:r w:rsidRPr="00AF0BEA">
        <w:t>risk capability, embedding practical risk management and promoting a positive risk culture.</w:t>
      </w:r>
    </w:p>
    <w:p w14:paraId="397E9DD2" w14:textId="77777777" w:rsidR="00E20CFE" w:rsidRPr="00D9716B" w:rsidRDefault="00E20CFE" w:rsidP="00E20CFE">
      <w:pPr>
        <w:pStyle w:val="ListParagraph"/>
        <w:spacing w:after="0" w:line="240" w:lineRule="auto"/>
        <w:ind w:left="357"/>
        <w:rPr>
          <w:sz w:val="20"/>
          <w:szCs w:val="20"/>
        </w:rPr>
      </w:pPr>
    </w:p>
    <w:p w14:paraId="080B8410" w14:textId="1F114D9B" w:rsidR="00064152" w:rsidRPr="00EB2E5B" w:rsidRDefault="00D4619C" w:rsidP="00365E80">
      <w:pPr>
        <w:pStyle w:val="Heading3"/>
        <w:shd w:val="clear" w:color="auto" w:fill="009B9F"/>
        <w:spacing w:before="0"/>
        <w:jc w:val="center"/>
        <w:rPr>
          <w:color w:val="FFFFFF" w:themeColor="background1"/>
        </w:rPr>
      </w:pPr>
      <w:r w:rsidRPr="00EB2E5B">
        <w:rPr>
          <w:b/>
          <w:bCs/>
          <w:color w:val="FFFFFF" w:themeColor="background1"/>
        </w:rPr>
        <w:t>Capability</w:t>
      </w:r>
    </w:p>
    <w:p w14:paraId="3CD61ADA" w14:textId="149AB1AC" w:rsidR="00064152" w:rsidRPr="008C48A4" w:rsidRDefault="00011E63" w:rsidP="00AE5FF0">
      <w:pPr>
        <w:spacing w:before="120" w:after="120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Our </w:t>
      </w:r>
      <w:r w:rsidR="00AE5FF0">
        <w:rPr>
          <w:rStyle w:val="Emphasis"/>
          <w:b/>
          <w:bCs/>
          <w:i w:val="0"/>
          <w:iCs w:val="0"/>
        </w:rPr>
        <w:t xml:space="preserve">Focus: </w:t>
      </w:r>
      <w:r w:rsidR="00064152" w:rsidRPr="008C48A4">
        <w:rPr>
          <w:rStyle w:val="Emphasis"/>
          <w:b/>
          <w:bCs/>
          <w:i w:val="0"/>
          <w:iCs w:val="0"/>
        </w:rPr>
        <w:t>We will invest in the attraction and retention of our people through effective planning, recruitment</w:t>
      </w:r>
      <w:r w:rsidR="0068746C">
        <w:rPr>
          <w:rStyle w:val="Emphasis"/>
          <w:b/>
          <w:bCs/>
          <w:i w:val="0"/>
          <w:iCs w:val="0"/>
        </w:rPr>
        <w:t xml:space="preserve"> and development</w:t>
      </w:r>
      <w:r w:rsidR="00064152" w:rsidRPr="008C48A4">
        <w:rPr>
          <w:rStyle w:val="Emphasis"/>
          <w:b/>
          <w:bCs/>
          <w:i w:val="0"/>
          <w:iCs w:val="0"/>
        </w:rPr>
        <w:t>.</w:t>
      </w:r>
    </w:p>
    <w:p w14:paraId="33CCE6CA" w14:textId="0D9EDA12" w:rsidR="00011E63" w:rsidRPr="00AF0BEA" w:rsidRDefault="00300D7C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>
        <w:t>Ensure</w:t>
      </w:r>
      <w:r w:rsidR="00064152" w:rsidRPr="00AF0BEA">
        <w:t xml:space="preserve"> </w:t>
      </w:r>
      <w:r w:rsidR="0010216D">
        <w:t xml:space="preserve">a proactive and positive approach </w:t>
      </w:r>
      <w:r w:rsidR="00D13CD5">
        <w:t>to delivering performance and development</w:t>
      </w:r>
      <w:r w:rsidR="00064152" w:rsidRPr="00AF0BEA">
        <w:t xml:space="preserve"> </w:t>
      </w:r>
      <w:r w:rsidR="001C04ED">
        <w:t xml:space="preserve">initiatives </w:t>
      </w:r>
      <w:r w:rsidR="00064152" w:rsidRPr="00AF0BEA">
        <w:t>to enable continuous employee growth.</w:t>
      </w:r>
    </w:p>
    <w:p w14:paraId="099ECFA3" w14:textId="77777777" w:rsidR="00011E63" w:rsidRPr="00AF0BEA" w:rsidRDefault="00064152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 w:rsidRPr="00AF0BEA">
        <w:t>Prioritise addressing capability and resourcing gaps to ensure we are equipped to deliver our work.</w:t>
      </w:r>
    </w:p>
    <w:p w14:paraId="18035F01" w14:textId="62DEE0C1" w:rsidR="00011E63" w:rsidRPr="00AF0BEA" w:rsidRDefault="00064152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 w:rsidRPr="00AF0BEA">
        <w:t xml:space="preserve">Deliver </w:t>
      </w:r>
      <w:r w:rsidR="00300D7C">
        <w:t>a</w:t>
      </w:r>
      <w:r w:rsidRPr="00AF0BEA">
        <w:t xml:space="preserve"> Strategic Workforce Plan to inform actions to mitigate long</w:t>
      </w:r>
      <w:r w:rsidR="00AE6403">
        <w:t>-</w:t>
      </w:r>
      <w:r w:rsidRPr="00AF0BEA">
        <w:t>term workforce capability risks.</w:t>
      </w:r>
    </w:p>
    <w:p w14:paraId="44AD7D5C" w14:textId="3760C702" w:rsidR="00D4619C" w:rsidRPr="00AF0BEA" w:rsidRDefault="00064152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>
        <w:t>Deliver operational workforce planning resources and toolkits for managers to optimise our resourcing.</w:t>
      </w:r>
    </w:p>
    <w:p w14:paraId="4D03712E" w14:textId="77777777" w:rsidR="00E20CFE" w:rsidRPr="00011E63" w:rsidRDefault="00E20CFE" w:rsidP="00E20CFE">
      <w:pPr>
        <w:pStyle w:val="ListParagraph"/>
        <w:spacing w:after="0" w:line="240" w:lineRule="auto"/>
        <w:ind w:left="357"/>
        <w:rPr>
          <w:sz w:val="20"/>
          <w:szCs w:val="20"/>
        </w:rPr>
      </w:pPr>
    </w:p>
    <w:p w14:paraId="176BE0C0" w14:textId="7ADE2F3D" w:rsidR="00D4619C" w:rsidRPr="00090093" w:rsidRDefault="00D4619C" w:rsidP="00090093">
      <w:pPr>
        <w:pStyle w:val="Heading3"/>
        <w:shd w:val="clear" w:color="auto" w:fill="0D2C6C"/>
        <w:spacing w:before="0"/>
        <w:jc w:val="center"/>
        <w:rPr>
          <w:color w:val="FFFFFF" w:themeColor="background1"/>
          <w:sz w:val="20"/>
          <w:szCs w:val="20"/>
        </w:rPr>
      </w:pPr>
      <w:r w:rsidRPr="00090093">
        <w:rPr>
          <w:b/>
          <w:bCs/>
          <w:color w:val="FFFFFF" w:themeColor="background1"/>
        </w:rPr>
        <w:t>Leadership</w:t>
      </w:r>
    </w:p>
    <w:p w14:paraId="36675F8B" w14:textId="580FDC24" w:rsidR="00D4619C" w:rsidRPr="008C48A4" w:rsidRDefault="00011E63" w:rsidP="00AE5FF0">
      <w:pPr>
        <w:spacing w:before="120" w:after="120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Our </w:t>
      </w:r>
      <w:r w:rsidR="00AE5FF0">
        <w:rPr>
          <w:rStyle w:val="Emphasis"/>
          <w:b/>
          <w:bCs/>
          <w:i w:val="0"/>
          <w:iCs w:val="0"/>
        </w:rPr>
        <w:t xml:space="preserve">Focus: </w:t>
      </w:r>
      <w:r w:rsidR="00D4619C" w:rsidRPr="008C48A4">
        <w:rPr>
          <w:rStyle w:val="Emphasis"/>
          <w:b/>
          <w:bCs/>
          <w:i w:val="0"/>
          <w:iCs w:val="0"/>
        </w:rPr>
        <w:t xml:space="preserve">We will </w:t>
      </w:r>
      <w:r w:rsidR="0009025E">
        <w:rPr>
          <w:rStyle w:val="Emphasis"/>
          <w:b/>
          <w:bCs/>
          <w:i w:val="0"/>
          <w:iCs w:val="0"/>
        </w:rPr>
        <w:t>grow</w:t>
      </w:r>
      <w:r w:rsidR="00D4619C" w:rsidRPr="008C48A4">
        <w:rPr>
          <w:rStyle w:val="Emphasis"/>
          <w:b/>
          <w:bCs/>
          <w:i w:val="0"/>
          <w:iCs w:val="0"/>
        </w:rPr>
        <w:t xml:space="preserve"> leaders at all levels and empower them to make decisions about their work, hear views of others and encourage development.</w:t>
      </w:r>
    </w:p>
    <w:p w14:paraId="36C9158A" w14:textId="07F73C6D" w:rsidR="00D4619C" w:rsidRPr="00AF0BEA" w:rsidRDefault="00D4619C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>
        <w:t>Deliver an Internal Policy Framework to inform</w:t>
      </w:r>
      <w:r w:rsidR="495F9C2D">
        <w:t xml:space="preserve"> </w:t>
      </w:r>
      <w:r>
        <w:t>consistent</w:t>
      </w:r>
      <w:r w:rsidR="309AC6AF">
        <w:t>,</w:t>
      </w:r>
      <w:r>
        <w:t xml:space="preserve"> principles</w:t>
      </w:r>
      <w:r w:rsidR="001A3DA2">
        <w:t>-</w:t>
      </w:r>
      <w:r>
        <w:t xml:space="preserve">based internal policies that promote </w:t>
      </w:r>
      <w:r w:rsidR="064C3B25">
        <w:t>judgement and decision-making through a positive risk lens.</w:t>
      </w:r>
    </w:p>
    <w:p w14:paraId="5B4C11E5" w14:textId="23FEEEDE" w:rsidR="00D4619C" w:rsidRPr="00AF0BEA" w:rsidRDefault="064C3B25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</w:pPr>
      <w:r>
        <w:t>Align with</w:t>
      </w:r>
      <w:r w:rsidR="001064B2">
        <w:t xml:space="preserve"> the APS</w:t>
      </w:r>
      <w:r w:rsidR="00D4619C">
        <w:t xml:space="preserve"> Senior Executive Service (SES) Performance Framework </w:t>
      </w:r>
      <w:r w:rsidR="001E631E">
        <w:t>to</w:t>
      </w:r>
      <w:r w:rsidR="00D4619C">
        <w:t xml:space="preserve"> embed a culture of transparency and accountability for SES performance.</w:t>
      </w:r>
    </w:p>
    <w:p w14:paraId="769B1B42" w14:textId="0509DC29" w:rsidR="00D4619C" w:rsidRPr="00AF0BEA" w:rsidRDefault="00D4619C" w:rsidP="00E20CFE">
      <w:pPr>
        <w:pStyle w:val="ListParagraph"/>
        <w:numPr>
          <w:ilvl w:val="0"/>
          <w:numId w:val="22"/>
        </w:numPr>
        <w:spacing w:after="0" w:line="240" w:lineRule="auto"/>
        <w:ind w:left="357" w:hanging="357"/>
        <w:sectPr w:rsidR="00D4619C" w:rsidRPr="00AF0BEA" w:rsidSect="0081107A">
          <w:footerReference w:type="default" r:id="rId14"/>
          <w:footerReference w:type="first" r:id="rId15"/>
          <w:type w:val="continuous"/>
          <w:pgSz w:w="23820" w:h="16840" w:orient="landscape"/>
          <w:pgMar w:top="851" w:right="1418" w:bottom="1134" w:left="709" w:header="0" w:footer="709" w:gutter="0"/>
          <w:cols w:space="601"/>
          <w:docGrid w:linePitch="360"/>
        </w:sectPr>
      </w:pPr>
      <w:r w:rsidRPr="00AF0BEA">
        <w:t>Leverage SES Champions for diversity</w:t>
      </w:r>
      <w:r w:rsidR="00BB2C01">
        <w:t>, inclusion</w:t>
      </w:r>
      <w:r w:rsidRPr="00AF0BEA">
        <w:t xml:space="preserve"> and key organisational priorities to elevate initiatives, provide expertise and ensure strategic alignment</w:t>
      </w:r>
      <w:r w:rsidR="00FD7A64" w:rsidRPr="00AF0BEA">
        <w:t>.</w:t>
      </w:r>
    </w:p>
    <w:bookmarkEnd w:id="0"/>
    <w:p w14:paraId="52116606" w14:textId="2283EAA6" w:rsidR="00E074A9" w:rsidRPr="00FD7A64" w:rsidRDefault="00E074A9" w:rsidP="00FD7A64">
      <w:pPr>
        <w:spacing w:after="0"/>
        <w:rPr>
          <w:sz w:val="2"/>
          <w:szCs w:val="2"/>
        </w:rPr>
      </w:pPr>
    </w:p>
    <w:sectPr w:rsidR="00E074A9" w:rsidRPr="00FD7A64" w:rsidSect="0081107A">
      <w:type w:val="continuous"/>
      <w:pgSz w:w="23820" w:h="16840" w:orient="landscape"/>
      <w:pgMar w:top="851" w:right="1418" w:bottom="1134" w:left="1418" w:header="0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3610" w14:textId="77777777" w:rsidR="0012067D" w:rsidRDefault="0012067D" w:rsidP="0051352E">
      <w:pPr>
        <w:spacing w:after="0" w:line="240" w:lineRule="auto"/>
      </w:pPr>
      <w:r>
        <w:separator/>
      </w:r>
    </w:p>
  </w:endnote>
  <w:endnote w:type="continuationSeparator" w:id="0">
    <w:p w14:paraId="0356BAC0" w14:textId="77777777" w:rsidR="0012067D" w:rsidRDefault="0012067D" w:rsidP="0051352E">
      <w:pPr>
        <w:spacing w:after="0" w:line="240" w:lineRule="auto"/>
      </w:pPr>
      <w:r>
        <w:continuationSeparator/>
      </w:r>
    </w:p>
  </w:endnote>
  <w:endnote w:type="continuationNotice" w:id="1">
    <w:p w14:paraId="0AB7E214" w14:textId="77777777" w:rsidR="0012067D" w:rsidRDefault="001206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166A" w14:textId="77777777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16F1203" wp14:editId="5D12CDC9">
              <wp:simplePos x="0" y="0"/>
              <wp:positionH relativeFrom="page">
                <wp:posOffset>0</wp:posOffset>
              </wp:positionH>
              <wp:positionV relativeFrom="paragraph">
                <wp:posOffset>424942</wp:posOffset>
              </wp:positionV>
              <wp:extent cx="15105888" cy="566928"/>
              <wp:effectExtent l="0" t="0" r="0" b="5080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888" cy="566928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CAFDF2" id="Rectangle 5" o:spid="_x0000_s1026" alt="&quot;&quot;" style="position:absolute;margin-left:0;margin-top:33.45pt;width:1189.45pt;height:44.6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eIgQIAAGAFAAAOAAAAZHJzL2Uyb0RvYy54bWysVFFv2yAQfp+0/4B4X21HSZZGdaqoVadJ&#10;VVstnfpMMMSWMMeAxMl+/Q6wna6r9jAtDwS47767+3zH1fWxVeQgrGtAl7S4yCkRmkPV6F1Jvz/f&#10;fVpQ4jzTFVOgRUlPwtHr1ccPV51ZignUoCphCZJot+xMSWvvzTLLHK9Fy9wFGKHRKMG2zOPR7rLK&#10;sg7ZW5VN8nyedWArY4EL5/D2NhnpKvJLKbh/lNIJT1RJMTcfVxvXbViz1RVb7iwzdcP7NNg/ZNGy&#10;RmPQkeqWeUb2tvmDqm24BQfSX3BoM5Cy4SLWgNUU+ZtqNjUzItaC4jgzyuT+Hy1/OGzMk0UZOuOW&#10;DrehiqO0bfjH/MgxinUaxRJHTzheFrMiny0W+H05Gmfz+eVkEeTMzu7GOv9FQEvCpqQWv0YUiR3u&#10;nU/QARKiOVBNddcoFQ92t71RlhwYfrlpPp1M5z37bzClA1hDcEuM4SY7FxN3/qREwCn9TUjSVJj+&#10;JGYS+0yMcRjnQvsimWpWiRR+luNviB46M3jESiNhYJYYf+TuCQZkIhm4U5Y9PriK2Kajc/63xJLz&#10;6BEjg/ajc9tosO8RKKyqj5zwg0hJmqDSFqrTkyUW0pA4w+8a/G73zPknZnEqcH5w0v0jLlJBV1Lo&#10;d5TUYH++dx/w2KxopaTDKSup+7FnVlCivmps48tiOg1jGQ/T2ecJHuxry/a1Re/bG8B2KPBNMTxu&#10;A96rYSsttC/4IKxDVDQxzTF2Sbm3w+HGp+nHJ4WL9TrCcBQN8/d6Y3ggD6qGvnw+vjBr+ub12PcP&#10;MEwkW77p4YQNnhrWew+yiQ1+1rXXG8c4Nk7/5IR34vU5os4P4+oXAAAA//8DAFBLAwQUAAYACAAA&#10;ACEAN5BDSN4AAAAIAQAADwAAAGRycy9kb3ducmV2LnhtbEyPwU7DMBBE70j8g7VI3KjTIEIb4lQB&#10;VIF6oqWHHt14G0fE6yh2m/D3LCe47WhGs2+K1eQ6ccEhtJ4UzGcJCKTam5YaBfvP9d0CRIiajO48&#10;oYJvDLAqr68KnRs/0hYvu9gILqGQawU2xj6XMtQWnQ4z3yOxd/KD05Hl0Egz6JHLXSfTJMmk0y3x&#10;B6t7fLFYf+3OTsEJq9f0/fBcybFazjdvvd2uPyalbm+m6glExCn+heEXn9GhZKajP5MJolPAQ6KC&#10;LFuCYDe9f1zwdeTcQ5aCLAv5f0D5AwAA//8DAFBLAQItABQABgAIAAAAIQC2gziS/gAAAOEBAAAT&#10;AAAAAAAAAAAAAAAAAAAAAABbQ29udGVudF9UeXBlc10ueG1sUEsBAi0AFAAGAAgAAAAhADj9If/W&#10;AAAAlAEAAAsAAAAAAAAAAAAAAAAALwEAAF9yZWxzLy5yZWxzUEsBAi0AFAAGAAgAAAAhABYZN4iB&#10;AgAAYAUAAA4AAAAAAAAAAAAAAAAALgIAAGRycy9lMm9Eb2MueG1sUEsBAi0AFAAGAAgAAAAhADeQ&#10;Q0jeAAAACAEAAA8AAAAAAAAAAAAAAAAA2wQAAGRycy9kb3ducmV2LnhtbFBLBQYAAAAABAAEAPMA&#10;AADmBQAAAAA=&#10;" fillcolor="#404246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9073" w14:textId="77777777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6D89E9" wp14:editId="46508D14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3175" b="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002D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F29C6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xCeAIAAF8FAAAOAAAAZHJzL2Uyb0RvYy54bWysVEtv2zAMvg/YfxB0X+1kfQZxiiBFhgFF&#10;W7QdelZkKTYgixqlxMl+/SjZcbq22GGYDzIpkh8fIjm93jWGbRX6GmzBRyc5Z8pKKGu7LviP5+WX&#10;S858ELYUBqwq+F55fj37/GnauokaQwWmVMgIxPpJ6wpeheAmWeZlpRrhT8ApS0IN2IhALK6zEkVL&#10;6I3Jxnl+nrWApUOQynu6vemEfJbwtVYy3GvtVWCm4BRbSCemcxXPbDYVkzUKV9WyD0P8QxSNqC05&#10;HaBuRBBsg/U7qKaWCB50OJHQZKB1LVXKgbIZ5W+yeaqEUykXKo53Q5n8/4OVd9sn94BUhtb5iScy&#10;ZrHT2MQ/xcd2qVj7oVhqF5iky4uz85w+ziTJRleXkSaY7Gjt0IdvChoWiYIjPUaqkdje+tCpHlSi&#10;Mw+mLpe1MYnB9WphkG1FfLh8fPN12aP/oWZsVLYQzTrEeJMdc0lU2BsV9Yx9VJrVJUU/TpGkNlOD&#10;HyGlsmHUiSpRqs79Wcqzgx8sUqYJMCJr8j9g9wCxhd9jdzC9fjRVqUsH4/xvgXXGg0XyDDYMxk1t&#10;AT8CMJRV77nTPxSpK02s0grK/QMyhG5GvJPLmt7tVvjwIJCGgp6aBj3c06ENtAWHnuKsAvz10X3U&#10;p14lKWctDVnB/c+NQMWZ+W6pi69Gp6dxKhNzenYxJgZfS1avJXbTLIDaYUQrxclERv1gDqRGaF5o&#10;H8yjVxIJK8l3wWXAA7MI3fDTRpFqPk9qNIlOhFv75GQEj1WNffm8exHo+uYN1PZ3cBhIMXnTw51u&#10;tLQw3wTQdWrwY137etMUp8bpN05cE6/5pHXci7PfAAAA//8DAFBLAwQUAAYACAAAACEAiGfY4N4A&#10;AAAHAQAADwAAAGRycy9kb3ducmV2LnhtbEyPzU7DMBCE70i8g7VI3KjdSA00zabiR4DEjQKqenPi&#10;JYkar6PYaUOfHvcEx9GMZr7J15PtxIEG3zpGmM8UCOLKmZZrhM+P55s7ED5oNrpzTAg/5GFdXF7k&#10;OjPuyO902IRaxBL2mUZoQugzKX3VkNV+5nri6H27weoQ5VBLM+hjLLedTJRKpdUtx4VG9/TYULXf&#10;jBZhu0seXk9fnZKJezq9jS8978sd4vXVdL8CEWgKf2E440d0KCJT6UY2XnQI8UhASBcLEGd3vlQp&#10;iBJhmd6CLHL5n7/4BQAA//8DAFBLAQItABQABgAIAAAAIQC2gziS/gAAAOEBAAATAAAAAAAAAAAA&#10;AAAAAAAAAABbQ29udGVudF9UeXBlc10ueG1sUEsBAi0AFAAGAAgAAAAhADj9If/WAAAAlAEAAAsA&#10;AAAAAAAAAAAAAAAALwEAAF9yZWxzLy5yZWxzUEsBAi0AFAAGAAgAAAAhACrUrEJ4AgAAXwUAAA4A&#10;AAAAAAAAAAAAAAAALgIAAGRycy9lMm9Eb2MueG1sUEsBAi0AFAAGAAgAAAAhAIhn2ODeAAAABwEA&#10;AA8AAAAAAAAAAAAAAAAA0gQAAGRycy9kb3ducmV2LnhtbFBLBQYAAAAABAAEAPMAAADdBQAAAAA=&#10;" fillcolor="#002d3f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DFE8" w14:textId="77777777" w:rsidR="0012067D" w:rsidRDefault="0012067D" w:rsidP="0051352E">
      <w:pPr>
        <w:spacing w:after="0" w:line="240" w:lineRule="auto"/>
      </w:pPr>
      <w:r>
        <w:separator/>
      </w:r>
    </w:p>
  </w:footnote>
  <w:footnote w:type="continuationSeparator" w:id="0">
    <w:p w14:paraId="293E1C57" w14:textId="77777777" w:rsidR="0012067D" w:rsidRDefault="0012067D" w:rsidP="0051352E">
      <w:pPr>
        <w:spacing w:after="0" w:line="240" w:lineRule="auto"/>
      </w:pPr>
      <w:r>
        <w:continuationSeparator/>
      </w:r>
    </w:p>
  </w:footnote>
  <w:footnote w:type="continuationNotice" w:id="1">
    <w:p w14:paraId="6B7F1BE5" w14:textId="77777777" w:rsidR="0012067D" w:rsidRDefault="001206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14396D"/>
    <w:multiLevelType w:val="hybridMultilevel"/>
    <w:tmpl w:val="A2DA06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E52C4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F0E43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21A9B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A149C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976B6B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830353"/>
    <w:multiLevelType w:val="hybridMultilevel"/>
    <w:tmpl w:val="7B9A34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02F42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F2018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7E4238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3318B"/>
    <w:multiLevelType w:val="hybridMultilevel"/>
    <w:tmpl w:val="D86E94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36357"/>
    <w:multiLevelType w:val="hybridMultilevel"/>
    <w:tmpl w:val="A2DA06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0551657">
    <w:abstractNumId w:val="9"/>
  </w:num>
  <w:num w:numId="2" w16cid:durableId="630671340">
    <w:abstractNumId w:val="7"/>
  </w:num>
  <w:num w:numId="3" w16cid:durableId="1645626308">
    <w:abstractNumId w:val="6"/>
  </w:num>
  <w:num w:numId="4" w16cid:durableId="1397237266">
    <w:abstractNumId w:val="5"/>
  </w:num>
  <w:num w:numId="5" w16cid:durableId="214662629">
    <w:abstractNumId w:val="4"/>
  </w:num>
  <w:num w:numId="6" w16cid:durableId="1501507611">
    <w:abstractNumId w:val="8"/>
  </w:num>
  <w:num w:numId="7" w16cid:durableId="1835413984">
    <w:abstractNumId w:val="3"/>
  </w:num>
  <w:num w:numId="8" w16cid:durableId="1554347248">
    <w:abstractNumId w:val="2"/>
  </w:num>
  <w:num w:numId="9" w16cid:durableId="108857788">
    <w:abstractNumId w:val="1"/>
  </w:num>
  <w:num w:numId="10" w16cid:durableId="10492028">
    <w:abstractNumId w:val="0"/>
  </w:num>
  <w:num w:numId="11" w16cid:durableId="181095239">
    <w:abstractNumId w:val="10"/>
  </w:num>
  <w:num w:numId="12" w16cid:durableId="2092774813">
    <w:abstractNumId w:val="16"/>
  </w:num>
  <w:num w:numId="13" w16cid:durableId="1853227746">
    <w:abstractNumId w:val="18"/>
  </w:num>
  <w:num w:numId="14" w16cid:durableId="633561213">
    <w:abstractNumId w:val="23"/>
  </w:num>
  <w:num w:numId="15" w16cid:durableId="1108812226">
    <w:abstractNumId w:val="19"/>
  </w:num>
  <w:num w:numId="16" w16cid:durableId="503206507">
    <w:abstractNumId w:val="11"/>
  </w:num>
  <w:num w:numId="17" w16cid:durableId="649363178">
    <w:abstractNumId w:val="22"/>
  </w:num>
  <w:num w:numId="18" w16cid:durableId="829180507">
    <w:abstractNumId w:val="20"/>
  </w:num>
  <w:num w:numId="19" w16cid:durableId="1827815764">
    <w:abstractNumId w:val="14"/>
  </w:num>
  <w:num w:numId="20" w16cid:durableId="1802963145">
    <w:abstractNumId w:val="12"/>
  </w:num>
  <w:num w:numId="21" w16cid:durableId="1360935581">
    <w:abstractNumId w:val="13"/>
  </w:num>
  <w:num w:numId="22" w16cid:durableId="1737431776">
    <w:abstractNumId w:val="21"/>
  </w:num>
  <w:num w:numId="23" w16cid:durableId="1131636226">
    <w:abstractNumId w:val="24"/>
  </w:num>
  <w:num w:numId="24" w16cid:durableId="1332833543">
    <w:abstractNumId w:val="15"/>
  </w:num>
  <w:num w:numId="25" w16cid:durableId="6564928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11E63"/>
    <w:rsid w:val="000146A9"/>
    <w:rsid w:val="00021DF3"/>
    <w:rsid w:val="0003502D"/>
    <w:rsid w:val="00052BBC"/>
    <w:rsid w:val="0005687B"/>
    <w:rsid w:val="00064152"/>
    <w:rsid w:val="00076EF6"/>
    <w:rsid w:val="0008067E"/>
    <w:rsid w:val="0008529C"/>
    <w:rsid w:val="00090093"/>
    <w:rsid w:val="0009025E"/>
    <w:rsid w:val="0009041E"/>
    <w:rsid w:val="000A453D"/>
    <w:rsid w:val="000B6888"/>
    <w:rsid w:val="000C3C10"/>
    <w:rsid w:val="000E1763"/>
    <w:rsid w:val="000F58FD"/>
    <w:rsid w:val="0010216D"/>
    <w:rsid w:val="001023DE"/>
    <w:rsid w:val="00102D97"/>
    <w:rsid w:val="001064B2"/>
    <w:rsid w:val="0012067D"/>
    <w:rsid w:val="00124D84"/>
    <w:rsid w:val="00157F35"/>
    <w:rsid w:val="0019432C"/>
    <w:rsid w:val="001A3CEF"/>
    <w:rsid w:val="001A3DA2"/>
    <w:rsid w:val="001B3567"/>
    <w:rsid w:val="001C04ED"/>
    <w:rsid w:val="001E631E"/>
    <w:rsid w:val="001F65F2"/>
    <w:rsid w:val="00207F35"/>
    <w:rsid w:val="0021177C"/>
    <w:rsid w:val="00217EAB"/>
    <w:rsid w:val="0022498C"/>
    <w:rsid w:val="0023135A"/>
    <w:rsid w:val="002404CA"/>
    <w:rsid w:val="00242FFA"/>
    <w:rsid w:val="002724D0"/>
    <w:rsid w:val="00275C7D"/>
    <w:rsid w:val="00283370"/>
    <w:rsid w:val="00285EF3"/>
    <w:rsid w:val="002908B3"/>
    <w:rsid w:val="00296486"/>
    <w:rsid w:val="002A65C0"/>
    <w:rsid w:val="002A6ED5"/>
    <w:rsid w:val="002A7840"/>
    <w:rsid w:val="002B1CE5"/>
    <w:rsid w:val="002B7248"/>
    <w:rsid w:val="002C7B9D"/>
    <w:rsid w:val="002D5101"/>
    <w:rsid w:val="002F0487"/>
    <w:rsid w:val="002F4DB3"/>
    <w:rsid w:val="00300D7C"/>
    <w:rsid w:val="0031618D"/>
    <w:rsid w:val="0034105D"/>
    <w:rsid w:val="00350FFA"/>
    <w:rsid w:val="00352410"/>
    <w:rsid w:val="00352F37"/>
    <w:rsid w:val="003538A7"/>
    <w:rsid w:val="00356088"/>
    <w:rsid w:val="00357B5B"/>
    <w:rsid w:val="00365E80"/>
    <w:rsid w:val="00375117"/>
    <w:rsid w:val="00382F07"/>
    <w:rsid w:val="003858BD"/>
    <w:rsid w:val="003C1282"/>
    <w:rsid w:val="003E6B98"/>
    <w:rsid w:val="00414677"/>
    <w:rsid w:val="00424020"/>
    <w:rsid w:val="00453C04"/>
    <w:rsid w:val="00476CEC"/>
    <w:rsid w:val="004938EB"/>
    <w:rsid w:val="00495BDB"/>
    <w:rsid w:val="00497764"/>
    <w:rsid w:val="004B3AE0"/>
    <w:rsid w:val="004B7FE1"/>
    <w:rsid w:val="004C223E"/>
    <w:rsid w:val="004C2D92"/>
    <w:rsid w:val="004C36D3"/>
    <w:rsid w:val="00511440"/>
    <w:rsid w:val="0051204E"/>
    <w:rsid w:val="0051352E"/>
    <w:rsid w:val="00514003"/>
    <w:rsid w:val="0051647A"/>
    <w:rsid w:val="00517DA7"/>
    <w:rsid w:val="00520A33"/>
    <w:rsid w:val="00527AE4"/>
    <w:rsid w:val="00541EE3"/>
    <w:rsid w:val="00542401"/>
    <w:rsid w:val="0055569D"/>
    <w:rsid w:val="0059010F"/>
    <w:rsid w:val="00592C71"/>
    <w:rsid w:val="00596A88"/>
    <w:rsid w:val="005A0625"/>
    <w:rsid w:val="005B1E6A"/>
    <w:rsid w:val="005D73C0"/>
    <w:rsid w:val="005D7CE7"/>
    <w:rsid w:val="005E0774"/>
    <w:rsid w:val="00607101"/>
    <w:rsid w:val="00610A38"/>
    <w:rsid w:val="00611CE2"/>
    <w:rsid w:val="00630DDF"/>
    <w:rsid w:val="00631E2B"/>
    <w:rsid w:val="006422DF"/>
    <w:rsid w:val="006470CE"/>
    <w:rsid w:val="00652A2E"/>
    <w:rsid w:val="00662A42"/>
    <w:rsid w:val="0067270F"/>
    <w:rsid w:val="006845FD"/>
    <w:rsid w:val="0068746C"/>
    <w:rsid w:val="00687B64"/>
    <w:rsid w:val="00692F0B"/>
    <w:rsid w:val="006945DF"/>
    <w:rsid w:val="006E0B6A"/>
    <w:rsid w:val="006E5D6E"/>
    <w:rsid w:val="007157B4"/>
    <w:rsid w:val="00721B03"/>
    <w:rsid w:val="00723ABB"/>
    <w:rsid w:val="00727F9D"/>
    <w:rsid w:val="00747A12"/>
    <w:rsid w:val="00750A25"/>
    <w:rsid w:val="007570DC"/>
    <w:rsid w:val="0075766F"/>
    <w:rsid w:val="00761B3B"/>
    <w:rsid w:val="0078186E"/>
    <w:rsid w:val="00791D1E"/>
    <w:rsid w:val="0079579F"/>
    <w:rsid w:val="007B1ABA"/>
    <w:rsid w:val="007B74C5"/>
    <w:rsid w:val="007C0D66"/>
    <w:rsid w:val="007D12AC"/>
    <w:rsid w:val="007D7EAB"/>
    <w:rsid w:val="0081107A"/>
    <w:rsid w:val="00817597"/>
    <w:rsid w:val="008321B6"/>
    <w:rsid w:val="00832DC3"/>
    <w:rsid w:val="00847716"/>
    <w:rsid w:val="008507C1"/>
    <w:rsid w:val="00860749"/>
    <w:rsid w:val="00861934"/>
    <w:rsid w:val="00866139"/>
    <w:rsid w:val="00894AA0"/>
    <w:rsid w:val="008A332A"/>
    <w:rsid w:val="008B1B95"/>
    <w:rsid w:val="008B4496"/>
    <w:rsid w:val="008B71F1"/>
    <w:rsid w:val="008C48A4"/>
    <w:rsid w:val="008C5F76"/>
    <w:rsid w:val="008E22BA"/>
    <w:rsid w:val="008F0AC9"/>
    <w:rsid w:val="00900F7F"/>
    <w:rsid w:val="0093473D"/>
    <w:rsid w:val="00935161"/>
    <w:rsid w:val="00941471"/>
    <w:rsid w:val="00944ECC"/>
    <w:rsid w:val="00960766"/>
    <w:rsid w:val="0096265F"/>
    <w:rsid w:val="00972F57"/>
    <w:rsid w:val="00984C03"/>
    <w:rsid w:val="0099143C"/>
    <w:rsid w:val="00995280"/>
    <w:rsid w:val="009C6837"/>
    <w:rsid w:val="009D776F"/>
    <w:rsid w:val="009E0CC2"/>
    <w:rsid w:val="00A12597"/>
    <w:rsid w:val="00A17940"/>
    <w:rsid w:val="00A24E6E"/>
    <w:rsid w:val="00A33CE7"/>
    <w:rsid w:val="00A43694"/>
    <w:rsid w:val="00A5698C"/>
    <w:rsid w:val="00A56FC7"/>
    <w:rsid w:val="00A668BF"/>
    <w:rsid w:val="00A72575"/>
    <w:rsid w:val="00A72827"/>
    <w:rsid w:val="00A74071"/>
    <w:rsid w:val="00A754E4"/>
    <w:rsid w:val="00A8588D"/>
    <w:rsid w:val="00A90E32"/>
    <w:rsid w:val="00AA034E"/>
    <w:rsid w:val="00AA124A"/>
    <w:rsid w:val="00AA2A96"/>
    <w:rsid w:val="00AC0EC1"/>
    <w:rsid w:val="00AE5FF0"/>
    <w:rsid w:val="00AE6403"/>
    <w:rsid w:val="00AF0BEA"/>
    <w:rsid w:val="00B100CC"/>
    <w:rsid w:val="00B200E0"/>
    <w:rsid w:val="00B32D68"/>
    <w:rsid w:val="00B345D7"/>
    <w:rsid w:val="00B46113"/>
    <w:rsid w:val="00B47CD8"/>
    <w:rsid w:val="00B514CC"/>
    <w:rsid w:val="00B6689D"/>
    <w:rsid w:val="00B67338"/>
    <w:rsid w:val="00B72368"/>
    <w:rsid w:val="00B80042"/>
    <w:rsid w:val="00BB2C01"/>
    <w:rsid w:val="00BB5C63"/>
    <w:rsid w:val="00C049F1"/>
    <w:rsid w:val="00C12EFE"/>
    <w:rsid w:val="00C14857"/>
    <w:rsid w:val="00C21E08"/>
    <w:rsid w:val="00C2594E"/>
    <w:rsid w:val="00C54D58"/>
    <w:rsid w:val="00C560B2"/>
    <w:rsid w:val="00C572C8"/>
    <w:rsid w:val="00C573E1"/>
    <w:rsid w:val="00C57C34"/>
    <w:rsid w:val="00C60222"/>
    <w:rsid w:val="00C736D3"/>
    <w:rsid w:val="00C76B9F"/>
    <w:rsid w:val="00C83238"/>
    <w:rsid w:val="00C95DF6"/>
    <w:rsid w:val="00CC3BA4"/>
    <w:rsid w:val="00CD3815"/>
    <w:rsid w:val="00CF72A0"/>
    <w:rsid w:val="00D13CD5"/>
    <w:rsid w:val="00D24231"/>
    <w:rsid w:val="00D4619C"/>
    <w:rsid w:val="00D535EF"/>
    <w:rsid w:val="00D6151F"/>
    <w:rsid w:val="00D677BD"/>
    <w:rsid w:val="00D9716B"/>
    <w:rsid w:val="00DA1B7B"/>
    <w:rsid w:val="00DB14ED"/>
    <w:rsid w:val="00DB7261"/>
    <w:rsid w:val="00DB79DF"/>
    <w:rsid w:val="00DC0AD7"/>
    <w:rsid w:val="00DC2F8B"/>
    <w:rsid w:val="00DD0A7D"/>
    <w:rsid w:val="00DD1F6A"/>
    <w:rsid w:val="00DD35FF"/>
    <w:rsid w:val="00DE039E"/>
    <w:rsid w:val="00E005CF"/>
    <w:rsid w:val="00E028BB"/>
    <w:rsid w:val="00E04224"/>
    <w:rsid w:val="00E074A9"/>
    <w:rsid w:val="00E1385E"/>
    <w:rsid w:val="00E20CFE"/>
    <w:rsid w:val="00E401A9"/>
    <w:rsid w:val="00E5112D"/>
    <w:rsid w:val="00E53DE8"/>
    <w:rsid w:val="00E72755"/>
    <w:rsid w:val="00E8700A"/>
    <w:rsid w:val="00E910E8"/>
    <w:rsid w:val="00E96096"/>
    <w:rsid w:val="00EA32F7"/>
    <w:rsid w:val="00EA47ED"/>
    <w:rsid w:val="00EB2E5B"/>
    <w:rsid w:val="00EE05E4"/>
    <w:rsid w:val="00EE550F"/>
    <w:rsid w:val="00EF6FFD"/>
    <w:rsid w:val="00F230CD"/>
    <w:rsid w:val="00F474ED"/>
    <w:rsid w:val="00F51C18"/>
    <w:rsid w:val="00F80832"/>
    <w:rsid w:val="00F84C41"/>
    <w:rsid w:val="00F90F6C"/>
    <w:rsid w:val="00FA31E2"/>
    <w:rsid w:val="00FB47F2"/>
    <w:rsid w:val="00FB7864"/>
    <w:rsid w:val="00FC0784"/>
    <w:rsid w:val="00FD4219"/>
    <w:rsid w:val="00FD7A64"/>
    <w:rsid w:val="00FF3CDB"/>
    <w:rsid w:val="00FF5B70"/>
    <w:rsid w:val="00FF5BB9"/>
    <w:rsid w:val="03200C80"/>
    <w:rsid w:val="064C3B25"/>
    <w:rsid w:val="08EEF352"/>
    <w:rsid w:val="0FFA0629"/>
    <w:rsid w:val="206E1BF6"/>
    <w:rsid w:val="26DD5D7A"/>
    <w:rsid w:val="309AC6AF"/>
    <w:rsid w:val="3CA18CFD"/>
    <w:rsid w:val="462F46E6"/>
    <w:rsid w:val="48D7409E"/>
    <w:rsid w:val="495F9C2D"/>
    <w:rsid w:val="6C2AB016"/>
    <w:rsid w:val="7A46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48E5FD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4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096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96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096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2908B3"/>
    <w:pPr>
      <w:spacing w:before="144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2908B3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E96096"/>
    <w:pPr>
      <w:numPr>
        <w:ilvl w:val="1"/>
      </w:numPr>
      <w:spacing w:after="400"/>
    </w:pPr>
    <w:rPr>
      <w:rFonts w:ascii="Calibri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E96096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96096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096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096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C0AD7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E96096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7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7CD8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7CD8"/>
    <w:rPr>
      <w:sz w:val="20"/>
      <w:szCs w:val="20"/>
    </w:rPr>
  </w:style>
  <w:style w:type="character" w:styleId="Emphasis">
    <w:name w:val="Emphasis"/>
    <w:basedOn w:val="DefaultParagraphFont"/>
    <w:uiPriority w:val="13"/>
    <w:qFormat/>
    <w:rsid w:val="00B47CD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003"/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003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710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F3CE6C3FA0F4582C01A26330C14ED" ma:contentTypeVersion="13" ma:contentTypeDescription="Create a new document." ma:contentTypeScope="" ma:versionID="8736addef0d142f28ab50657dd2ce51c">
  <xsd:schema xmlns:xsd="http://www.w3.org/2001/XMLSchema" xmlns:xs="http://www.w3.org/2001/XMLSchema" xmlns:p="http://schemas.microsoft.com/office/2006/metadata/properties" xmlns:ns2="e05a3f98-8061-4047-b1f1-9fa6812163db" xmlns:ns3="a65dec89-a5eb-4931-8d4c-55f7b457c508" targetNamespace="http://schemas.microsoft.com/office/2006/metadata/properties" ma:root="true" ma:fieldsID="e1d75a6a4ef33db3bcd145ebaffa3854" ns2:_="" ns3:_="">
    <xsd:import namespace="e05a3f98-8061-4047-b1f1-9fa6812163db"/>
    <xsd:import namespace="a65dec89-a5eb-4931-8d4c-55f7b457c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a3f98-8061-4047-b1f1-9fa681216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dec89-a5eb-4931-8d4c-55f7b457c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cb26cb7-8cad-4884-8c6c-9be68ed4ff3f}" ma:internalName="TaxCatchAll" ma:showField="CatchAllData" ma:web="a65dec89-a5eb-4931-8d4c-55f7b457c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5dec89-a5eb-4931-8d4c-55f7b457c508" xsi:nil="true"/>
    <lcf76f155ced4ddcb4097134ff3c332f xmlns="e05a3f98-8061-4047-b1f1-9fa6812163d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ADEB5-DFD7-48A2-A518-99A1EC400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a3f98-8061-4047-b1f1-9fa6812163db"/>
    <ds:schemaRef ds:uri="a65dec89-a5eb-4931-8d4c-55f7b457c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a65dec89-a5eb-4931-8d4c-55f7b457c508"/>
    <ds:schemaRef ds:uri="e05a3f98-8061-4047-b1f1-9fa6812163db"/>
  </ds:schemaRefs>
</ds:datastoreItem>
</file>

<file path=customXml/itemProps4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APS Employee Census Action Plan</dc:title>
  <dc:subject/>
  <dc:creator/>
  <cp:keywords/>
  <dc:description/>
  <cp:lastModifiedBy/>
  <cp:revision>1</cp:revision>
  <dcterms:created xsi:type="dcterms:W3CDTF">2023-11-27T22:33:00Z</dcterms:created>
  <dcterms:modified xsi:type="dcterms:W3CDTF">2023-11-27T22:33:00Z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0x01010000DF3CE6C3FA0F4582C01A26330C14ED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5f877481-9e35-4b68-b667-876a73c6db41_Enabled">
    <vt:lpwstr>true</vt:lpwstr>
  </property>
  <property fmtid="{D5CDD505-2E9C-101B-9397-08002B2CF9AE}" pid="7" name="MSIP_Label_5f877481-9e35-4b68-b667-876a73c6db41_SetDate">
    <vt:lpwstr>2022-06-10T08:33:01Z</vt:lpwstr>
  </property>
  <property fmtid="{D5CDD505-2E9C-101B-9397-08002B2CF9AE}" pid="8" name="MSIP_Label_5f877481-9e35-4b68-b667-876a73c6db41_Method">
    <vt:lpwstr>Privileged</vt:lpwstr>
  </property>
  <property fmtid="{D5CDD505-2E9C-101B-9397-08002B2CF9AE}" pid="9" name="MSIP_Label_5f877481-9e35-4b68-b667-876a73c6db41_Name">
    <vt:lpwstr>5f877481-9e35-4b68-b667-876a73c6db41</vt:lpwstr>
  </property>
  <property fmtid="{D5CDD505-2E9C-101B-9397-08002B2CF9AE}" pid="10" name="MSIP_Label_5f877481-9e35-4b68-b667-876a73c6db41_SiteId">
    <vt:lpwstr>dd0cfd15-4558-4b12-8bad-ea26984fc417</vt:lpwstr>
  </property>
  <property fmtid="{D5CDD505-2E9C-101B-9397-08002B2CF9AE}" pid="11" name="MSIP_Label_5f877481-9e35-4b68-b667-876a73c6db41_ActionId">
    <vt:lpwstr>8381a4e7-75e1-4b70-ae6b-8a9d80331d08</vt:lpwstr>
  </property>
  <property fmtid="{D5CDD505-2E9C-101B-9397-08002B2CF9AE}" pid="12" name="MSIP_Label_5f877481-9e35-4b68-b667-876a73c6db41_ContentBits">
    <vt:lpwstr>0</vt:lpwstr>
  </property>
  <property fmtid="{D5CDD505-2E9C-101B-9397-08002B2CF9AE}" pid="13" name="MediaServiceImageTags">
    <vt:lpwstr/>
  </property>
</Properties>
</file>