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8465F9">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8465F9">
      <w:pPr>
        <w:spacing w:before="100" w:beforeAutospacing="1" w:after="0"/>
        <w:sectPr w:rsidR="00EC6A53" w:rsidSect="00951591">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40B2491A" w:rsidR="000D06F7" w:rsidRDefault="008465F9" w:rsidP="0076398A">
      <w:pPr>
        <w:pStyle w:val="Title"/>
      </w:pPr>
      <w:r>
        <w:rPr>
          <w:noProof/>
        </w:rPr>
        <w:drawing>
          <wp:anchor distT="0" distB="0" distL="114300" distR="114300" simplePos="0" relativeHeight="251660288" behindDoc="1" locked="0" layoutInCell="1" allowOverlap="1" wp14:anchorId="0BCB2F13" wp14:editId="4E387845">
            <wp:simplePos x="0" y="0"/>
            <wp:positionH relativeFrom="column">
              <wp:posOffset>6052820</wp:posOffset>
            </wp:positionH>
            <wp:positionV relativeFrom="paragraph">
              <wp:posOffset>1057275</wp:posOffset>
            </wp:positionV>
            <wp:extent cx="3419475" cy="3829050"/>
            <wp:effectExtent l="0" t="0" r="9525" b="0"/>
            <wp:wrapTight wrapText="bothSides">
              <wp:wrapPolygon edited="0">
                <wp:start x="0" y="0"/>
                <wp:lineTo x="0" y="21493"/>
                <wp:lineTo x="21540" y="21493"/>
                <wp:lineTo x="21540" y="0"/>
                <wp:lineTo x="0" y="0"/>
              </wp:wrapPolygon>
            </wp:wrapTight>
            <wp:docPr id="4" name="Picture 4" descr="Geographical map of the Mid North S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ographical map of the Mid North SA Employment Region."/>
                    <pic:cNvPicPr/>
                  </pic:nvPicPr>
                  <pic:blipFill rotWithShape="1">
                    <a:blip r:embed="rId19"/>
                    <a:srcRect b="10612"/>
                    <a:stretch/>
                  </pic:blipFill>
                  <pic:spPr bwMode="auto">
                    <a:xfrm>
                      <a:off x="0" y="0"/>
                      <a:ext cx="3419475"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374AEBD5" w14:textId="559F1A8B" w:rsidR="000D06F7" w:rsidRPr="000D06F7" w:rsidRDefault="00851085" w:rsidP="008465F9">
      <w:pPr>
        <w:pStyle w:val="Subtitle"/>
        <w:spacing w:after="0"/>
        <w:rPr>
          <w:rStyle w:val="Strong"/>
          <w:b/>
          <w:bCs w:val="0"/>
        </w:rPr>
      </w:pPr>
      <w:r>
        <w:t>Mid North</w:t>
      </w:r>
      <w:r w:rsidR="00F15356">
        <w:t xml:space="preserve"> SA</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SA</w:t>
      </w:r>
      <w:r w:rsidR="000D06F7" w:rsidRPr="000D06F7">
        <w:rPr>
          <w:color w:val="0076BD" w:themeColor="text2"/>
        </w:rPr>
        <w:t xml:space="preserve"> | </w:t>
      </w:r>
      <w:r w:rsidR="000D6712">
        <w:rPr>
          <w:rStyle w:val="Strong"/>
          <w:b/>
          <w:bCs w:val="0"/>
        </w:rPr>
        <w:t>January</w:t>
      </w:r>
      <w:r w:rsidR="00E41CC6">
        <w:rPr>
          <w:rStyle w:val="Strong"/>
          <w:b/>
          <w:bCs w:val="0"/>
        </w:rPr>
        <w:t xml:space="preserve"> </w:t>
      </w:r>
      <w:r>
        <w:rPr>
          <w:rStyle w:val="Strong"/>
          <w:b/>
          <w:bCs w:val="0"/>
        </w:rPr>
        <w:t>202</w:t>
      </w:r>
      <w:r w:rsidR="000D6712">
        <w:rPr>
          <w:rStyle w:val="Strong"/>
          <w:b/>
          <w:bCs w:val="0"/>
        </w:rPr>
        <w:t>3</w:t>
      </w:r>
    </w:p>
    <w:p w14:paraId="2C158648" w14:textId="550361CF" w:rsidR="008465F9" w:rsidRDefault="005F0144" w:rsidP="008465F9">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8465F9">
      <w:pPr>
        <w:pStyle w:val="Heading2"/>
        <w:sectPr w:rsidR="000D06F7" w:rsidSect="00F15356">
          <w:type w:val="continuous"/>
          <w:pgSz w:w="16840" w:h="23820"/>
          <w:pgMar w:top="3969" w:right="1418" w:bottom="1418" w:left="1418" w:header="0" w:footer="709" w:gutter="0"/>
          <w:cols w:space="708"/>
          <w:titlePg/>
          <w:docGrid w:linePitch="360"/>
        </w:sectPr>
      </w:pPr>
    </w:p>
    <w:p w14:paraId="2546DA31" w14:textId="7DCC1B83" w:rsidR="000D06F7" w:rsidRDefault="00F15356" w:rsidP="00F15356">
      <w:pPr>
        <w:pStyle w:val="Heading2"/>
      </w:pPr>
      <w:r>
        <w:rPr>
          <w:noProof/>
        </w:rPr>
        <mc:AlternateContent>
          <mc:Choice Requires="wps">
            <w:drawing>
              <wp:anchor distT="0" distB="0" distL="114300" distR="114300" simplePos="0" relativeHeight="251655167" behindDoc="1" locked="0" layoutInCell="1" allowOverlap="1" wp14:anchorId="7D7817BF" wp14:editId="18F925AF">
                <wp:simplePos x="0" y="0"/>
                <wp:positionH relativeFrom="column">
                  <wp:posOffset>-90805</wp:posOffset>
                </wp:positionH>
                <wp:positionV relativeFrom="page">
                  <wp:posOffset>3810000</wp:posOffset>
                </wp:positionV>
                <wp:extent cx="6000750" cy="32397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0750" cy="32397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50A7A" id="Rectangle 3" o:spid="_x0000_s1026" alt="&quot;&quot;" style="position:absolute;margin-left:-7.15pt;margin-top:300pt;width:472.5pt;height:255.1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" fillcolor="#f4f4f4" stroked="f" strokeweight="1pt">
                <w10:wrap anchory="page"/>
              </v:rect>
            </w:pict>
          </mc:Fallback>
        </mc:AlternateContent>
      </w:r>
      <w:r w:rsidR="000D06F7">
        <w:t xml:space="preserve">Local Jobs </w:t>
      </w:r>
      <w:r w:rsidR="00D17E31">
        <w:t>e</w:t>
      </w:r>
      <w:r w:rsidR="000D06F7">
        <w:t>lements</w:t>
      </w:r>
    </w:p>
    <w:p w14:paraId="2A2D61C5" w14:textId="0FFB0DE2" w:rsidR="000D06F7" w:rsidRDefault="000D06F7" w:rsidP="00F15356">
      <w:pPr>
        <w:pStyle w:val="Heading3"/>
      </w:pPr>
      <w:r>
        <w:t>Local Jobs Plan</w:t>
      </w:r>
    </w:p>
    <w:p w14:paraId="2A0C7F7C" w14:textId="390EEA19" w:rsidR="000D06F7" w:rsidRDefault="000D06F7" w:rsidP="008465F9">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8465F9">
      <w:pPr>
        <w:pStyle w:val="Heading3"/>
      </w:pPr>
      <w:r>
        <w:t>Employment Facilitators</w:t>
      </w:r>
    </w:p>
    <w:p w14:paraId="53449B5D" w14:textId="633FD48E" w:rsidR="000D06F7" w:rsidRDefault="000D06F7" w:rsidP="008465F9">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3C2A6004" w:rsidR="000D06F7" w:rsidRDefault="000D06F7" w:rsidP="008465F9">
      <w:pPr>
        <w:pStyle w:val="Heading3"/>
        <w:spacing w:before="0"/>
      </w:pPr>
      <w:r>
        <w:t>Local Jobs and Skills Taskforce</w:t>
      </w:r>
    </w:p>
    <w:p w14:paraId="1A643F67" w14:textId="28CBD15B" w:rsidR="000D06F7" w:rsidRDefault="000D06F7" w:rsidP="008465F9">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00C21029" w:rsidR="000D06F7" w:rsidRDefault="000D06F7" w:rsidP="008465F9">
      <w:pPr>
        <w:pStyle w:val="Heading3"/>
      </w:pPr>
      <w:r>
        <w:t xml:space="preserve">Local Recovery and National Priority Funds </w:t>
      </w:r>
    </w:p>
    <w:p w14:paraId="595F4A1A" w14:textId="6435E0EA" w:rsidR="000D06F7" w:rsidRDefault="00357EC2" w:rsidP="008465F9">
      <w:pPr>
        <w:spacing w:after="120"/>
        <w:sectPr w:rsidR="000D06F7" w:rsidSect="008465F9">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10DD071C" wp14:editId="2F945C4C">
                <wp:simplePos x="0" y="0"/>
                <wp:positionH relativeFrom="column">
                  <wp:posOffset>2934970</wp:posOffset>
                </wp:positionH>
                <wp:positionV relativeFrom="page">
                  <wp:posOffset>6395720</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207A4316" w:rsidR="00DD7333" w:rsidRPr="00E61F67" w:rsidRDefault="0095291A" w:rsidP="00ED5138">
                            <w:pPr>
                              <w:spacing w:after="0"/>
                              <w:jc w:val="center"/>
                              <w:rPr>
                                <w:color w:val="051532" w:themeColor="text1"/>
                              </w:rPr>
                            </w:pPr>
                            <w:r w:rsidRPr="00E61F67">
                              <w:rPr>
                                <w:color w:val="051532" w:themeColor="text1"/>
                              </w:rPr>
                              <w:t>Explore labour market insights for</w:t>
                            </w:r>
                            <w:r w:rsidR="0076398A">
                              <w:rPr>
                                <w:color w:val="051532" w:themeColor="text1"/>
                              </w:rPr>
                              <w:t xml:space="preserve"> the</w:t>
                            </w:r>
                            <w:r w:rsidRPr="00E61F67">
                              <w:rPr>
                                <w:color w:val="051532" w:themeColor="text1"/>
                              </w:rPr>
                              <w:t xml:space="preserve"> </w:t>
                            </w:r>
                            <w:r w:rsidR="00ED5138" w:rsidRPr="00E61F67">
                              <w:rPr>
                                <w:color w:val="051532" w:themeColor="text1"/>
                              </w:rPr>
                              <w:br/>
                            </w:r>
                            <w:hyperlink r:id="rId20" w:history="1">
                              <w:r w:rsidR="00157DD6" w:rsidRPr="003F40DC">
                                <w:rPr>
                                  <w:rStyle w:val="Hyperlink"/>
                                </w:rPr>
                                <w:t>Mid North SA</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1.1pt;margin-top:503.6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" fillcolor="#f4f4f4" stroked="f" strokeweight="1.25pt">
                <v:stroke joinstyle="miter"/>
                <v:textbox>
                  <w:txbxContent>
                    <w:p w14:paraId="03757906" w14:textId="207A4316" w:rsidR="00DD7333" w:rsidRPr="00E61F67" w:rsidRDefault="0095291A" w:rsidP="00ED5138">
                      <w:pPr>
                        <w:spacing w:after="0"/>
                        <w:jc w:val="center"/>
                        <w:rPr>
                          <w:color w:val="051532" w:themeColor="text1"/>
                        </w:rPr>
                      </w:pPr>
                      <w:r w:rsidRPr="00E61F67">
                        <w:rPr>
                          <w:color w:val="051532" w:themeColor="text1"/>
                        </w:rPr>
                        <w:t>Explore labour market insights for</w:t>
                      </w:r>
                      <w:r w:rsidR="0076398A">
                        <w:rPr>
                          <w:color w:val="051532" w:themeColor="text1"/>
                        </w:rPr>
                        <w:t xml:space="preserve"> the</w:t>
                      </w:r>
                      <w:r w:rsidRPr="00E61F67">
                        <w:rPr>
                          <w:color w:val="051532" w:themeColor="text1"/>
                        </w:rPr>
                        <w:t xml:space="preserve"> </w:t>
                      </w:r>
                      <w:r w:rsidR="00ED5138" w:rsidRPr="00E61F67">
                        <w:rPr>
                          <w:color w:val="051532" w:themeColor="text1"/>
                        </w:rPr>
                        <w:br/>
                      </w:r>
                      <w:hyperlink r:id="rId21" w:history="1">
                        <w:r w:rsidR="00157DD6" w:rsidRPr="003F40DC">
                          <w:rPr>
                            <w:rStyle w:val="Hyperlink"/>
                          </w:rPr>
                          <w:t>Mid North SA</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p>
    <w:p w14:paraId="4C34E113" w14:textId="3D9652C5" w:rsidR="00DD7333" w:rsidRPr="008C50DF" w:rsidRDefault="00D97972" w:rsidP="00F15356">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8465F9">
      <w:pPr>
        <w:numPr>
          <w:ilvl w:val="0"/>
          <w:numId w:val="14"/>
        </w:numPr>
        <w:spacing w:after="120"/>
        <w:ind w:left="0"/>
        <w:sectPr w:rsidR="00DD7333" w:rsidSect="008465F9">
          <w:headerReference w:type="default" r:id="rId22"/>
          <w:type w:val="continuous"/>
          <w:pgSz w:w="16840" w:h="23820"/>
          <w:pgMar w:top="1418" w:right="1418" w:bottom="1418" w:left="1418" w:header="0" w:footer="709" w:gutter="0"/>
          <w:cols w:space="708"/>
          <w:titlePg/>
          <w:docGrid w:linePitch="360"/>
        </w:sectPr>
      </w:pPr>
    </w:p>
    <w:p w14:paraId="0D801115" w14:textId="2214FE22" w:rsidR="00250763" w:rsidRPr="00AB0F24" w:rsidRDefault="00ED4A82" w:rsidP="008465F9">
      <w:pPr>
        <w:numPr>
          <w:ilvl w:val="0"/>
          <w:numId w:val="14"/>
        </w:numPr>
        <w:spacing w:after="0"/>
        <w:ind w:left="284" w:hanging="284"/>
      </w:pPr>
      <w:r>
        <w:t>Parts of the region face high levels of socio-</w:t>
      </w:r>
      <w:r w:rsidR="00FF4D19">
        <w:t>economic</w:t>
      </w:r>
      <w:r>
        <w:t xml:space="preserve"> disadvantage, including </w:t>
      </w:r>
      <w:r w:rsidR="00FF4D19">
        <w:t>historically</w:t>
      </w:r>
      <w:r>
        <w:t xml:space="preserve"> high unemployment</w:t>
      </w:r>
      <w:r w:rsidR="00FF4D19">
        <w:t xml:space="preserve"> levels, intergenerational </w:t>
      </w:r>
      <w:r w:rsidR="00B0707D">
        <w:t>unemployment,</w:t>
      </w:r>
      <w:r w:rsidR="00FF4D19">
        <w:t xml:space="preserve"> and high </w:t>
      </w:r>
      <w:r w:rsidR="00B0707D">
        <w:t>proportions</w:t>
      </w:r>
      <w:r w:rsidR="00FF4D19">
        <w:t xml:space="preserve"> of jobless families</w:t>
      </w:r>
      <w:r w:rsidR="00C36638">
        <w:t>.</w:t>
      </w:r>
    </w:p>
    <w:p w14:paraId="1B1E7883" w14:textId="25CC5ABD" w:rsidR="00250763" w:rsidRDefault="00D43014" w:rsidP="008465F9">
      <w:pPr>
        <w:numPr>
          <w:ilvl w:val="0"/>
          <w:numId w:val="14"/>
        </w:numPr>
        <w:spacing w:after="0"/>
        <w:ind w:left="284" w:hanging="284"/>
      </w:pPr>
      <w:r>
        <w:t>A</w:t>
      </w:r>
      <w:r w:rsidR="000A7FA4">
        <w:t>ccess to</w:t>
      </w:r>
      <w:r w:rsidR="00A56520">
        <w:t xml:space="preserve"> private and public transport</w:t>
      </w:r>
      <w:r w:rsidR="000A7FA4">
        <w:t xml:space="preserve"> and support for individuals to gain a </w:t>
      </w:r>
      <w:r w:rsidR="0008128A">
        <w:t>driver’s</w:t>
      </w:r>
      <w:r w:rsidR="000A7FA4">
        <w:t xml:space="preserve"> licence</w:t>
      </w:r>
      <w:r w:rsidR="00C36638">
        <w:t>.</w:t>
      </w:r>
    </w:p>
    <w:p w14:paraId="7291C08C" w14:textId="03A48905" w:rsidR="002514C1" w:rsidRPr="00AB0F24" w:rsidRDefault="002514C1" w:rsidP="008465F9">
      <w:pPr>
        <w:numPr>
          <w:ilvl w:val="0"/>
          <w:numId w:val="14"/>
        </w:numPr>
        <w:spacing w:after="0"/>
        <w:ind w:left="284" w:hanging="284"/>
      </w:pPr>
      <w:r>
        <w:t>Low levels of VET uptake and completion</w:t>
      </w:r>
      <w:r w:rsidR="00127ECB">
        <w:t xml:space="preserve"> rates</w:t>
      </w:r>
      <w:r>
        <w:t xml:space="preserve"> and </w:t>
      </w:r>
      <w:r w:rsidR="00F90A50">
        <w:t>the need for</w:t>
      </w:r>
      <w:r w:rsidR="00905F86">
        <w:t xml:space="preserve"> </w:t>
      </w:r>
      <w:proofErr w:type="gramStart"/>
      <w:r w:rsidR="00905F86">
        <w:t>locally</w:t>
      </w:r>
      <w:r w:rsidR="00ED2C31">
        <w:t>-</w:t>
      </w:r>
      <w:r w:rsidR="00905F86">
        <w:t>based</w:t>
      </w:r>
      <w:proofErr w:type="gramEnd"/>
      <w:r w:rsidR="00905F86">
        <w:t xml:space="preserve"> trainers and training providers aligned to industry skill needs</w:t>
      </w:r>
      <w:r w:rsidR="00C36638">
        <w:t>.</w:t>
      </w:r>
    </w:p>
    <w:p w14:paraId="05E11C34" w14:textId="2BC1D044" w:rsidR="00250763" w:rsidRPr="00AB0F24" w:rsidRDefault="00ED24F6" w:rsidP="008465F9">
      <w:pPr>
        <w:numPr>
          <w:ilvl w:val="0"/>
          <w:numId w:val="14"/>
        </w:numPr>
        <w:spacing w:after="0"/>
        <w:ind w:left="284" w:hanging="284"/>
      </w:pPr>
      <w:r w:rsidRPr="00AB0F24">
        <w:br w:type="column"/>
      </w:r>
      <w:r w:rsidR="00D36030">
        <w:t>O</w:t>
      </w:r>
      <w:r w:rsidR="007C5EC7">
        <w:t xml:space="preserve">lder population </w:t>
      </w:r>
      <w:r w:rsidR="002F293B">
        <w:t xml:space="preserve">profile </w:t>
      </w:r>
      <w:r w:rsidR="007C5EC7">
        <w:t>and ageing workforce</w:t>
      </w:r>
      <w:r w:rsidR="00F621C5">
        <w:t xml:space="preserve"> </w:t>
      </w:r>
      <w:r w:rsidR="002F293B">
        <w:t xml:space="preserve">presents opportunities to </w:t>
      </w:r>
      <w:r w:rsidR="00A7021A">
        <w:t>explore how to attract and retain mature aged people and their skills to address workforce shortages</w:t>
      </w:r>
      <w:r w:rsidR="00C36638">
        <w:t>.</w:t>
      </w:r>
    </w:p>
    <w:p w14:paraId="7CBD66E7" w14:textId="7CFC48E9" w:rsidR="00DD7333" w:rsidRDefault="004E6B71" w:rsidP="008465F9">
      <w:pPr>
        <w:numPr>
          <w:ilvl w:val="0"/>
          <w:numId w:val="14"/>
        </w:numPr>
        <w:spacing w:after="0"/>
        <w:ind w:left="284" w:hanging="284"/>
      </w:pPr>
      <w:r>
        <w:t xml:space="preserve">Significant investment pipeline in renewables, resources and construction </w:t>
      </w:r>
      <w:r w:rsidR="00F57A8C">
        <w:t>and unmet demand for entry level roles in health, age</w:t>
      </w:r>
      <w:r w:rsidR="005B43CC">
        <w:t>d</w:t>
      </w:r>
      <w:r w:rsidR="00F57A8C">
        <w:t xml:space="preserve"> and disability care, </w:t>
      </w:r>
      <w:r w:rsidR="00836950">
        <w:t>hospitality,</w:t>
      </w:r>
      <w:r w:rsidR="00F57A8C">
        <w:t xml:space="preserve"> and retail</w:t>
      </w:r>
      <w:r w:rsidR="00C36638">
        <w:t>.</w:t>
      </w:r>
    </w:p>
    <w:p w14:paraId="39F56A60" w14:textId="455F7EBE" w:rsidR="002514C1" w:rsidRPr="00AB0F24" w:rsidRDefault="0008128A" w:rsidP="008465F9">
      <w:pPr>
        <w:numPr>
          <w:ilvl w:val="0"/>
          <w:numId w:val="14"/>
        </w:numPr>
        <w:spacing w:after="120"/>
        <w:ind w:left="284" w:hanging="284"/>
        <w:sectPr w:rsidR="002514C1" w:rsidRPr="00AB0F24" w:rsidSect="00F15356">
          <w:type w:val="continuous"/>
          <w:pgSz w:w="16840" w:h="23820"/>
          <w:pgMar w:top="1418" w:right="822" w:bottom="1418" w:left="1418" w:header="0" w:footer="709" w:gutter="0"/>
          <w:cols w:num="2" w:space="708"/>
          <w:titlePg/>
          <w:docGrid w:linePitch="360"/>
        </w:sectPr>
      </w:pPr>
      <w:r>
        <w:t xml:space="preserve">Untapped labour market potential due to high levels of youth </w:t>
      </w:r>
      <w:r w:rsidR="00640B0F">
        <w:t>unemployment, part</w:t>
      </w:r>
      <w:r>
        <w:t>-time and casual</w:t>
      </w:r>
      <w:r w:rsidR="00640B0F">
        <w:t xml:space="preserve"> work</w:t>
      </w:r>
      <w:r w:rsidR="00ED2C31">
        <w:t>,</w:t>
      </w:r>
      <w:r w:rsidR="00640B0F">
        <w:t xml:space="preserve"> and </w:t>
      </w:r>
      <w:r w:rsidR="00D36030">
        <w:t>people not in the labour force</w:t>
      </w:r>
      <w:r w:rsidR="00C36638">
        <w:t>.</w:t>
      </w:r>
    </w:p>
    <w:p w14:paraId="408C2363" w14:textId="5BB8478F" w:rsidR="00A8385D" w:rsidRPr="008C50DF" w:rsidRDefault="00547102" w:rsidP="008465F9">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7346D25B" w:rsidR="00A8385D" w:rsidRDefault="00A8385D" w:rsidP="008465F9">
      <w:pPr>
        <w:pStyle w:val="Heading3"/>
        <w:spacing w:before="120"/>
      </w:pPr>
      <w:r>
        <w:t xml:space="preserve">Priority 1 </w:t>
      </w:r>
      <w:r w:rsidRPr="00B35A6C">
        <w:t>–</w:t>
      </w:r>
      <w:r>
        <w:t xml:space="preserve"> </w:t>
      </w:r>
      <w:r w:rsidR="005A0537" w:rsidRPr="001C72B0">
        <w:rPr>
          <w:rFonts w:eastAsiaTheme="minorHAnsi"/>
        </w:rPr>
        <w:t>Maximise opportunities for local jobs to be filled by local job seekers</w:t>
      </w:r>
      <w:r w:rsidR="005A0537">
        <w:rPr>
          <w:rFonts w:eastAsiaTheme="minorHAnsi"/>
        </w:rPr>
        <w:t xml:space="preserve">, </w:t>
      </w:r>
      <w:r w:rsidR="005A0537" w:rsidRPr="00A751DD">
        <w:rPr>
          <w:rFonts w:eastAsiaTheme="minorHAnsi"/>
        </w:rPr>
        <w:t xml:space="preserve">ensuring </w:t>
      </w:r>
      <w:r w:rsidR="00AD61B8">
        <w:rPr>
          <w:rFonts w:eastAsiaTheme="minorHAnsi"/>
        </w:rPr>
        <w:t>individuals</w:t>
      </w:r>
      <w:r w:rsidR="005A0537" w:rsidRPr="00A751DD">
        <w:rPr>
          <w:rFonts w:eastAsiaTheme="minorHAnsi"/>
        </w:rPr>
        <w:t xml:space="preserve"> are adequately skilled and supported to take</w:t>
      </w:r>
      <w:r w:rsidR="00D43014">
        <w:rPr>
          <w:rFonts w:eastAsiaTheme="minorHAnsi"/>
        </w:rPr>
        <w:t>-</w:t>
      </w:r>
      <w:r w:rsidR="005A0537" w:rsidRPr="00A751DD">
        <w:rPr>
          <w:rFonts w:eastAsiaTheme="minorHAnsi"/>
        </w:rPr>
        <w:t>up employment opportunities including traineeships and apprenticeships</w:t>
      </w:r>
    </w:p>
    <w:p w14:paraId="09F1A8FF" w14:textId="095CC979" w:rsidR="00A8385D" w:rsidRDefault="00A8385D" w:rsidP="008465F9">
      <w:pPr>
        <w:pStyle w:val="Heading4"/>
        <w:spacing w:before="0"/>
      </w:pPr>
      <w:r>
        <w:t>What are our challenges</w:t>
      </w:r>
      <w:r w:rsidR="00D43014">
        <w:t xml:space="preserve"> and opportunities</w:t>
      </w:r>
      <w:r>
        <w:t>?</w:t>
      </w:r>
    </w:p>
    <w:p w14:paraId="16ECE3BB" w14:textId="7D73D30B" w:rsidR="00A8385D" w:rsidRPr="00AB0F24" w:rsidRDefault="00DB3CC1" w:rsidP="008465F9">
      <w:pPr>
        <w:spacing w:after="0"/>
      </w:pPr>
      <w:r>
        <w:t xml:space="preserve">Parts of the region experience </w:t>
      </w:r>
      <w:r w:rsidR="00525FC6">
        <w:t>high levels of disadvantage including entrenched unemployment and high levels of socio-economic disadvantage</w:t>
      </w:r>
      <w:r w:rsidR="00F81BD8">
        <w:t>. T</w:t>
      </w:r>
      <w:r w:rsidR="007125DD">
        <w:t xml:space="preserve">he barriers faced by </w:t>
      </w:r>
      <w:r w:rsidR="00AD61B8">
        <w:t>individuals</w:t>
      </w:r>
      <w:r w:rsidR="007125DD">
        <w:t xml:space="preserve"> include </w:t>
      </w:r>
      <w:r w:rsidR="00D45CA2">
        <w:t>work readiness,</w:t>
      </w:r>
      <w:r w:rsidR="0024273B">
        <w:t xml:space="preserve"> fitness for work,</w:t>
      </w:r>
      <w:r w:rsidR="00D45CA2">
        <w:t xml:space="preserve"> transport</w:t>
      </w:r>
      <w:r w:rsidR="007125DD">
        <w:t>/driver</w:t>
      </w:r>
      <w:r w:rsidR="00D43014">
        <w:t>’</w:t>
      </w:r>
      <w:r w:rsidR="007125DD">
        <w:t>s licences</w:t>
      </w:r>
      <w:r w:rsidR="00D43014">
        <w:t>,</w:t>
      </w:r>
      <w:r w:rsidR="00D45CA2">
        <w:t xml:space="preserve"> and child care. </w:t>
      </w:r>
    </w:p>
    <w:p w14:paraId="18E92D0A" w14:textId="77777777" w:rsidR="00A8385D" w:rsidRDefault="00A8385D" w:rsidP="008465F9">
      <w:pPr>
        <w:pStyle w:val="Heading4"/>
        <w:spacing w:before="0"/>
        <w:rPr>
          <w:iCs w:val="0"/>
        </w:rPr>
      </w:pPr>
      <w:r w:rsidRPr="00250763">
        <w:rPr>
          <w:iCs w:val="0"/>
        </w:rPr>
        <w:t>How are we responding?</w:t>
      </w:r>
    </w:p>
    <w:p w14:paraId="19544526" w14:textId="3261B2D1" w:rsidR="00590A3C" w:rsidRPr="00590A3C" w:rsidRDefault="00590A3C" w:rsidP="00D43014">
      <w:pPr>
        <w:pStyle w:val="ListBullet"/>
        <w:spacing w:after="0" w:line="276" w:lineRule="auto"/>
      </w:pPr>
      <w:r w:rsidRPr="00590A3C">
        <w:t>Ensur</w:t>
      </w:r>
      <w:r w:rsidR="00D73307">
        <w:t>ing</w:t>
      </w:r>
      <w:r w:rsidRPr="00590A3C">
        <w:t xml:space="preserve"> local employment initiatives include work readiness skills such as life skills, work hardening, work experience and work exposure activities</w:t>
      </w:r>
      <w:r w:rsidR="00D43014">
        <w:t>.</w:t>
      </w:r>
    </w:p>
    <w:p w14:paraId="50ED759B" w14:textId="75C10DA0" w:rsidR="00590A3C" w:rsidRPr="00590A3C" w:rsidRDefault="00590A3C" w:rsidP="00D43014">
      <w:pPr>
        <w:pStyle w:val="ListBullet"/>
        <w:spacing w:after="0" w:line="276" w:lineRule="auto"/>
      </w:pPr>
      <w:r w:rsidRPr="00590A3C">
        <w:t>Support</w:t>
      </w:r>
      <w:r w:rsidR="00D73307">
        <w:t xml:space="preserve">ing </w:t>
      </w:r>
      <w:r w:rsidR="00AD61B8">
        <w:t>individuals</w:t>
      </w:r>
      <w:r w:rsidRPr="00590A3C">
        <w:t xml:space="preserve"> to tap into the hidden jobs market, including increasing awareness of local employers, job opportunities and career pathways</w:t>
      </w:r>
      <w:r w:rsidR="00D43014">
        <w:t>.</w:t>
      </w:r>
    </w:p>
    <w:p w14:paraId="40C59AFE" w14:textId="7FD300BA" w:rsidR="00590A3C" w:rsidRPr="00590A3C" w:rsidRDefault="00590A3C" w:rsidP="00D43014">
      <w:pPr>
        <w:pStyle w:val="ListBullet"/>
        <w:spacing w:after="0" w:line="276" w:lineRule="auto"/>
      </w:pPr>
      <w:r w:rsidRPr="00590A3C">
        <w:t>Support</w:t>
      </w:r>
      <w:r w:rsidR="00D73307">
        <w:t>ing</w:t>
      </w:r>
      <w:r w:rsidRPr="00590A3C">
        <w:t xml:space="preserve"> </w:t>
      </w:r>
      <w:r w:rsidR="00AD61B8">
        <w:t>individuals</w:t>
      </w:r>
      <w:r w:rsidRPr="00590A3C">
        <w:t xml:space="preserve"> to identify their qualities and sell themselves to employers</w:t>
      </w:r>
      <w:r w:rsidR="00D43014">
        <w:t>.</w:t>
      </w:r>
    </w:p>
    <w:p w14:paraId="77D7DA63" w14:textId="5CCFCEB0" w:rsidR="00590A3C" w:rsidRPr="00590A3C" w:rsidRDefault="00590A3C" w:rsidP="00D43014">
      <w:pPr>
        <w:pStyle w:val="ListBullet"/>
        <w:spacing w:after="0" w:line="276" w:lineRule="auto"/>
      </w:pPr>
      <w:r w:rsidRPr="00590A3C">
        <w:t>Focus</w:t>
      </w:r>
      <w:r w:rsidR="00D73307">
        <w:t>ing</w:t>
      </w:r>
      <w:r w:rsidRPr="00590A3C">
        <w:t xml:space="preserve"> on addressing non-vocational barriers to employment such as drug and alcohol, fitness for work, transport</w:t>
      </w:r>
      <w:r w:rsidR="00D43014">
        <w:t>,</w:t>
      </w:r>
      <w:r w:rsidRPr="00590A3C">
        <w:t xml:space="preserve"> and child</w:t>
      </w:r>
      <w:r w:rsidR="00F81BD8">
        <w:t xml:space="preserve"> </w:t>
      </w:r>
      <w:r w:rsidRPr="00590A3C">
        <w:t>care access</w:t>
      </w:r>
      <w:r w:rsidR="00D43014">
        <w:t>.</w:t>
      </w:r>
    </w:p>
    <w:p w14:paraId="2EE1F92F" w14:textId="2B391E2A" w:rsidR="00590A3C" w:rsidRPr="00590A3C" w:rsidRDefault="00590A3C" w:rsidP="00D43014">
      <w:pPr>
        <w:pStyle w:val="ListBullet"/>
        <w:spacing w:after="0" w:line="276" w:lineRule="auto"/>
      </w:pPr>
      <w:r w:rsidRPr="00590A3C">
        <w:t>Identify</w:t>
      </w:r>
      <w:r w:rsidR="00D73307">
        <w:t>ing</w:t>
      </w:r>
      <w:r w:rsidRPr="00590A3C">
        <w:t xml:space="preserve"> opportunities to engage with people not in the labour market and untapped labour potential within the region</w:t>
      </w:r>
      <w:r w:rsidR="00D43014">
        <w:t>.</w:t>
      </w:r>
    </w:p>
    <w:p w14:paraId="1A154858" w14:textId="17A70D94" w:rsidR="00590A3C" w:rsidRPr="002703E9" w:rsidRDefault="00D73307" w:rsidP="00D73307">
      <w:pPr>
        <w:pStyle w:val="ListBullet"/>
        <w:spacing w:after="0" w:line="276" w:lineRule="auto"/>
      </w:pPr>
      <w:r>
        <w:t>Identifying i</w:t>
      </w:r>
      <w:r w:rsidR="00590A3C" w:rsidRPr="00590A3C">
        <w:t>nitiatives that will encourage and motivate employers to prioritise employment of local people</w:t>
      </w:r>
      <w:r w:rsidR="00D43014">
        <w:t>.</w:t>
      </w:r>
      <w:r w:rsidR="00576B4C">
        <w:t xml:space="preserve"> </w:t>
      </w:r>
      <w:r>
        <w:t xml:space="preserve">Examples include </w:t>
      </w:r>
      <w:r w:rsidR="00AD61B8">
        <w:t>m</w:t>
      </w:r>
      <w:r w:rsidR="00B15FE0" w:rsidRPr="002703E9">
        <w:t xml:space="preserve">eet the </w:t>
      </w:r>
      <w:r w:rsidR="00AD61B8">
        <w:t>e</w:t>
      </w:r>
      <w:r w:rsidR="00B15FE0" w:rsidRPr="002703E9">
        <w:t>mployer events</w:t>
      </w:r>
      <w:r>
        <w:t xml:space="preserve">, </w:t>
      </w:r>
      <w:r w:rsidR="00B15FE0" w:rsidRPr="002703E9">
        <w:t xml:space="preserve">development of a </w:t>
      </w:r>
      <w:r w:rsidR="00AD61B8">
        <w:t>c</w:t>
      </w:r>
      <w:r w:rsidR="00B15FE0" w:rsidRPr="002703E9">
        <w:t xml:space="preserve">are and </w:t>
      </w:r>
      <w:r w:rsidR="00AD61B8">
        <w:t>s</w:t>
      </w:r>
      <w:r w:rsidR="00B15FE0" w:rsidRPr="002703E9">
        <w:t xml:space="preserve">upport </w:t>
      </w:r>
      <w:r w:rsidR="00AD61B8">
        <w:t>s</w:t>
      </w:r>
      <w:r w:rsidR="00B15FE0" w:rsidRPr="002703E9">
        <w:t xml:space="preserve">ector </w:t>
      </w:r>
      <w:r w:rsidR="00AD61B8">
        <w:t>e</w:t>
      </w:r>
      <w:r w:rsidR="00A0394B">
        <w:t>mployment</w:t>
      </w:r>
      <w:r w:rsidR="00B15FE0" w:rsidRPr="002703E9">
        <w:t xml:space="preserve"> </w:t>
      </w:r>
      <w:r w:rsidR="00AD61B8">
        <w:t>g</w:t>
      </w:r>
      <w:r w:rsidR="00B15FE0" w:rsidRPr="002703E9">
        <w:t xml:space="preserve">uide, support for the approval of a new </w:t>
      </w:r>
      <w:r w:rsidR="00A002EB" w:rsidRPr="002703E9">
        <w:t>Certificate</w:t>
      </w:r>
      <w:r w:rsidR="00B15FE0" w:rsidRPr="002703E9">
        <w:t xml:space="preserve"> II in Resources and Infrastructure traineeship</w:t>
      </w:r>
      <w:r w:rsidR="00F81BD8">
        <w:t>,</w:t>
      </w:r>
      <w:r w:rsidR="00B15FE0" w:rsidRPr="002703E9">
        <w:t xml:space="preserve"> and </w:t>
      </w:r>
      <w:r w:rsidR="00A002EB" w:rsidRPr="002703E9">
        <w:t>a promotional campaign for the hospitality sector</w:t>
      </w:r>
      <w:r>
        <w:t>.</w:t>
      </w:r>
    </w:p>
    <w:p w14:paraId="4DFD8784" w14:textId="7EC09D3C" w:rsidR="00A8385D" w:rsidRDefault="00A8385D" w:rsidP="0076398A">
      <w:pPr>
        <w:pStyle w:val="Heading3"/>
      </w:pPr>
      <w:r w:rsidRPr="00250763">
        <w:t>Priority 2 –</w:t>
      </w:r>
      <w:r w:rsidR="00590A3C">
        <w:t xml:space="preserve"> </w:t>
      </w:r>
      <w:r w:rsidR="007C73F9">
        <w:t>Max</w:t>
      </w:r>
      <w:r w:rsidR="00590A3C">
        <w:t>i</w:t>
      </w:r>
      <w:r w:rsidR="007C73F9">
        <w:t xml:space="preserve">mise opportunities for partnerships between </w:t>
      </w:r>
      <w:r w:rsidR="003A760B">
        <w:t xml:space="preserve">Australian </w:t>
      </w:r>
      <w:r w:rsidR="00C36638">
        <w:t xml:space="preserve">and South Australian </w:t>
      </w:r>
      <w:r w:rsidR="007C73F9">
        <w:t>governments to create pathways into growth and emerging industries and prepare for future of work changes</w:t>
      </w:r>
    </w:p>
    <w:p w14:paraId="1244AEE5" w14:textId="5A39257A" w:rsidR="00A8385D" w:rsidRDefault="00A8385D" w:rsidP="008465F9">
      <w:pPr>
        <w:pStyle w:val="Heading4"/>
        <w:spacing w:before="0"/>
      </w:pPr>
      <w:r>
        <w:t>What are our challenges</w:t>
      </w:r>
      <w:r w:rsidR="00D43014">
        <w:t xml:space="preserve"> and opportunities</w:t>
      </w:r>
      <w:r>
        <w:t>?</w:t>
      </w:r>
    </w:p>
    <w:p w14:paraId="104E8983" w14:textId="66B792AA" w:rsidR="00250763" w:rsidRPr="00AB0F24" w:rsidRDefault="004B31C0" w:rsidP="008465F9">
      <w:pPr>
        <w:spacing w:after="0"/>
      </w:pPr>
      <w:r>
        <w:t>The region has a significant investment pipeline</w:t>
      </w:r>
      <w:r w:rsidR="009100C2">
        <w:t xml:space="preserve"> including a range of new and emerging </w:t>
      </w:r>
      <w:r w:rsidR="0085154A">
        <w:t>projects</w:t>
      </w:r>
      <w:r w:rsidR="009100C2">
        <w:t xml:space="preserve"> such as renewable energy</w:t>
      </w:r>
      <w:r w:rsidR="003F1FC2">
        <w:t xml:space="preserve">, and </w:t>
      </w:r>
      <w:r w:rsidR="003F7FC9">
        <w:t>significant demand in existing industries such as health care and social assistance, education and training</w:t>
      </w:r>
      <w:r w:rsidR="00D632D7">
        <w:t xml:space="preserve">, </w:t>
      </w:r>
      <w:r w:rsidR="00E3583B">
        <w:t>construction,</w:t>
      </w:r>
      <w:r w:rsidR="00D632D7">
        <w:t xml:space="preserve"> and heavy industry. </w:t>
      </w:r>
      <w:r w:rsidR="00247B0E">
        <w:t>Workforce responses have historically been reactive</w:t>
      </w:r>
      <w:r w:rsidR="003D65F8">
        <w:t xml:space="preserve">, with more focus needed on planning and </w:t>
      </w:r>
      <w:r w:rsidR="00951591">
        <w:t>long-term</w:t>
      </w:r>
      <w:r w:rsidR="003D65F8">
        <w:t xml:space="preserve"> solutions to address long</w:t>
      </w:r>
      <w:r w:rsidR="00F81BD8">
        <w:t>-</w:t>
      </w:r>
      <w:r w:rsidR="003D65F8">
        <w:t>term challenges, such as intergeneration</w:t>
      </w:r>
      <w:r w:rsidR="00A0394B">
        <w:t>al</w:t>
      </w:r>
      <w:r w:rsidR="003D65F8">
        <w:t xml:space="preserve"> unemployment and jobless families, and the decrease in VET uptake and completion rates. </w:t>
      </w:r>
    </w:p>
    <w:p w14:paraId="537AAC33" w14:textId="6C60D04B" w:rsidR="00A8385D" w:rsidRDefault="00A8385D" w:rsidP="008465F9">
      <w:pPr>
        <w:pStyle w:val="Heading4"/>
        <w:spacing w:before="0"/>
        <w:rPr>
          <w:iCs w:val="0"/>
        </w:rPr>
      </w:pPr>
      <w:r w:rsidRPr="00250763">
        <w:rPr>
          <w:iCs w:val="0"/>
        </w:rPr>
        <w:lastRenderedPageBreak/>
        <w:t>How are we responding?</w:t>
      </w:r>
    </w:p>
    <w:p w14:paraId="4BEAF79B" w14:textId="5F814307" w:rsidR="00590A3C" w:rsidRPr="00590A3C" w:rsidRDefault="00590A3C" w:rsidP="00D43014">
      <w:pPr>
        <w:pStyle w:val="ListBullet"/>
        <w:spacing w:after="0" w:line="276" w:lineRule="auto"/>
      </w:pPr>
      <w:r w:rsidRPr="00590A3C">
        <w:t>Work</w:t>
      </w:r>
      <w:r w:rsidR="00D73307">
        <w:t>ing</w:t>
      </w:r>
      <w:r w:rsidRPr="00590A3C">
        <w:t xml:space="preserve"> alongside regional bodies such as Regional Development Australia and </w:t>
      </w:r>
      <w:r w:rsidR="003A760B">
        <w:t>l</w:t>
      </w:r>
      <w:r w:rsidRPr="00590A3C">
        <w:t xml:space="preserve">ocal </w:t>
      </w:r>
      <w:r w:rsidR="003A760B">
        <w:t>g</w:t>
      </w:r>
      <w:r w:rsidRPr="00590A3C">
        <w:t>overnment to support workforce needs of major projects and industry developments and maximise local employment</w:t>
      </w:r>
      <w:r w:rsidR="00D43014">
        <w:t>.</w:t>
      </w:r>
    </w:p>
    <w:p w14:paraId="2EB7B995" w14:textId="0E90DF8A" w:rsidR="00590A3C" w:rsidRPr="00590A3C" w:rsidRDefault="00590A3C" w:rsidP="00D43014">
      <w:pPr>
        <w:pStyle w:val="ListBullet"/>
        <w:spacing w:after="0" w:line="276" w:lineRule="auto"/>
      </w:pPr>
      <w:r w:rsidRPr="00590A3C">
        <w:t>Identify</w:t>
      </w:r>
      <w:r w:rsidR="00D73307">
        <w:t>ing</w:t>
      </w:r>
      <w:r w:rsidRPr="00590A3C">
        <w:t xml:space="preserve"> current and emerging occupations and skills in demand, to better align local training, education</w:t>
      </w:r>
      <w:r w:rsidR="00ED2C31">
        <w:t>,</w:t>
      </w:r>
      <w:r w:rsidRPr="00590A3C">
        <w:t xml:space="preserve"> and employment initiatives with industry needs</w:t>
      </w:r>
      <w:r w:rsidR="00D43014">
        <w:t>.</w:t>
      </w:r>
    </w:p>
    <w:p w14:paraId="59575255" w14:textId="3B2FCA85" w:rsidR="00590A3C" w:rsidRPr="00590A3C" w:rsidRDefault="008E7116" w:rsidP="00D43014">
      <w:pPr>
        <w:pStyle w:val="ListBullet"/>
        <w:spacing w:after="0" w:line="276" w:lineRule="auto"/>
      </w:pPr>
      <w:r>
        <w:t>P</w:t>
      </w:r>
      <w:r w:rsidR="00590A3C" w:rsidRPr="00590A3C">
        <w:t xml:space="preserve">roviding intel and ideas to </w:t>
      </w:r>
      <w:r w:rsidR="0067555A">
        <w:t>g</w:t>
      </w:r>
      <w:r w:rsidR="00590A3C" w:rsidRPr="00590A3C">
        <w:t>overnment and other organisations to address structural challenges impacting local workforce, employment and skilling outcomes</w:t>
      </w:r>
      <w:r w:rsidR="00D43014">
        <w:t>.</w:t>
      </w:r>
    </w:p>
    <w:p w14:paraId="664325E9" w14:textId="3E5D0906" w:rsidR="00ED2C31" w:rsidRDefault="00ED2C31">
      <w:pPr>
        <w:pStyle w:val="ListBullet"/>
        <w:spacing w:after="0" w:line="276" w:lineRule="auto"/>
      </w:pPr>
      <w:r>
        <w:t>P</w:t>
      </w:r>
      <w:r w:rsidR="00A002EB" w:rsidRPr="002703E9">
        <w:t>roactive</w:t>
      </w:r>
      <w:r w:rsidR="00D73307">
        <w:t>ly</w:t>
      </w:r>
      <w:r w:rsidR="00A002EB" w:rsidRPr="002703E9">
        <w:t xml:space="preserve"> </w:t>
      </w:r>
      <w:r w:rsidR="004B1A0D" w:rsidRPr="002703E9">
        <w:t>develop</w:t>
      </w:r>
      <w:r w:rsidR="00D73307">
        <w:t>ing</w:t>
      </w:r>
      <w:r w:rsidR="004B1A0D" w:rsidRPr="002703E9">
        <w:t xml:space="preserve"> of a </w:t>
      </w:r>
      <w:r>
        <w:t>j</w:t>
      </w:r>
      <w:r w:rsidR="004B1A0D" w:rsidRPr="002703E9">
        <w:t xml:space="preserve">obs and </w:t>
      </w:r>
      <w:r>
        <w:t>s</w:t>
      </w:r>
      <w:r w:rsidR="004B1A0D" w:rsidRPr="002703E9">
        <w:t xml:space="preserve">kills </w:t>
      </w:r>
      <w:r>
        <w:t>h</w:t>
      </w:r>
      <w:r w:rsidR="004B1A0D" w:rsidRPr="002703E9">
        <w:t xml:space="preserve">ub </w:t>
      </w:r>
      <w:r>
        <w:t>c</w:t>
      </w:r>
      <w:r w:rsidR="004B1A0D" w:rsidRPr="002703E9">
        <w:t xml:space="preserve">oncept </w:t>
      </w:r>
      <w:r>
        <w:t>p</w:t>
      </w:r>
      <w:r w:rsidR="004B1A0D" w:rsidRPr="002703E9">
        <w:t xml:space="preserve">aper and a </w:t>
      </w:r>
      <w:r>
        <w:t>c</w:t>
      </w:r>
      <w:r w:rsidR="004B1A0D" w:rsidRPr="002703E9">
        <w:t xml:space="preserve">are and </w:t>
      </w:r>
      <w:r>
        <w:t>s</w:t>
      </w:r>
      <w:r w:rsidR="004B1A0D" w:rsidRPr="002703E9">
        <w:t xml:space="preserve">upport </w:t>
      </w:r>
      <w:r>
        <w:t>s</w:t>
      </w:r>
      <w:r w:rsidR="004B1A0D" w:rsidRPr="002703E9">
        <w:t xml:space="preserve">ector </w:t>
      </w:r>
      <w:r>
        <w:t>c</w:t>
      </w:r>
      <w:r w:rsidR="004B1A0D" w:rsidRPr="002703E9">
        <w:t xml:space="preserve">areers </w:t>
      </w:r>
      <w:r>
        <w:t>h</w:t>
      </w:r>
      <w:r w:rsidR="004B1A0D" w:rsidRPr="002703E9">
        <w:t>ub</w:t>
      </w:r>
      <w:r w:rsidR="009974C9" w:rsidRPr="002703E9">
        <w:t xml:space="preserve"> </w:t>
      </w:r>
      <w:r>
        <w:t>c</w:t>
      </w:r>
      <w:r w:rsidR="009974C9" w:rsidRPr="002703E9">
        <w:t xml:space="preserve">oncept </w:t>
      </w:r>
      <w:r>
        <w:t>p</w:t>
      </w:r>
      <w:r w:rsidR="009974C9" w:rsidRPr="002703E9">
        <w:t>aper</w:t>
      </w:r>
      <w:r w:rsidR="004B1A0D" w:rsidRPr="002703E9">
        <w:t xml:space="preserve"> for consideration by the </w:t>
      </w:r>
      <w:r w:rsidR="00C36638">
        <w:t>South Australian</w:t>
      </w:r>
      <w:r w:rsidR="00C36638" w:rsidRPr="002703E9">
        <w:t xml:space="preserve"> </w:t>
      </w:r>
      <w:r w:rsidR="004B1A0D" w:rsidRPr="002703E9">
        <w:t>Government</w:t>
      </w:r>
      <w:r>
        <w:t>, including q</w:t>
      </w:r>
      <w:r w:rsidR="009974C9" w:rsidRPr="002703E9">
        <w:t>uarterly</w:t>
      </w:r>
      <w:r w:rsidR="004B1A0D" w:rsidRPr="002703E9">
        <w:t xml:space="preserve"> meetings with the South Australian Skills Commissioner</w:t>
      </w:r>
      <w:r>
        <w:t>.</w:t>
      </w:r>
    </w:p>
    <w:p w14:paraId="1E6ACA8C" w14:textId="03072984" w:rsidR="00ED2C31" w:rsidRDefault="00ED2C31" w:rsidP="00BE0DE0">
      <w:pPr>
        <w:pStyle w:val="ListBullet"/>
        <w:spacing w:after="0" w:line="276" w:lineRule="auto"/>
      </w:pPr>
      <w:r>
        <w:t>S</w:t>
      </w:r>
      <w:r w:rsidR="009974C9" w:rsidRPr="002703E9">
        <w:t>upport</w:t>
      </w:r>
      <w:r w:rsidR="00D73307">
        <w:t>ing</w:t>
      </w:r>
      <w:r w:rsidR="009974C9" w:rsidRPr="002703E9">
        <w:t xml:space="preserve"> the development of an Upper Spencer Gulf </w:t>
      </w:r>
      <w:r>
        <w:t>w</w:t>
      </w:r>
      <w:r w:rsidR="009974C9" w:rsidRPr="002703E9">
        <w:t xml:space="preserve">orkforce </w:t>
      </w:r>
      <w:r>
        <w:t>s</w:t>
      </w:r>
      <w:r w:rsidR="009974C9" w:rsidRPr="002703E9">
        <w:t>trategy</w:t>
      </w:r>
      <w:r>
        <w:t xml:space="preserve"> and </w:t>
      </w:r>
      <w:r w:rsidR="003464E5" w:rsidRPr="002703E9">
        <w:t xml:space="preserve">Upper Spencer Gulf </w:t>
      </w:r>
      <w:r>
        <w:t>s</w:t>
      </w:r>
      <w:r w:rsidR="003464E5" w:rsidRPr="002703E9">
        <w:t xml:space="preserve">killing </w:t>
      </w:r>
      <w:r>
        <w:t>b</w:t>
      </w:r>
      <w:r w:rsidR="003464E5" w:rsidRPr="002703E9">
        <w:t xml:space="preserve">lueprint </w:t>
      </w:r>
      <w:r w:rsidR="003A760B">
        <w:t>in</w:t>
      </w:r>
      <w:r w:rsidR="003A760B" w:rsidRPr="002703E9">
        <w:t xml:space="preserve"> </w:t>
      </w:r>
      <w:r>
        <w:t>m</w:t>
      </w:r>
      <w:r w:rsidR="003464E5" w:rsidRPr="002703E9">
        <w:t xml:space="preserve">ining and </w:t>
      </w:r>
      <w:r>
        <w:t>r</w:t>
      </w:r>
      <w:r w:rsidR="003464E5" w:rsidRPr="002703E9">
        <w:t xml:space="preserve">esource </w:t>
      </w:r>
      <w:r>
        <w:t>p</w:t>
      </w:r>
      <w:r w:rsidR="003464E5" w:rsidRPr="002703E9">
        <w:t>rocessing</w:t>
      </w:r>
      <w:r>
        <w:t>.</w:t>
      </w:r>
    </w:p>
    <w:p w14:paraId="7B39B9FB" w14:textId="1098719D" w:rsidR="00A8385D" w:rsidRPr="00B35A6C" w:rsidRDefault="00A8385D" w:rsidP="0076398A">
      <w:pPr>
        <w:pStyle w:val="Heading3"/>
      </w:pPr>
      <w:r w:rsidRPr="00B35A6C">
        <w:t xml:space="preserve">Priority 3 – </w:t>
      </w:r>
      <w:r w:rsidR="008D67AB">
        <w:t xml:space="preserve">Support young </w:t>
      </w:r>
      <w:r w:rsidR="0067555A">
        <w:t>people</w:t>
      </w:r>
      <w:r w:rsidR="008D67AB">
        <w:t xml:space="preserve"> to gain employment, addressing specific barriers to employment in the region, such as licences and transportation and other non-vocational barriers</w:t>
      </w:r>
    </w:p>
    <w:p w14:paraId="70A0BF34" w14:textId="2159FE19" w:rsidR="00A8385D" w:rsidRPr="00B35A6C" w:rsidRDefault="00A8385D" w:rsidP="008465F9">
      <w:pPr>
        <w:pStyle w:val="Heading4"/>
        <w:spacing w:before="0"/>
      </w:pPr>
      <w:r w:rsidRPr="00B35A6C">
        <w:t>What are our challenges</w:t>
      </w:r>
      <w:r w:rsidR="00D43014">
        <w:t xml:space="preserve"> and opportunities</w:t>
      </w:r>
      <w:r w:rsidRPr="00B35A6C">
        <w:t>?</w:t>
      </w:r>
    </w:p>
    <w:p w14:paraId="2D5C2147" w14:textId="398D6391" w:rsidR="00250763" w:rsidRPr="00250763" w:rsidRDefault="000B462B" w:rsidP="008465F9">
      <w:pPr>
        <w:spacing w:after="0"/>
      </w:pPr>
      <w:r>
        <w:t>Driver</w:t>
      </w:r>
      <w:r w:rsidR="00ED2C31">
        <w:t>’</w:t>
      </w:r>
      <w:r>
        <w:t>s licences and a lack of transport within and between town</w:t>
      </w:r>
      <w:r w:rsidR="00807076">
        <w:t>s</w:t>
      </w:r>
      <w:r>
        <w:t xml:space="preserve"> </w:t>
      </w:r>
      <w:r w:rsidR="003A760B">
        <w:t>is</w:t>
      </w:r>
      <w:r>
        <w:t xml:space="preserve"> one of the most prevalent barriers that </w:t>
      </w:r>
      <w:r w:rsidR="00F81BD8">
        <w:t xml:space="preserve">prevent </w:t>
      </w:r>
      <w:r>
        <w:t xml:space="preserve">young people from gaining employment, yet there are only a small number of programs </w:t>
      </w:r>
      <w:r w:rsidR="00F339F2">
        <w:t>operating in parts of the Mid North that aim to address this</w:t>
      </w:r>
      <w:r w:rsidR="00B604DA">
        <w:t xml:space="preserve">. Part-time and casual employment in young people is high, with more focus needed on </w:t>
      </w:r>
      <w:r w:rsidR="00807076">
        <w:t>supporting people into full-time employment</w:t>
      </w:r>
      <w:r w:rsidR="00C21579">
        <w:t xml:space="preserve"> which is hindered by a lack of independent, quality career education and guidance.</w:t>
      </w:r>
    </w:p>
    <w:p w14:paraId="1FE2CF8B" w14:textId="77777777" w:rsidR="00A8385D" w:rsidRDefault="00A8385D" w:rsidP="008465F9">
      <w:pPr>
        <w:pStyle w:val="Heading4"/>
        <w:spacing w:before="0"/>
      </w:pPr>
      <w:r w:rsidRPr="00B35A6C">
        <w:t>How are we responding?</w:t>
      </w:r>
    </w:p>
    <w:p w14:paraId="02E6C9D9" w14:textId="44ACE785" w:rsidR="00590A3C" w:rsidRPr="00590A3C" w:rsidRDefault="00590A3C" w:rsidP="00576B4C">
      <w:pPr>
        <w:pStyle w:val="ListBullet"/>
        <w:spacing w:line="276" w:lineRule="auto"/>
      </w:pPr>
      <w:r w:rsidRPr="00590A3C">
        <w:t>Explor</w:t>
      </w:r>
      <w:r w:rsidR="00D73307">
        <w:t>ing</w:t>
      </w:r>
      <w:r w:rsidRPr="00590A3C">
        <w:t xml:space="preserve"> non-traditional methods of engagement that align to the aspirations and interests of young people</w:t>
      </w:r>
      <w:r w:rsidR="00ED2C31">
        <w:t>.</w:t>
      </w:r>
    </w:p>
    <w:p w14:paraId="6ADA2A20" w14:textId="3F2B0AEF" w:rsidR="00590A3C" w:rsidRPr="00590A3C" w:rsidRDefault="00590A3C" w:rsidP="00576B4C">
      <w:pPr>
        <w:pStyle w:val="ListBullet"/>
        <w:spacing w:line="276" w:lineRule="auto"/>
      </w:pPr>
      <w:r w:rsidRPr="00590A3C">
        <w:t>Support</w:t>
      </w:r>
      <w:r w:rsidR="00D73307">
        <w:t>ing</w:t>
      </w:r>
      <w:r w:rsidRPr="00590A3C">
        <w:t xml:space="preserve"> initiatives that seek to address under-employment in young people and increase their ability to secure full-time employment</w:t>
      </w:r>
      <w:r w:rsidR="00ED2C31">
        <w:t>.</w:t>
      </w:r>
    </w:p>
    <w:p w14:paraId="4E8EF27B" w14:textId="08401E53" w:rsidR="00590A3C" w:rsidRPr="00590A3C" w:rsidRDefault="00D73307" w:rsidP="00576B4C">
      <w:pPr>
        <w:pStyle w:val="ListBullet"/>
        <w:spacing w:line="276" w:lineRule="auto"/>
      </w:pPr>
      <w:r>
        <w:t>Supporting i</w:t>
      </w:r>
      <w:r w:rsidR="00590A3C" w:rsidRPr="00590A3C">
        <w:t>nitiatives that improve access to quality career education and guidance</w:t>
      </w:r>
      <w:r w:rsidR="00ED2C31">
        <w:t>.</w:t>
      </w:r>
    </w:p>
    <w:p w14:paraId="5CF935F8" w14:textId="1ED809C8" w:rsidR="00590A3C" w:rsidRPr="00590A3C" w:rsidRDefault="00590A3C" w:rsidP="00576B4C">
      <w:pPr>
        <w:pStyle w:val="ListBullet"/>
        <w:spacing w:line="276" w:lineRule="auto"/>
      </w:pPr>
      <w:r w:rsidRPr="00590A3C">
        <w:t>Empower</w:t>
      </w:r>
      <w:r w:rsidR="00D73307">
        <w:t>ing</w:t>
      </w:r>
      <w:r w:rsidRPr="00590A3C">
        <w:t xml:space="preserve"> young people to have a voice and co-design solutions that help increase participation in learning and earning activities</w:t>
      </w:r>
      <w:r w:rsidR="00ED2C31">
        <w:t>.</w:t>
      </w:r>
    </w:p>
    <w:p w14:paraId="28C2E97D" w14:textId="611EAB27" w:rsidR="00590A3C" w:rsidRPr="002703E9" w:rsidRDefault="00D73307" w:rsidP="0076398A">
      <w:pPr>
        <w:pStyle w:val="ListBullet"/>
        <w:spacing w:after="0" w:line="276" w:lineRule="auto"/>
        <w:contextualSpacing w:val="0"/>
      </w:pPr>
      <w:r>
        <w:t>E</w:t>
      </w:r>
      <w:r w:rsidR="003464E5" w:rsidRPr="002703E9">
        <w:t>stablish</w:t>
      </w:r>
      <w:r>
        <w:t xml:space="preserve">ing a Taskforce </w:t>
      </w:r>
      <w:r w:rsidR="003464E5" w:rsidRPr="002703E9">
        <w:t xml:space="preserve">sub-committee focussed on </w:t>
      </w:r>
      <w:r w:rsidR="0067555A">
        <w:t>t</w:t>
      </w:r>
      <w:r w:rsidR="003464E5" w:rsidRPr="002703E9">
        <w:t xml:space="preserve">ransport and </w:t>
      </w:r>
      <w:r w:rsidR="0067555A">
        <w:t>d</w:t>
      </w:r>
      <w:r w:rsidR="003464E5" w:rsidRPr="002703E9">
        <w:t>river</w:t>
      </w:r>
      <w:r w:rsidR="00ED2C31">
        <w:t>’</w:t>
      </w:r>
      <w:r w:rsidR="003464E5" w:rsidRPr="002703E9">
        <w:t xml:space="preserve">s </w:t>
      </w:r>
      <w:r w:rsidR="0067555A">
        <w:t>l</w:t>
      </w:r>
      <w:r w:rsidR="003464E5" w:rsidRPr="002703E9">
        <w:t xml:space="preserve">icences. </w:t>
      </w:r>
    </w:p>
    <w:p w14:paraId="57A2B24A" w14:textId="11BDF1D5" w:rsidR="00A8385D" w:rsidRPr="00B35A6C" w:rsidRDefault="00A8385D" w:rsidP="0076398A">
      <w:pPr>
        <w:pStyle w:val="Heading3"/>
      </w:pPr>
      <w:r w:rsidRPr="00B35A6C">
        <w:t xml:space="preserve">Priority 4 – </w:t>
      </w:r>
      <w:r w:rsidR="004B0828">
        <w:t>Support older job seekers including support for reskilling and changing industries</w:t>
      </w:r>
    </w:p>
    <w:p w14:paraId="179E945B" w14:textId="0DEA3FF9" w:rsidR="00A8385D" w:rsidRPr="00B35A6C" w:rsidRDefault="00A8385D" w:rsidP="008465F9">
      <w:pPr>
        <w:pStyle w:val="Heading4"/>
        <w:spacing w:before="0"/>
      </w:pPr>
      <w:r w:rsidRPr="00B35A6C">
        <w:t>What are our challenges</w:t>
      </w:r>
      <w:r w:rsidR="00D43014">
        <w:t xml:space="preserve"> and opportunities</w:t>
      </w:r>
      <w:r w:rsidRPr="00B35A6C">
        <w:t>?</w:t>
      </w:r>
    </w:p>
    <w:p w14:paraId="39AE27DF" w14:textId="3EF3220A" w:rsidR="00A8385D" w:rsidRPr="00AB0F24" w:rsidRDefault="007A1856" w:rsidP="008465F9">
      <w:pPr>
        <w:spacing w:after="0"/>
      </w:pPr>
      <w:r>
        <w:t xml:space="preserve">The </w:t>
      </w:r>
      <w:r w:rsidR="00D5743F">
        <w:t>region</w:t>
      </w:r>
      <w:r>
        <w:t xml:space="preserve"> has a</w:t>
      </w:r>
      <w:r w:rsidR="0077324D">
        <w:t>n older population profile</w:t>
      </w:r>
      <w:r w:rsidR="00D5743F">
        <w:t xml:space="preserve"> and ageing workforce</w:t>
      </w:r>
      <w:r w:rsidR="0077324D">
        <w:t xml:space="preserve">, with the Yorke Peninsula </w:t>
      </w:r>
      <w:r w:rsidR="00ED2C31">
        <w:t>having</w:t>
      </w:r>
      <w:r w:rsidR="0077324D">
        <w:t xml:space="preserve"> </w:t>
      </w:r>
      <w:r w:rsidR="00185310">
        <w:t>a significant portion of the population aged over 55</w:t>
      </w:r>
      <w:r w:rsidR="008C5CF2">
        <w:t xml:space="preserve">. </w:t>
      </w:r>
      <w:r w:rsidR="00B652DE">
        <w:t xml:space="preserve">Many older people </w:t>
      </w:r>
      <w:r w:rsidR="00DD262A">
        <w:t>are not in the labour force and therefore not connected to support to explore work options</w:t>
      </w:r>
      <w:r w:rsidR="00F81BD8">
        <w:t xml:space="preserve">. There is also </w:t>
      </w:r>
      <w:r w:rsidR="00185310">
        <w:t>an opportunity</w:t>
      </w:r>
      <w:r w:rsidR="00DD262A">
        <w:t xml:space="preserve"> </w:t>
      </w:r>
      <w:r w:rsidR="00185310">
        <w:t>to support businesses to</w:t>
      </w:r>
      <w:r w:rsidR="00DD262A">
        <w:t xml:space="preserve"> improve conditions and flexibility to </w:t>
      </w:r>
      <w:r w:rsidR="004C26CF">
        <w:t xml:space="preserve">accommodate older workers. </w:t>
      </w:r>
    </w:p>
    <w:p w14:paraId="693C746B" w14:textId="77777777" w:rsidR="00A8385D" w:rsidRDefault="00A8385D" w:rsidP="008465F9">
      <w:pPr>
        <w:pStyle w:val="Heading4"/>
        <w:spacing w:before="0"/>
      </w:pPr>
      <w:r w:rsidRPr="00B35A6C">
        <w:t>How are we responding?</w:t>
      </w:r>
    </w:p>
    <w:p w14:paraId="1BAF7BCC" w14:textId="5B7F7B25" w:rsidR="00590A3C" w:rsidRPr="00590A3C" w:rsidRDefault="00590A3C" w:rsidP="00576B4C">
      <w:pPr>
        <w:pStyle w:val="ListBullet"/>
        <w:spacing w:line="276" w:lineRule="auto"/>
      </w:pPr>
      <w:r w:rsidRPr="00590A3C">
        <w:t>Identify</w:t>
      </w:r>
      <w:r w:rsidR="00D73307">
        <w:t>ing</w:t>
      </w:r>
      <w:r w:rsidRPr="00590A3C">
        <w:t xml:space="preserve"> barriers that prevent older workers from fully participating in the labour market and develop</w:t>
      </w:r>
      <w:r w:rsidR="00D73307">
        <w:t>ing</w:t>
      </w:r>
      <w:r w:rsidRPr="00590A3C">
        <w:t xml:space="preserve"> solutions that will address these barriers</w:t>
      </w:r>
      <w:r w:rsidR="00ED2C31">
        <w:t>.</w:t>
      </w:r>
    </w:p>
    <w:p w14:paraId="362D055F" w14:textId="68120426" w:rsidR="00590A3C" w:rsidRPr="00590A3C" w:rsidRDefault="00590A3C" w:rsidP="00576B4C">
      <w:pPr>
        <w:pStyle w:val="ListBullet"/>
        <w:spacing w:line="276" w:lineRule="auto"/>
      </w:pPr>
      <w:r w:rsidRPr="00590A3C">
        <w:t>Increas</w:t>
      </w:r>
      <w:r w:rsidR="00D73307">
        <w:t>ing</w:t>
      </w:r>
      <w:r w:rsidRPr="00590A3C">
        <w:t xml:space="preserve"> access to adult and community education programs, including support to increase digital and technical capability</w:t>
      </w:r>
      <w:r w:rsidR="00ED2C31">
        <w:t>.</w:t>
      </w:r>
    </w:p>
    <w:p w14:paraId="7833D331" w14:textId="16362603" w:rsidR="00590A3C" w:rsidRPr="00590A3C" w:rsidRDefault="00590A3C" w:rsidP="00576B4C">
      <w:pPr>
        <w:pStyle w:val="ListBullet"/>
        <w:spacing w:line="276" w:lineRule="auto"/>
      </w:pPr>
      <w:r w:rsidRPr="00590A3C">
        <w:t>Identify</w:t>
      </w:r>
      <w:r w:rsidR="00D73307">
        <w:t>ing</w:t>
      </w:r>
      <w:r w:rsidRPr="00590A3C">
        <w:t xml:space="preserve"> underutilised people within the community such as retired, semi-retired, underemployed and volunteers as a potential labour pool</w:t>
      </w:r>
      <w:r w:rsidR="00ED2C31">
        <w:t>.</w:t>
      </w:r>
    </w:p>
    <w:p w14:paraId="0C0FC9FE" w14:textId="375487EB" w:rsidR="00E616AF" w:rsidRPr="002703E9" w:rsidRDefault="00D73307" w:rsidP="0076398A">
      <w:pPr>
        <w:pStyle w:val="ListBullet"/>
        <w:spacing w:after="0" w:line="276" w:lineRule="auto"/>
        <w:contextualSpacing w:val="0"/>
      </w:pPr>
      <w:r>
        <w:t>E</w:t>
      </w:r>
      <w:r w:rsidR="00FF2C61" w:rsidRPr="002703E9">
        <w:t>stablish</w:t>
      </w:r>
      <w:r>
        <w:t>ing</w:t>
      </w:r>
      <w:r w:rsidR="00576B4C">
        <w:t xml:space="preserve"> the</w:t>
      </w:r>
      <w:r w:rsidR="00FF2C61" w:rsidRPr="002703E9">
        <w:t xml:space="preserve"> Lifestyle Jobs Yorke Peninsula to provide a platform </w:t>
      </w:r>
      <w:r w:rsidR="00D5743F" w:rsidRPr="002703E9">
        <w:t xml:space="preserve">to unlock the hidden workforce potential of </w:t>
      </w:r>
      <w:r w:rsidR="00ED2C31">
        <w:t>mature-aged</w:t>
      </w:r>
      <w:r w:rsidR="00ED2C31" w:rsidRPr="002703E9">
        <w:t xml:space="preserve"> </w:t>
      </w:r>
      <w:r w:rsidR="00D5743F" w:rsidRPr="002703E9">
        <w:t>people in the Yorke Peninsula</w:t>
      </w:r>
      <w:r>
        <w:t>.</w:t>
      </w:r>
    </w:p>
    <w:p w14:paraId="1A9B9357" w14:textId="007BD322" w:rsidR="00E616AF" w:rsidRPr="00E616AF" w:rsidRDefault="00E616AF" w:rsidP="0076398A">
      <w:pPr>
        <w:keepNext/>
        <w:keepLines/>
        <w:spacing w:before="240" w:after="0"/>
        <w:outlineLvl w:val="2"/>
        <w:rPr>
          <w:rFonts w:ascii="Calibri" w:eastAsiaTheme="majorEastAsia" w:hAnsi="Calibri" w:cstheme="majorBidi"/>
          <w:b/>
          <w:color w:val="051532" w:themeColor="text1"/>
          <w:sz w:val="28"/>
          <w:szCs w:val="24"/>
        </w:rPr>
      </w:pPr>
      <w:r w:rsidRPr="00E616AF">
        <w:rPr>
          <w:rFonts w:ascii="Calibri" w:eastAsiaTheme="majorEastAsia" w:hAnsi="Calibri" w:cstheme="majorBidi"/>
          <w:b/>
          <w:color w:val="051532" w:themeColor="text1"/>
          <w:sz w:val="28"/>
          <w:szCs w:val="24"/>
        </w:rPr>
        <w:t>Priority 5 – Support employers and industry in upskilling existing employees to increase capacity and to open opportunities for entry-level jobs for jobseekers</w:t>
      </w:r>
    </w:p>
    <w:p w14:paraId="4C05E5B8" w14:textId="5D31839E" w:rsidR="00C373CB" w:rsidRPr="00B35A6C" w:rsidRDefault="00C373CB" w:rsidP="008465F9">
      <w:pPr>
        <w:pStyle w:val="Heading4"/>
        <w:spacing w:before="0"/>
      </w:pPr>
      <w:r w:rsidRPr="00B35A6C">
        <w:t>What are our challenges</w:t>
      </w:r>
      <w:r w:rsidR="00D43014">
        <w:t xml:space="preserve"> and opportunities</w:t>
      </w:r>
      <w:r w:rsidRPr="00B35A6C">
        <w:t>?</w:t>
      </w:r>
    </w:p>
    <w:p w14:paraId="194AACF9" w14:textId="4B721274" w:rsidR="00C373CB" w:rsidRPr="00AB0F24" w:rsidRDefault="00F50167" w:rsidP="008465F9">
      <w:pPr>
        <w:spacing w:after="0"/>
      </w:pPr>
      <w:r>
        <w:t xml:space="preserve">Workforce shortages include entry level, </w:t>
      </w:r>
      <w:r w:rsidR="00F47799">
        <w:t>skilled, trade and professional level roles</w:t>
      </w:r>
      <w:r w:rsidR="00F81BD8">
        <w:t>. A</w:t>
      </w:r>
      <w:r w:rsidR="00F47799">
        <w:t>ttracting people to the region for work has been challenging due to a lack of housing</w:t>
      </w:r>
      <w:r w:rsidR="00CD3ECB">
        <w:t xml:space="preserve"> t</w:t>
      </w:r>
      <w:r w:rsidR="009F37EB">
        <w:t>herefore</w:t>
      </w:r>
      <w:r w:rsidR="00CD3ECB">
        <w:t xml:space="preserve"> </w:t>
      </w:r>
      <w:r w:rsidR="009F37EB">
        <w:t>growing the local workforce is critical</w:t>
      </w:r>
      <w:r w:rsidR="001840D6">
        <w:t xml:space="preserve">. Navigating </w:t>
      </w:r>
      <w:r w:rsidR="008E7116">
        <w:t>g</w:t>
      </w:r>
      <w:r w:rsidR="001840D6">
        <w:t>overnment programs, services and funding can be challenging, particularly for small and medium sized businesses with limited HR capacity</w:t>
      </w:r>
      <w:r w:rsidR="009D2C28">
        <w:t xml:space="preserve">. </w:t>
      </w:r>
    </w:p>
    <w:p w14:paraId="28BF8972" w14:textId="3543714F" w:rsidR="00590A3C" w:rsidRPr="00590A3C" w:rsidRDefault="00C373CB" w:rsidP="008465F9">
      <w:pPr>
        <w:pStyle w:val="Heading4"/>
        <w:spacing w:before="0"/>
      </w:pPr>
      <w:bookmarkStart w:id="1" w:name="_Hlk126125646"/>
      <w:r w:rsidRPr="00B35A6C">
        <w:t>How are we responding?</w:t>
      </w:r>
      <w:bookmarkEnd w:id="1"/>
    </w:p>
    <w:p w14:paraId="7FBC440A" w14:textId="30EF3718" w:rsidR="00590A3C" w:rsidRPr="00590A3C" w:rsidRDefault="00590A3C" w:rsidP="00576B4C">
      <w:pPr>
        <w:pStyle w:val="ListBullet"/>
        <w:spacing w:line="276" w:lineRule="auto"/>
      </w:pPr>
      <w:r w:rsidRPr="00590A3C">
        <w:t>Educat</w:t>
      </w:r>
      <w:r w:rsidR="00D73307">
        <w:t>ing</w:t>
      </w:r>
      <w:r w:rsidRPr="00590A3C">
        <w:t xml:space="preserve"> </w:t>
      </w:r>
      <w:r w:rsidR="003C3F27">
        <w:t>businesses</w:t>
      </w:r>
      <w:r w:rsidRPr="00590A3C">
        <w:t xml:space="preserve"> on support available such as </w:t>
      </w:r>
      <w:r w:rsidR="00D73307">
        <w:t>g</w:t>
      </w:r>
      <w:r w:rsidR="00D73307" w:rsidRPr="00590A3C">
        <w:t xml:space="preserve">overnment </w:t>
      </w:r>
      <w:r w:rsidRPr="00590A3C">
        <w:t>programs, services and funding and better local promotion of support for</w:t>
      </w:r>
      <w:r w:rsidR="003C3F27">
        <w:t xml:space="preserve"> business</w:t>
      </w:r>
      <w:r w:rsidR="00ED2C31">
        <w:t>.</w:t>
      </w:r>
    </w:p>
    <w:p w14:paraId="748B2020" w14:textId="293CB584" w:rsidR="00590A3C" w:rsidRPr="00590A3C" w:rsidRDefault="00D73307" w:rsidP="00576B4C">
      <w:pPr>
        <w:pStyle w:val="ListBullet"/>
        <w:spacing w:line="276" w:lineRule="auto"/>
      </w:pPr>
      <w:r w:rsidRPr="00590A3C">
        <w:t>Develop</w:t>
      </w:r>
      <w:r>
        <w:t>ing</w:t>
      </w:r>
      <w:r w:rsidR="00590A3C" w:rsidRPr="00590A3C">
        <w:t xml:space="preserve"> bespoke opportunities in partnership with </w:t>
      </w:r>
      <w:r w:rsidR="003C3F27">
        <w:t>business</w:t>
      </w:r>
      <w:r w:rsidR="00590A3C" w:rsidRPr="00590A3C">
        <w:t xml:space="preserve"> and industry that reflect the unique needs of employers and the region</w:t>
      </w:r>
      <w:r w:rsidR="00ED2C31">
        <w:t>.</w:t>
      </w:r>
    </w:p>
    <w:p w14:paraId="185C6C6E" w14:textId="190C5B74" w:rsidR="00590A3C" w:rsidRPr="00590A3C" w:rsidRDefault="00590A3C" w:rsidP="00576B4C">
      <w:pPr>
        <w:pStyle w:val="ListBullet"/>
        <w:spacing w:line="276" w:lineRule="auto"/>
      </w:pPr>
      <w:r w:rsidRPr="00590A3C">
        <w:t>Develop</w:t>
      </w:r>
      <w:r w:rsidR="00D73307">
        <w:t>ing</w:t>
      </w:r>
      <w:r w:rsidRPr="00590A3C">
        <w:t xml:space="preserve"> leadership and mentoring capability in industry to better support entry level workers entering the workforce</w:t>
      </w:r>
      <w:r w:rsidR="00ED2C31">
        <w:t>.</w:t>
      </w:r>
    </w:p>
    <w:p w14:paraId="2CB874BB" w14:textId="1AFE73FA" w:rsidR="00590A3C" w:rsidRPr="00590A3C" w:rsidRDefault="00590A3C" w:rsidP="00576B4C">
      <w:pPr>
        <w:pStyle w:val="ListBullet"/>
        <w:spacing w:line="276" w:lineRule="auto"/>
      </w:pPr>
      <w:r w:rsidRPr="00590A3C">
        <w:t>Sharing personnel, resources, and specialists across the region/industry/</w:t>
      </w:r>
      <w:r w:rsidR="003C3F27">
        <w:t>business</w:t>
      </w:r>
      <w:r w:rsidRPr="00590A3C">
        <w:t xml:space="preserve"> for shared local benefit</w:t>
      </w:r>
      <w:r w:rsidR="00ED2C31">
        <w:t>.</w:t>
      </w:r>
    </w:p>
    <w:p w14:paraId="50F2E3EB" w14:textId="122FF955" w:rsidR="00576B4C" w:rsidRDefault="00ED2C31">
      <w:pPr>
        <w:pStyle w:val="ListBullet"/>
        <w:spacing w:line="276" w:lineRule="auto"/>
      </w:pPr>
      <w:r>
        <w:t>S</w:t>
      </w:r>
      <w:r w:rsidR="00CB5FF9" w:rsidRPr="002703E9">
        <w:t>upport</w:t>
      </w:r>
      <w:r w:rsidR="00D73307">
        <w:t xml:space="preserve">ing </w:t>
      </w:r>
      <w:r w:rsidR="00CB5FF9" w:rsidRPr="002703E9">
        <w:t xml:space="preserve">local </w:t>
      </w:r>
      <w:r w:rsidR="003C3F27">
        <w:t>businesses</w:t>
      </w:r>
      <w:r w:rsidR="00CB5FF9" w:rsidRPr="002703E9">
        <w:t xml:space="preserve"> to secure f</w:t>
      </w:r>
      <w:r w:rsidR="005B6823" w:rsidRPr="002703E9">
        <w:t xml:space="preserve">unding from </w:t>
      </w:r>
      <w:r w:rsidR="00D73307">
        <w:t xml:space="preserve">the </w:t>
      </w:r>
      <w:r w:rsidR="00576B4C">
        <w:t>S</w:t>
      </w:r>
      <w:r w:rsidR="00C36638">
        <w:t xml:space="preserve">outh </w:t>
      </w:r>
      <w:r w:rsidR="00576B4C">
        <w:t>A</w:t>
      </w:r>
      <w:r w:rsidR="00C36638">
        <w:t>ustralian</w:t>
      </w:r>
      <w:r w:rsidR="00576B4C">
        <w:t xml:space="preserve"> </w:t>
      </w:r>
      <w:r w:rsidR="005B6823" w:rsidRPr="002703E9">
        <w:t xml:space="preserve">Government to upskill </w:t>
      </w:r>
      <w:r w:rsidR="00CB5FF9" w:rsidRPr="002703E9">
        <w:t>existing employers</w:t>
      </w:r>
      <w:r w:rsidR="00C36638">
        <w:t>.</w:t>
      </w:r>
    </w:p>
    <w:p w14:paraId="6652FDD7" w14:textId="557CF6A9" w:rsidR="005B6823" w:rsidRPr="002703E9" w:rsidRDefault="00576B4C" w:rsidP="0076398A">
      <w:pPr>
        <w:pStyle w:val="ListBullet"/>
        <w:spacing w:after="0" w:line="276" w:lineRule="auto"/>
        <w:contextualSpacing w:val="0"/>
      </w:pPr>
      <w:r>
        <w:t>S</w:t>
      </w:r>
      <w:r w:rsidR="005B6823" w:rsidRPr="002703E9">
        <w:t>upport</w:t>
      </w:r>
      <w:r>
        <w:t>ing the</w:t>
      </w:r>
      <w:r w:rsidR="005B6823" w:rsidRPr="002703E9">
        <w:t xml:space="preserve"> Resources and Skills Alliance</w:t>
      </w:r>
      <w:r w:rsidR="004D575D" w:rsidRPr="002703E9">
        <w:t xml:space="preserve"> </w:t>
      </w:r>
      <w:r w:rsidR="005B6823" w:rsidRPr="002703E9">
        <w:t xml:space="preserve">in establishing Australia’s first higher education traineeship pathway </w:t>
      </w:r>
      <w:r>
        <w:t>which promotes</w:t>
      </w:r>
      <w:r w:rsidR="005B6823" w:rsidRPr="002703E9">
        <w:t xml:space="preserve"> career development in associate engineer roles</w:t>
      </w:r>
      <w:r w:rsidR="003C3F27">
        <w:t>.</w:t>
      </w:r>
    </w:p>
    <w:p w14:paraId="2AC76F2D" w14:textId="2C56850C" w:rsidR="00C373CB" w:rsidRPr="00B35A6C" w:rsidRDefault="00C373CB" w:rsidP="0076398A">
      <w:pPr>
        <w:pStyle w:val="Heading3"/>
      </w:pPr>
      <w:r w:rsidRPr="00B35A6C">
        <w:t xml:space="preserve">Priority </w:t>
      </w:r>
      <w:r>
        <w:t>6</w:t>
      </w:r>
      <w:r w:rsidRPr="00B35A6C">
        <w:t xml:space="preserve"> – </w:t>
      </w:r>
      <w:r w:rsidR="00AA22C5">
        <w:t xml:space="preserve">Support the development of local organisations to increase their capability to respond to current and emerging employment, skills and workforce needs of the region </w:t>
      </w:r>
    </w:p>
    <w:p w14:paraId="4000E232" w14:textId="3384A8A4" w:rsidR="00C373CB" w:rsidRPr="00B35A6C" w:rsidRDefault="00C373CB" w:rsidP="008465F9">
      <w:pPr>
        <w:pStyle w:val="Heading4"/>
        <w:spacing w:before="0"/>
      </w:pPr>
      <w:r w:rsidRPr="00B35A6C">
        <w:t>What are our challenges</w:t>
      </w:r>
      <w:r w:rsidR="00D43014">
        <w:t xml:space="preserve"> and opportunities</w:t>
      </w:r>
      <w:r w:rsidRPr="00B35A6C">
        <w:t>?</w:t>
      </w:r>
    </w:p>
    <w:p w14:paraId="7BFE02AE" w14:textId="360FA7DB" w:rsidR="00C373CB" w:rsidRDefault="001E3FF4" w:rsidP="008465F9">
      <w:pPr>
        <w:spacing w:after="0"/>
      </w:pPr>
      <w:r>
        <w:t xml:space="preserve">There </w:t>
      </w:r>
      <w:r w:rsidR="0063643A">
        <w:t xml:space="preserve">are a </w:t>
      </w:r>
      <w:r>
        <w:t xml:space="preserve">small number of </w:t>
      </w:r>
      <w:proofErr w:type="gramStart"/>
      <w:r w:rsidR="00BC74BB">
        <w:t>locally</w:t>
      </w:r>
      <w:r w:rsidR="00C36638">
        <w:t>-</w:t>
      </w:r>
      <w:r w:rsidR="00BC74BB">
        <w:t>based</w:t>
      </w:r>
      <w:proofErr w:type="gramEnd"/>
      <w:r>
        <w:t xml:space="preserve"> training providers and industry bodies within the </w:t>
      </w:r>
      <w:r w:rsidR="00707308">
        <w:t xml:space="preserve">region, </w:t>
      </w:r>
      <w:r w:rsidR="003108A1">
        <w:t xml:space="preserve">and limited capacity within existing organisations to deliver </w:t>
      </w:r>
      <w:r w:rsidR="009D35F0">
        <w:t xml:space="preserve">both </w:t>
      </w:r>
      <w:r w:rsidR="00D43014">
        <w:t>short- and longer-term</w:t>
      </w:r>
      <w:r w:rsidR="009D35F0">
        <w:t xml:space="preserve"> solutions to address regional employment and training needs. </w:t>
      </w:r>
      <w:r w:rsidR="00676062">
        <w:t xml:space="preserve">Attracting organisations from outside of the region is often difficult due to challenges delivering in thin, regional markets. </w:t>
      </w:r>
    </w:p>
    <w:p w14:paraId="0186467D" w14:textId="66B2714A" w:rsidR="00590A3C" w:rsidRPr="00590A3C" w:rsidRDefault="00AA7487" w:rsidP="00576B4C">
      <w:pPr>
        <w:pStyle w:val="Heading4"/>
        <w:spacing w:before="0"/>
      </w:pPr>
      <w:r w:rsidRPr="00B35A6C">
        <w:t>How are we responding?</w:t>
      </w:r>
    </w:p>
    <w:p w14:paraId="174AD938" w14:textId="66B119BE" w:rsidR="00590A3C" w:rsidRPr="00590A3C" w:rsidRDefault="00590A3C" w:rsidP="00576B4C">
      <w:pPr>
        <w:pStyle w:val="ListBullet"/>
        <w:spacing w:line="276" w:lineRule="auto"/>
      </w:pPr>
      <w:r w:rsidRPr="00590A3C">
        <w:t>Developing more qualified trainers in the region to increase access to quality, industry-relevant training</w:t>
      </w:r>
      <w:r w:rsidR="00ED2C31">
        <w:t>.</w:t>
      </w:r>
    </w:p>
    <w:p w14:paraId="2D7BE87A" w14:textId="3AD2E40C" w:rsidR="00590A3C" w:rsidRPr="00590A3C" w:rsidRDefault="00590A3C" w:rsidP="00576B4C">
      <w:pPr>
        <w:pStyle w:val="ListBullet"/>
        <w:spacing w:line="276" w:lineRule="auto"/>
      </w:pPr>
      <w:r w:rsidRPr="00590A3C">
        <w:t>Maximis</w:t>
      </w:r>
      <w:r w:rsidR="00576B4C">
        <w:t>ing</w:t>
      </w:r>
      <w:r w:rsidRPr="00590A3C">
        <w:t xml:space="preserve"> the use of local training facilities and identify</w:t>
      </w:r>
      <w:r w:rsidR="00576B4C">
        <w:t>ing</w:t>
      </w:r>
      <w:r w:rsidRPr="00590A3C">
        <w:t xml:space="preserve"> gaps in local </w:t>
      </w:r>
      <w:r w:rsidR="00995679" w:rsidRPr="00590A3C">
        <w:t>infrastructure</w:t>
      </w:r>
      <w:r w:rsidRPr="00590A3C">
        <w:t xml:space="preserve"> and delivery to ensure access to high quality, locally based training</w:t>
      </w:r>
      <w:r w:rsidR="00ED2C31">
        <w:t>.</w:t>
      </w:r>
    </w:p>
    <w:p w14:paraId="059258F8" w14:textId="07500B73" w:rsidR="00590A3C" w:rsidRPr="00590A3C" w:rsidRDefault="00590A3C" w:rsidP="00576B4C">
      <w:pPr>
        <w:pStyle w:val="ListBullet"/>
        <w:spacing w:line="276" w:lineRule="auto"/>
      </w:pPr>
      <w:r w:rsidRPr="00590A3C">
        <w:t>Support</w:t>
      </w:r>
      <w:r w:rsidR="00576B4C">
        <w:t xml:space="preserve">ing </w:t>
      </w:r>
      <w:r w:rsidRPr="00590A3C">
        <w:t xml:space="preserve">organisations to understand and access </w:t>
      </w:r>
      <w:r w:rsidR="00576B4C">
        <w:t>g</w:t>
      </w:r>
      <w:r w:rsidR="00576B4C" w:rsidRPr="00590A3C">
        <w:t xml:space="preserve">overnment </w:t>
      </w:r>
      <w:r w:rsidRPr="00590A3C">
        <w:t>programs, services, and funding</w:t>
      </w:r>
      <w:r w:rsidR="00ED2C31">
        <w:t>.</w:t>
      </w:r>
    </w:p>
    <w:p w14:paraId="0C26C341" w14:textId="24D3EFC1" w:rsidR="004A0DC8" w:rsidRPr="00C373CB" w:rsidRDefault="00590A3C" w:rsidP="0076398A">
      <w:pPr>
        <w:pStyle w:val="ListBullet"/>
        <w:spacing w:after="0" w:line="276" w:lineRule="auto"/>
        <w:contextualSpacing w:val="0"/>
        <w:sectPr w:rsidR="004A0DC8" w:rsidRPr="00C373CB" w:rsidSect="008465F9">
          <w:type w:val="continuous"/>
          <w:pgSz w:w="16840" w:h="23820"/>
          <w:pgMar w:top="1418" w:right="1418" w:bottom="1418" w:left="1418" w:header="0" w:footer="346" w:gutter="0"/>
          <w:cols w:space="708"/>
          <w:docGrid w:linePitch="360"/>
        </w:sectPr>
      </w:pPr>
      <w:r w:rsidRPr="00590A3C">
        <w:t>Support</w:t>
      </w:r>
      <w:r w:rsidR="00576B4C">
        <w:t xml:space="preserve">ing </w:t>
      </w:r>
      <w:r w:rsidRPr="00590A3C">
        <w:t>small organisations and businesses to ensure they can maximise their involvement in local workforce initiatives and solutions</w:t>
      </w:r>
      <w:r w:rsidR="00ED2C31">
        <w:t>.</w:t>
      </w:r>
    </w:p>
    <w:p w14:paraId="0A47B329" w14:textId="473B5397" w:rsidR="00A8385D" w:rsidRPr="00B35A6C" w:rsidRDefault="00A8385D" w:rsidP="008465F9">
      <w:pPr>
        <w:pStyle w:val="Heading2"/>
        <w:spacing w:before="600"/>
      </w:pPr>
      <w:r w:rsidRPr="00B35A6C">
        <w:t>Want to know more?</w:t>
      </w:r>
    </w:p>
    <w:p w14:paraId="5D37100E" w14:textId="4B825EDC" w:rsidR="003F697B" w:rsidRPr="003F697B" w:rsidRDefault="00A8385D" w:rsidP="008465F9">
      <w:pPr>
        <w:pStyle w:val="ListBullet"/>
        <w:keepLines/>
        <w:numPr>
          <w:ilvl w:val="0"/>
          <w:numId w:val="15"/>
        </w:numPr>
        <w:suppressAutoHyphens/>
        <w:autoSpaceDE w:val="0"/>
        <w:autoSpaceDN w:val="0"/>
        <w:adjustRightInd w:val="0"/>
        <w:spacing w:after="0" w:line="276" w:lineRule="auto"/>
        <w:ind w:left="0" w:firstLine="284"/>
        <w:contextualSpacing w:val="0"/>
        <w:mirrorIndents/>
        <w:textAlignment w:val="center"/>
      </w:pPr>
      <w:r w:rsidRPr="00B35A6C">
        <w:t>Contact</w:t>
      </w:r>
      <w:r w:rsidR="00C10179">
        <w:t>:</w:t>
      </w:r>
      <w:r w:rsidR="003F697B">
        <w:t xml:space="preserve"> </w:t>
      </w:r>
      <w:r w:rsidR="00F04D20">
        <w:t>Lisa Brock</w:t>
      </w:r>
      <w:r w:rsidR="00A45114">
        <w:t xml:space="preserve">, </w:t>
      </w:r>
      <w:r w:rsidR="00F04D20">
        <w:t xml:space="preserve">Mid North </w:t>
      </w:r>
      <w:r w:rsidR="00ED2C31">
        <w:t xml:space="preserve">SA </w:t>
      </w:r>
      <w:r w:rsidRPr="00B35A6C">
        <w:t xml:space="preserve">Employment Facilitator: </w:t>
      </w:r>
      <w:hyperlink r:id="rId23" w:history="1">
        <w:r w:rsidR="00C36638">
          <w:rPr>
            <w:rStyle w:val="Hyperlink"/>
          </w:rPr>
          <w:t>lisa@usgemployment.com.au</w:t>
        </w:r>
      </w:hyperlink>
    </w:p>
    <w:p w14:paraId="61864CEB" w14:textId="589A5FC9" w:rsidR="00C10179" w:rsidRDefault="005C191A" w:rsidP="00C36638">
      <w:pPr>
        <w:pStyle w:val="ListBullet"/>
        <w:keepLines/>
        <w:numPr>
          <w:ilvl w:val="0"/>
          <w:numId w:val="15"/>
        </w:numPr>
        <w:suppressAutoHyphens/>
        <w:autoSpaceDE w:val="0"/>
        <w:autoSpaceDN w:val="0"/>
        <w:adjustRightInd w:val="0"/>
        <w:spacing w:after="0" w:line="276" w:lineRule="auto"/>
        <w:ind w:left="0" w:firstLine="284"/>
        <w:contextualSpacing w:val="0"/>
        <w:mirrorIndents/>
        <w:textAlignment w:val="center"/>
      </w:pPr>
      <w:bookmarkStart w:id="2" w:name="_Hlk121144473"/>
      <w:r>
        <w:t>V</w:t>
      </w:r>
      <w:r w:rsidR="00A8385D" w:rsidRPr="00B35A6C">
        <w:t>isit</w:t>
      </w:r>
      <w:r w:rsidR="00C10179">
        <w:t xml:space="preserve">: </w:t>
      </w:r>
      <w:hyperlink r:id="rId24" w:history="1">
        <w:bookmarkStart w:id="3" w:name="_Toc30065224"/>
        <w:bookmarkEnd w:id="3"/>
        <w:r w:rsidR="007B002F">
          <w:rPr>
            <w:rStyle w:val="Hyperlink"/>
          </w:rPr>
          <w:t>Local Jobs</w:t>
        </w:r>
      </w:hyperlink>
      <w:r w:rsidR="003F697B">
        <w:t xml:space="preserve"> or </w:t>
      </w:r>
      <w:hyperlink r:id="rId25" w:history="1">
        <w:r w:rsidR="007B002F">
          <w:rPr>
            <w:rStyle w:val="Hyperlink"/>
          </w:rPr>
          <w:t>Workforce Australia</w:t>
        </w:r>
      </w:hyperlink>
      <w:bookmarkEnd w:id="2"/>
    </w:p>
    <w:sectPr w:rsidR="00C10179" w:rsidSect="00BC74BB">
      <w:type w:val="continuous"/>
      <w:pgSz w:w="16840" w:h="23820"/>
      <w:pgMar w:top="1418" w:right="1418" w:bottom="1418" w:left="1276"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FB32" w14:textId="77777777" w:rsidR="00B86693" w:rsidRDefault="00B86693" w:rsidP="0051352E">
      <w:pPr>
        <w:spacing w:after="0" w:line="240" w:lineRule="auto"/>
      </w:pPr>
      <w:r>
        <w:separator/>
      </w:r>
    </w:p>
  </w:endnote>
  <w:endnote w:type="continuationSeparator" w:id="0">
    <w:p w14:paraId="6403D96C" w14:textId="77777777" w:rsidR="00B86693" w:rsidRDefault="00B86693"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364A" w14:textId="77777777" w:rsidR="00F81BD8" w:rsidRDefault="00F81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D2DC" w14:textId="2A6B3430" w:rsidR="00A8385D" w:rsidRPr="00081251" w:rsidRDefault="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8" name="Graphi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17BE" w14:textId="77777777" w:rsidR="00F81BD8" w:rsidRDefault="00F81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9237" w14:textId="77777777" w:rsidR="00B86693" w:rsidRDefault="00B86693" w:rsidP="0051352E">
      <w:pPr>
        <w:spacing w:after="0" w:line="240" w:lineRule="auto"/>
      </w:pPr>
      <w:r>
        <w:separator/>
      </w:r>
    </w:p>
  </w:footnote>
  <w:footnote w:type="continuationSeparator" w:id="0">
    <w:p w14:paraId="294842D3" w14:textId="77777777" w:rsidR="00B86693" w:rsidRDefault="00B86693"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20F6" w14:textId="77777777" w:rsidR="00F81BD8" w:rsidRDefault="00F81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8638" w14:textId="77777777" w:rsidR="00F81BD8" w:rsidRDefault="00F81B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845F" w14:textId="77777777" w:rsidR="00F81BD8" w:rsidRDefault="00F81B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2D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C2F"/>
    <w:multiLevelType w:val="hybridMultilevel"/>
    <w:tmpl w:val="0F30F1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4876ABF"/>
    <w:multiLevelType w:val="hybridMultilevel"/>
    <w:tmpl w:val="F3DE4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106251"/>
    <w:multiLevelType w:val="multilevel"/>
    <w:tmpl w:val="229E48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BB2092"/>
    <w:multiLevelType w:val="multilevel"/>
    <w:tmpl w:val="57EC79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9CB3695"/>
    <w:multiLevelType w:val="hybridMultilevel"/>
    <w:tmpl w:val="56961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6A4DDC"/>
    <w:multiLevelType w:val="hybridMultilevel"/>
    <w:tmpl w:val="3E64E8A2"/>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A53E4C"/>
    <w:multiLevelType w:val="multilevel"/>
    <w:tmpl w:val="DF1A66AE"/>
    <w:name w:val="List number2"/>
    <w:lvl w:ilvl="0">
      <w:start w:val="1"/>
      <w:numFmt w:val="bullet"/>
      <w:pStyle w:val="ListBullet"/>
      <w:lvlText w:val=""/>
      <w:lvlJc w:val="left"/>
      <w:pPr>
        <w:ind w:left="357" w:hanging="357"/>
      </w:pPr>
      <w:rPr>
        <w:rFonts w:ascii="Symbol" w:hAnsi="Symbol" w:cs="Times New Roman" w:hint="default"/>
        <w:color w:val="0076BD" w:themeColor="text2"/>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C156CD"/>
    <w:multiLevelType w:val="hybridMultilevel"/>
    <w:tmpl w:val="798A4286"/>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99724D"/>
    <w:multiLevelType w:val="multilevel"/>
    <w:tmpl w:val="8B3E49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036712"/>
    <w:multiLevelType w:val="hybridMultilevel"/>
    <w:tmpl w:val="8C32FB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327A4F"/>
    <w:multiLevelType w:val="hybridMultilevel"/>
    <w:tmpl w:val="F9B8A19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2423F6"/>
    <w:multiLevelType w:val="multilevel"/>
    <w:tmpl w:val="B22830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B5333F"/>
    <w:multiLevelType w:val="hybridMultilevel"/>
    <w:tmpl w:val="627EE9FA"/>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A25AF4"/>
    <w:multiLevelType w:val="hybridMultilevel"/>
    <w:tmpl w:val="6E2C0188"/>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33E7EC1"/>
    <w:multiLevelType w:val="hybridMultilevel"/>
    <w:tmpl w:val="EBB870A8"/>
    <w:lvl w:ilvl="0" w:tplc="544C80A4">
      <w:start w:val="1"/>
      <w:numFmt w:val="bullet"/>
      <w:lvlText w:val=""/>
      <w:lvlJc w:val="left"/>
      <w:pPr>
        <w:ind w:left="1080" w:hanging="360"/>
      </w:pPr>
      <w:rPr>
        <w:rFonts w:ascii="Symbol" w:hAnsi="Symbol" w:hint="default"/>
        <w:color w:val="0076BD"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A3E1A0C"/>
    <w:multiLevelType w:val="multilevel"/>
    <w:tmpl w:val="06CC1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4B0CD0"/>
    <w:multiLevelType w:val="multilevel"/>
    <w:tmpl w:val="837EF3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6B0EAE"/>
    <w:multiLevelType w:val="multilevel"/>
    <w:tmpl w:val="C7F0D95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716F1E"/>
    <w:multiLevelType w:val="hybridMultilevel"/>
    <w:tmpl w:val="3120167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6167370">
    <w:abstractNumId w:val="9"/>
  </w:num>
  <w:num w:numId="2" w16cid:durableId="214464560">
    <w:abstractNumId w:val="7"/>
  </w:num>
  <w:num w:numId="3" w16cid:durableId="1389457740">
    <w:abstractNumId w:val="6"/>
  </w:num>
  <w:num w:numId="4" w16cid:durableId="166287211">
    <w:abstractNumId w:val="5"/>
  </w:num>
  <w:num w:numId="5" w16cid:durableId="2129734548">
    <w:abstractNumId w:val="4"/>
  </w:num>
  <w:num w:numId="6" w16cid:durableId="1048455853">
    <w:abstractNumId w:val="8"/>
  </w:num>
  <w:num w:numId="7" w16cid:durableId="1709529189">
    <w:abstractNumId w:val="3"/>
  </w:num>
  <w:num w:numId="8" w16cid:durableId="547180078">
    <w:abstractNumId w:val="2"/>
  </w:num>
  <w:num w:numId="9" w16cid:durableId="1259631858">
    <w:abstractNumId w:val="1"/>
  </w:num>
  <w:num w:numId="10" w16cid:durableId="1079476142">
    <w:abstractNumId w:val="0"/>
  </w:num>
  <w:num w:numId="11" w16cid:durableId="1546916673">
    <w:abstractNumId w:val="13"/>
  </w:num>
  <w:num w:numId="12" w16cid:durableId="846332017">
    <w:abstractNumId w:val="18"/>
  </w:num>
  <w:num w:numId="13" w16cid:durableId="1841699298">
    <w:abstractNumId w:val="20"/>
  </w:num>
  <w:num w:numId="14" w16cid:durableId="1337805172">
    <w:abstractNumId w:val="33"/>
  </w:num>
  <w:num w:numId="15" w16cid:durableId="650449159">
    <w:abstractNumId w:val="21"/>
  </w:num>
  <w:num w:numId="16" w16cid:durableId="292060342">
    <w:abstractNumId w:val="27"/>
  </w:num>
  <w:num w:numId="17" w16cid:durableId="230115603">
    <w:abstractNumId w:val="28"/>
  </w:num>
  <w:num w:numId="18" w16cid:durableId="2071614170">
    <w:abstractNumId w:val="16"/>
  </w:num>
  <w:num w:numId="19" w16cid:durableId="1954630112">
    <w:abstractNumId w:val="18"/>
  </w:num>
  <w:num w:numId="20" w16cid:durableId="69667796">
    <w:abstractNumId w:val="14"/>
  </w:num>
  <w:num w:numId="21" w16cid:durableId="1159924798">
    <w:abstractNumId w:val="31"/>
  </w:num>
  <w:num w:numId="22" w16cid:durableId="1684045779">
    <w:abstractNumId w:val="25"/>
  </w:num>
  <w:num w:numId="23" w16cid:durableId="1064373185">
    <w:abstractNumId w:val="12"/>
  </w:num>
  <w:num w:numId="24" w16cid:durableId="69232361">
    <w:abstractNumId w:val="22"/>
  </w:num>
  <w:num w:numId="25" w16cid:durableId="1996447956">
    <w:abstractNumId w:val="32"/>
  </w:num>
  <w:num w:numId="26" w16cid:durableId="1018121861">
    <w:abstractNumId w:val="35"/>
  </w:num>
  <w:num w:numId="27" w16cid:durableId="1696426228">
    <w:abstractNumId w:val="26"/>
  </w:num>
  <w:num w:numId="28" w16cid:durableId="1990554531">
    <w:abstractNumId w:val="10"/>
  </w:num>
  <w:num w:numId="29" w16cid:durableId="1006371717">
    <w:abstractNumId w:val="19"/>
  </w:num>
  <w:num w:numId="30" w16cid:durableId="988944923">
    <w:abstractNumId w:val="23"/>
  </w:num>
  <w:num w:numId="31" w16cid:durableId="740368321">
    <w:abstractNumId w:val="17"/>
  </w:num>
  <w:num w:numId="32" w16cid:durableId="1656105445">
    <w:abstractNumId w:val="29"/>
  </w:num>
  <w:num w:numId="33" w16cid:durableId="380716736">
    <w:abstractNumId w:val="24"/>
  </w:num>
  <w:num w:numId="34" w16cid:durableId="1709335906">
    <w:abstractNumId w:val="30"/>
  </w:num>
  <w:num w:numId="35" w16cid:durableId="327447782">
    <w:abstractNumId w:val="15"/>
  </w:num>
  <w:num w:numId="36" w16cid:durableId="474295531">
    <w:abstractNumId w:val="11"/>
  </w:num>
  <w:num w:numId="37" w16cid:durableId="1079980155">
    <w:abstractNumId w:val="34"/>
  </w:num>
  <w:num w:numId="38" w16cid:durableId="450322708">
    <w:abstractNumId w:val="18"/>
  </w:num>
  <w:num w:numId="39" w16cid:durableId="394426880">
    <w:abstractNumId w:val="18"/>
  </w:num>
  <w:num w:numId="40" w16cid:durableId="1258171031">
    <w:abstractNumId w:val="18"/>
  </w:num>
  <w:num w:numId="41" w16cid:durableId="7660729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7B36"/>
    <w:rsid w:val="00011CD5"/>
    <w:rsid w:val="00014617"/>
    <w:rsid w:val="00043904"/>
    <w:rsid w:val="000469C6"/>
    <w:rsid w:val="00051DC2"/>
    <w:rsid w:val="00052BBC"/>
    <w:rsid w:val="00066777"/>
    <w:rsid w:val="00067075"/>
    <w:rsid w:val="000675E0"/>
    <w:rsid w:val="00081251"/>
    <w:rsid w:val="0008128A"/>
    <w:rsid w:val="000862CB"/>
    <w:rsid w:val="000A453D"/>
    <w:rsid w:val="000A7FA4"/>
    <w:rsid w:val="000B462B"/>
    <w:rsid w:val="000D06F7"/>
    <w:rsid w:val="000D6712"/>
    <w:rsid w:val="000F5EE5"/>
    <w:rsid w:val="00111085"/>
    <w:rsid w:val="00127ECB"/>
    <w:rsid w:val="00146215"/>
    <w:rsid w:val="00157DD6"/>
    <w:rsid w:val="00157F35"/>
    <w:rsid w:val="001840D6"/>
    <w:rsid w:val="00185310"/>
    <w:rsid w:val="00186F5B"/>
    <w:rsid w:val="001C589E"/>
    <w:rsid w:val="001E3534"/>
    <w:rsid w:val="001E3FF4"/>
    <w:rsid w:val="00204D86"/>
    <w:rsid w:val="00207714"/>
    <w:rsid w:val="002176BD"/>
    <w:rsid w:val="00217EAB"/>
    <w:rsid w:val="0022291B"/>
    <w:rsid w:val="0022498C"/>
    <w:rsid w:val="00225A62"/>
    <w:rsid w:val="0022626C"/>
    <w:rsid w:val="0024273B"/>
    <w:rsid w:val="00243114"/>
    <w:rsid w:val="00247B0E"/>
    <w:rsid w:val="00250763"/>
    <w:rsid w:val="002514C1"/>
    <w:rsid w:val="002703E9"/>
    <w:rsid w:val="002724D0"/>
    <w:rsid w:val="00276E87"/>
    <w:rsid w:val="002A7840"/>
    <w:rsid w:val="002B1CE5"/>
    <w:rsid w:val="002F1626"/>
    <w:rsid w:val="002F293B"/>
    <w:rsid w:val="002F4DB3"/>
    <w:rsid w:val="00301849"/>
    <w:rsid w:val="003108A1"/>
    <w:rsid w:val="003278A2"/>
    <w:rsid w:val="003464E5"/>
    <w:rsid w:val="00350FFA"/>
    <w:rsid w:val="00357EC2"/>
    <w:rsid w:val="00374E44"/>
    <w:rsid w:val="00382F07"/>
    <w:rsid w:val="00392190"/>
    <w:rsid w:val="003932D9"/>
    <w:rsid w:val="00396514"/>
    <w:rsid w:val="003A2EFF"/>
    <w:rsid w:val="003A760B"/>
    <w:rsid w:val="003C3F27"/>
    <w:rsid w:val="003C71C0"/>
    <w:rsid w:val="003D65F8"/>
    <w:rsid w:val="003D66E6"/>
    <w:rsid w:val="003F1FC2"/>
    <w:rsid w:val="003F40DC"/>
    <w:rsid w:val="003F697B"/>
    <w:rsid w:val="003F7198"/>
    <w:rsid w:val="003F7FC9"/>
    <w:rsid w:val="00406DE0"/>
    <w:rsid w:val="00414677"/>
    <w:rsid w:val="00420559"/>
    <w:rsid w:val="00424FF7"/>
    <w:rsid w:val="004323EA"/>
    <w:rsid w:val="004336FE"/>
    <w:rsid w:val="00453277"/>
    <w:rsid w:val="00453C04"/>
    <w:rsid w:val="00460076"/>
    <w:rsid w:val="00486935"/>
    <w:rsid w:val="004949A6"/>
    <w:rsid w:val="00497764"/>
    <w:rsid w:val="004A0DC8"/>
    <w:rsid w:val="004B0828"/>
    <w:rsid w:val="004B1A0D"/>
    <w:rsid w:val="004B31C0"/>
    <w:rsid w:val="004C05EE"/>
    <w:rsid w:val="004C26CF"/>
    <w:rsid w:val="004C67DA"/>
    <w:rsid w:val="004D575D"/>
    <w:rsid w:val="004E6B71"/>
    <w:rsid w:val="005109AE"/>
    <w:rsid w:val="0051352E"/>
    <w:rsid w:val="00517DA7"/>
    <w:rsid w:val="00520A33"/>
    <w:rsid w:val="00525FC6"/>
    <w:rsid w:val="00527AE4"/>
    <w:rsid w:val="00547102"/>
    <w:rsid w:val="00553BF3"/>
    <w:rsid w:val="0055569D"/>
    <w:rsid w:val="00556977"/>
    <w:rsid w:val="00576B4C"/>
    <w:rsid w:val="00584749"/>
    <w:rsid w:val="00590A3C"/>
    <w:rsid w:val="00596A88"/>
    <w:rsid w:val="005A0537"/>
    <w:rsid w:val="005B43CC"/>
    <w:rsid w:val="005B6823"/>
    <w:rsid w:val="005C191A"/>
    <w:rsid w:val="005D7CE7"/>
    <w:rsid w:val="005F0144"/>
    <w:rsid w:val="00602139"/>
    <w:rsid w:val="0060628C"/>
    <w:rsid w:val="00610A38"/>
    <w:rsid w:val="00630DDF"/>
    <w:rsid w:val="0063643A"/>
    <w:rsid w:val="00640B0F"/>
    <w:rsid w:val="00657A40"/>
    <w:rsid w:val="00662A42"/>
    <w:rsid w:val="00664821"/>
    <w:rsid w:val="0067555A"/>
    <w:rsid w:val="00676062"/>
    <w:rsid w:val="00693DBB"/>
    <w:rsid w:val="006A1962"/>
    <w:rsid w:val="006D154E"/>
    <w:rsid w:val="006E0E1C"/>
    <w:rsid w:val="006E5D6E"/>
    <w:rsid w:val="007010C9"/>
    <w:rsid w:val="00707308"/>
    <w:rsid w:val="007125DD"/>
    <w:rsid w:val="007211BA"/>
    <w:rsid w:val="00721B03"/>
    <w:rsid w:val="00735ED7"/>
    <w:rsid w:val="007570DC"/>
    <w:rsid w:val="0076398A"/>
    <w:rsid w:val="0077324D"/>
    <w:rsid w:val="007802C3"/>
    <w:rsid w:val="007A1856"/>
    <w:rsid w:val="007A52CF"/>
    <w:rsid w:val="007B002F"/>
    <w:rsid w:val="007B1ABA"/>
    <w:rsid w:val="007B4F0C"/>
    <w:rsid w:val="007B5D9F"/>
    <w:rsid w:val="007B74C5"/>
    <w:rsid w:val="007C5EC7"/>
    <w:rsid w:val="007C73F9"/>
    <w:rsid w:val="007C743F"/>
    <w:rsid w:val="007F2A00"/>
    <w:rsid w:val="007F2F81"/>
    <w:rsid w:val="008034E7"/>
    <w:rsid w:val="00807076"/>
    <w:rsid w:val="008210B7"/>
    <w:rsid w:val="00830E6D"/>
    <w:rsid w:val="00831C98"/>
    <w:rsid w:val="00836950"/>
    <w:rsid w:val="00842C50"/>
    <w:rsid w:val="008465F9"/>
    <w:rsid w:val="008507C1"/>
    <w:rsid w:val="00851085"/>
    <w:rsid w:val="0085154A"/>
    <w:rsid w:val="00861934"/>
    <w:rsid w:val="0089430C"/>
    <w:rsid w:val="00895533"/>
    <w:rsid w:val="008C50DF"/>
    <w:rsid w:val="008C5CF2"/>
    <w:rsid w:val="008D67AB"/>
    <w:rsid w:val="008E22BA"/>
    <w:rsid w:val="008E7116"/>
    <w:rsid w:val="008F0AC9"/>
    <w:rsid w:val="008F2579"/>
    <w:rsid w:val="008F6A25"/>
    <w:rsid w:val="00900F7F"/>
    <w:rsid w:val="00905F86"/>
    <w:rsid w:val="009100C2"/>
    <w:rsid w:val="00915F41"/>
    <w:rsid w:val="0093473D"/>
    <w:rsid w:val="009359A6"/>
    <w:rsid w:val="009433F8"/>
    <w:rsid w:val="00944ECC"/>
    <w:rsid w:val="0094578A"/>
    <w:rsid w:val="00951591"/>
    <w:rsid w:val="0095291A"/>
    <w:rsid w:val="00972F57"/>
    <w:rsid w:val="00995280"/>
    <w:rsid w:val="00995679"/>
    <w:rsid w:val="009974C9"/>
    <w:rsid w:val="009978AA"/>
    <w:rsid w:val="009C2030"/>
    <w:rsid w:val="009C63E5"/>
    <w:rsid w:val="009C7620"/>
    <w:rsid w:val="009C7F5F"/>
    <w:rsid w:val="009D2C28"/>
    <w:rsid w:val="009D35F0"/>
    <w:rsid w:val="009F37EB"/>
    <w:rsid w:val="009F7B5A"/>
    <w:rsid w:val="00A002EB"/>
    <w:rsid w:val="00A0394B"/>
    <w:rsid w:val="00A15183"/>
    <w:rsid w:val="00A24E6E"/>
    <w:rsid w:val="00A37548"/>
    <w:rsid w:val="00A43694"/>
    <w:rsid w:val="00A45114"/>
    <w:rsid w:val="00A51312"/>
    <w:rsid w:val="00A56520"/>
    <w:rsid w:val="00A56FC7"/>
    <w:rsid w:val="00A668BF"/>
    <w:rsid w:val="00A7021A"/>
    <w:rsid w:val="00A72575"/>
    <w:rsid w:val="00A74071"/>
    <w:rsid w:val="00A754E4"/>
    <w:rsid w:val="00A75CA9"/>
    <w:rsid w:val="00A76408"/>
    <w:rsid w:val="00A8385D"/>
    <w:rsid w:val="00AA124A"/>
    <w:rsid w:val="00AA22C5"/>
    <w:rsid w:val="00AA2A96"/>
    <w:rsid w:val="00AA7487"/>
    <w:rsid w:val="00AB0F24"/>
    <w:rsid w:val="00AD4424"/>
    <w:rsid w:val="00AD61B8"/>
    <w:rsid w:val="00B0707D"/>
    <w:rsid w:val="00B100CC"/>
    <w:rsid w:val="00B15FE0"/>
    <w:rsid w:val="00B26426"/>
    <w:rsid w:val="00B373C5"/>
    <w:rsid w:val="00B456C5"/>
    <w:rsid w:val="00B604DA"/>
    <w:rsid w:val="00B652DE"/>
    <w:rsid w:val="00B6689D"/>
    <w:rsid w:val="00B72368"/>
    <w:rsid w:val="00B77914"/>
    <w:rsid w:val="00B86693"/>
    <w:rsid w:val="00BC74BB"/>
    <w:rsid w:val="00BD48C7"/>
    <w:rsid w:val="00BE0DE0"/>
    <w:rsid w:val="00C073D7"/>
    <w:rsid w:val="00C10179"/>
    <w:rsid w:val="00C16E48"/>
    <w:rsid w:val="00C21579"/>
    <w:rsid w:val="00C3282F"/>
    <w:rsid w:val="00C36638"/>
    <w:rsid w:val="00C373CB"/>
    <w:rsid w:val="00C43C86"/>
    <w:rsid w:val="00C47419"/>
    <w:rsid w:val="00C54D58"/>
    <w:rsid w:val="00C573E1"/>
    <w:rsid w:val="00C60222"/>
    <w:rsid w:val="00C64AE9"/>
    <w:rsid w:val="00C67024"/>
    <w:rsid w:val="00C7177A"/>
    <w:rsid w:val="00C736D3"/>
    <w:rsid w:val="00C73E2C"/>
    <w:rsid w:val="00C82E19"/>
    <w:rsid w:val="00C93CC8"/>
    <w:rsid w:val="00C95DF6"/>
    <w:rsid w:val="00CB5FF9"/>
    <w:rsid w:val="00CC3BA4"/>
    <w:rsid w:val="00CD3ECB"/>
    <w:rsid w:val="00CE1455"/>
    <w:rsid w:val="00CE4272"/>
    <w:rsid w:val="00CE74F8"/>
    <w:rsid w:val="00D17E31"/>
    <w:rsid w:val="00D23730"/>
    <w:rsid w:val="00D36030"/>
    <w:rsid w:val="00D43014"/>
    <w:rsid w:val="00D45CA2"/>
    <w:rsid w:val="00D5743F"/>
    <w:rsid w:val="00D632D7"/>
    <w:rsid w:val="00D73307"/>
    <w:rsid w:val="00D762B5"/>
    <w:rsid w:val="00D837AB"/>
    <w:rsid w:val="00D8562D"/>
    <w:rsid w:val="00D97972"/>
    <w:rsid w:val="00DA1B7B"/>
    <w:rsid w:val="00DB3CC1"/>
    <w:rsid w:val="00DB79DF"/>
    <w:rsid w:val="00DD262A"/>
    <w:rsid w:val="00DD7333"/>
    <w:rsid w:val="00DE0402"/>
    <w:rsid w:val="00E02099"/>
    <w:rsid w:val="00E16543"/>
    <w:rsid w:val="00E3583B"/>
    <w:rsid w:val="00E41CC6"/>
    <w:rsid w:val="00E44001"/>
    <w:rsid w:val="00E4572D"/>
    <w:rsid w:val="00E616AF"/>
    <w:rsid w:val="00E61F67"/>
    <w:rsid w:val="00E67289"/>
    <w:rsid w:val="00E70D58"/>
    <w:rsid w:val="00E77BAE"/>
    <w:rsid w:val="00E80FCE"/>
    <w:rsid w:val="00EA32F7"/>
    <w:rsid w:val="00EC21B0"/>
    <w:rsid w:val="00EC6A53"/>
    <w:rsid w:val="00ED0C51"/>
    <w:rsid w:val="00ED24F6"/>
    <w:rsid w:val="00ED2C31"/>
    <w:rsid w:val="00ED366D"/>
    <w:rsid w:val="00ED4A82"/>
    <w:rsid w:val="00ED5138"/>
    <w:rsid w:val="00ED744A"/>
    <w:rsid w:val="00EE5C8A"/>
    <w:rsid w:val="00EE5EEB"/>
    <w:rsid w:val="00F04D20"/>
    <w:rsid w:val="00F15356"/>
    <w:rsid w:val="00F20090"/>
    <w:rsid w:val="00F230CD"/>
    <w:rsid w:val="00F24459"/>
    <w:rsid w:val="00F3071E"/>
    <w:rsid w:val="00F339F2"/>
    <w:rsid w:val="00F47799"/>
    <w:rsid w:val="00F5014F"/>
    <w:rsid w:val="00F50167"/>
    <w:rsid w:val="00F51C18"/>
    <w:rsid w:val="00F57684"/>
    <w:rsid w:val="00F57A8C"/>
    <w:rsid w:val="00F621C5"/>
    <w:rsid w:val="00F81556"/>
    <w:rsid w:val="00F81BD8"/>
    <w:rsid w:val="00F90A50"/>
    <w:rsid w:val="00F9298D"/>
    <w:rsid w:val="00FA31E2"/>
    <w:rsid w:val="00FA6E05"/>
    <w:rsid w:val="00FB6477"/>
    <w:rsid w:val="00FB666C"/>
    <w:rsid w:val="00FF212F"/>
    <w:rsid w:val="00FF2C61"/>
    <w:rsid w:val="00FF35CC"/>
    <w:rsid w:val="00FF4D19"/>
    <w:rsid w:val="00FF4FCA"/>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3C"/>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qFormat/>
    <w:rsid w:val="007802C3"/>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lisa@usgemployment.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2" ma:contentTypeDescription="Create a new document." ma:contentTypeScope="" ma:versionID="c5ffadb0a2b604380341a41e5eec1c03">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159b4a428ae08867a5af77956d386a96"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nillable="true" ma:displayName="DepartmentStream" ma:format="RadioButtons" ma:internalName="DepartmentStream">
      <xsd:simpleType>
        <xsd:restriction base="dms:Choice">
          <xsd:enumeration value="Employment"/>
          <xsd:enumeration value="Educ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epartmentStream xmlns="ac66cff4-b0ee-4863-94d2-8c70a4f03800">Employment</DepartmentStream>
    <PublishingExpirationDate xmlns="http://schemas.microsoft.com/sharepoint/v3" xsi:nil="true"/>
    <RoutingRuleDescription xmlns="http://schemas.microsoft.com/sharepoint/v3">0008_DEWR A3 factsheet portrait</RoutingRuleDescription>
    <PublishingStartDate xmlns="http://schemas.microsoft.com/sharepoint/v3" xsi:nil="true"/>
    <ItemSubFunction xmlns="e72c3662-d489-4d5c-a678-b18c0e8aeb72">Resources</ItemSubFun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D8565185-1142-4CA9-8781-2903ED6A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 ds:uri="ac66cff4-b0ee-4863-94d2-8c70a4f03800"/>
    <ds:schemaRef ds:uri="http://schemas.microsoft.com/sharepoint/v3"/>
  </ds:schemaRefs>
</ds:datastoreItem>
</file>

<file path=customXml/itemProps4.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1498</Words>
  <Characters>9211</Characters>
  <Application>Microsoft Office Word</Application>
  <DocSecurity>0</DocSecurity>
  <Lines>138</Lines>
  <Paragraphs>77</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2023-02-02T03:45:00Z</dcterms:created>
  <dcterms:modified xsi:type="dcterms:W3CDTF">2023-08-14T09:14:00Z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