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0755A" w14:textId="656312A3" w:rsidR="00691F7F" w:rsidRPr="00A925E9" w:rsidRDefault="00691F7F" w:rsidP="006C5036">
      <w:pPr>
        <w:spacing w:before="120" w:after="120"/>
        <w:jc w:val="center"/>
        <w:rPr>
          <w:b/>
          <w:sz w:val="26"/>
        </w:rPr>
      </w:pPr>
      <w:r w:rsidRPr="00A925E9">
        <w:rPr>
          <w:b/>
          <w:sz w:val="26"/>
        </w:rPr>
        <w:t xml:space="preserve">ASEA Review – </w:t>
      </w:r>
      <w:bookmarkStart w:id="0" w:name="_GoBack"/>
      <w:r w:rsidRPr="00A925E9">
        <w:rPr>
          <w:b/>
          <w:sz w:val="26"/>
        </w:rPr>
        <w:t xml:space="preserve">Department </w:t>
      </w:r>
      <w:r w:rsidR="00AA5874">
        <w:rPr>
          <w:b/>
          <w:sz w:val="26"/>
        </w:rPr>
        <w:t>of Jobs and Small Business</w:t>
      </w:r>
      <w:bookmarkEnd w:id="0"/>
      <w:r w:rsidR="00AA5874">
        <w:rPr>
          <w:b/>
          <w:sz w:val="26"/>
        </w:rPr>
        <w:t xml:space="preserve"> </w:t>
      </w:r>
      <w:r w:rsidRPr="00A925E9">
        <w:rPr>
          <w:b/>
          <w:sz w:val="26"/>
        </w:rPr>
        <w:t>Submission</w:t>
      </w:r>
    </w:p>
    <w:p w14:paraId="21B0004B" w14:textId="37142DD0" w:rsidR="00691F7F" w:rsidRPr="006C5036" w:rsidRDefault="00691F7F" w:rsidP="006C5036">
      <w:pPr>
        <w:pStyle w:val="Heading3"/>
        <w:spacing w:before="120" w:after="120"/>
        <w:rPr>
          <w:rFonts w:asciiTheme="minorHAnsi" w:hAnsiTheme="minorHAnsi" w:cstheme="minorHAnsi"/>
          <w:b/>
          <w:color w:val="1F4E79" w:themeColor="accent1" w:themeShade="80"/>
        </w:rPr>
      </w:pPr>
      <w:r w:rsidRPr="006C5036">
        <w:rPr>
          <w:rFonts w:asciiTheme="minorHAnsi" w:hAnsiTheme="minorHAnsi" w:cstheme="minorHAnsi"/>
          <w:b/>
          <w:color w:val="1F4E79" w:themeColor="accent1" w:themeShade="80"/>
        </w:rPr>
        <w:t>Overview</w:t>
      </w:r>
    </w:p>
    <w:p w14:paraId="37CED7A2" w14:textId="13055424" w:rsidR="00D83A30" w:rsidRDefault="00D83A30" w:rsidP="006C5036">
      <w:pPr>
        <w:spacing w:before="120" w:after="120"/>
      </w:pPr>
      <w:r w:rsidRPr="00BC6573">
        <w:t>The Australian Government acknowledges the significant impact on the health and safety of the Australian community that may arise from exposure to asbestos</w:t>
      </w:r>
      <w:r w:rsidR="004C262C">
        <w:t xml:space="preserve"> and is committed to working with states and territories to minimise these impacts to the greatest extent possible</w:t>
      </w:r>
      <w:r w:rsidRPr="00BC6573">
        <w:t>.</w:t>
      </w:r>
      <w:r>
        <w:t xml:space="preserve"> </w:t>
      </w:r>
    </w:p>
    <w:p w14:paraId="6E347692" w14:textId="4B7838B5" w:rsidR="003C0BE1" w:rsidRDefault="003C0BE1" w:rsidP="006C5036">
      <w:pPr>
        <w:spacing w:before="120" w:after="120"/>
      </w:pPr>
      <w:r>
        <w:t xml:space="preserve">The Asbestos Safety and Eradication Agency (ASEA) </w:t>
      </w:r>
      <w:r w:rsidR="005111C5" w:rsidRPr="005111C5">
        <w:t xml:space="preserve">is a statutory authority established </w:t>
      </w:r>
      <w:r w:rsidR="005111C5">
        <w:t>under</w:t>
      </w:r>
      <w:r w:rsidR="005111C5" w:rsidRPr="005111C5">
        <w:t xml:space="preserve"> the </w:t>
      </w:r>
      <w:r w:rsidR="005111C5" w:rsidRPr="00267EFE">
        <w:rPr>
          <w:i/>
        </w:rPr>
        <w:t>Asbestos Safety and Eradication Agency Act 2013</w:t>
      </w:r>
      <w:r w:rsidR="005111C5">
        <w:t xml:space="preserve"> (the Act)</w:t>
      </w:r>
      <w:r w:rsidR="005111C5" w:rsidRPr="005111C5">
        <w:t>.</w:t>
      </w:r>
      <w:r w:rsidR="005111C5">
        <w:t xml:space="preserve"> It </w:t>
      </w:r>
      <w:r>
        <w:t xml:space="preserve">performs </w:t>
      </w:r>
      <w:r w:rsidRPr="006C5036">
        <w:t xml:space="preserve">a </w:t>
      </w:r>
      <w:r w:rsidR="004C262C">
        <w:t>key</w:t>
      </w:r>
      <w:r w:rsidRPr="006C5036">
        <w:t xml:space="preserve"> role in </w:t>
      </w:r>
      <w:r w:rsidR="001715D7" w:rsidRPr="006C5036">
        <w:t>developing</w:t>
      </w:r>
      <w:r w:rsidR="00F63410" w:rsidRPr="006C5036">
        <w:t xml:space="preserve"> </w:t>
      </w:r>
      <w:r w:rsidR="001715D7" w:rsidRPr="006C5036">
        <w:t>t</w:t>
      </w:r>
      <w:r w:rsidRPr="006C5036">
        <w:t>he National</w:t>
      </w:r>
      <w:r w:rsidR="001715D7" w:rsidRPr="006C5036">
        <w:t xml:space="preserve"> Strategic Plan for Asbestos Management and Awareness (the Plan)</w:t>
      </w:r>
      <w:r w:rsidR="00F63410" w:rsidRPr="006C5036">
        <w:t>,</w:t>
      </w:r>
      <w:r w:rsidR="00F63410">
        <w:t xml:space="preserve"> and driving a national focus on asbestos safety and management. </w:t>
      </w:r>
    </w:p>
    <w:p w14:paraId="69C1E445" w14:textId="49B5B098" w:rsidR="006C5036" w:rsidRDefault="006C5036" w:rsidP="006C5036">
      <w:pPr>
        <w:spacing w:before="120" w:after="120"/>
      </w:pPr>
      <w:r w:rsidRPr="00BC6573">
        <w:t xml:space="preserve">Commonwealth, state, territory and local governments are responsible for managing asbestos within their jurisdictions. This includes </w:t>
      </w:r>
      <w:r w:rsidR="004C262C">
        <w:t xml:space="preserve">areas of focus such as </w:t>
      </w:r>
      <w:r w:rsidRPr="00BC6573">
        <w:t>work health and safety (WHS), public health, consumer safety</w:t>
      </w:r>
      <w:r>
        <w:t xml:space="preserve">, </w:t>
      </w:r>
      <w:r w:rsidRPr="00BC6573">
        <w:t>environmental regulation</w:t>
      </w:r>
      <w:r>
        <w:t xml:space="preserve"> and border controls</w:t>
      </w:r>
      <w:r w:rsidRPr="00BC6573">
        <w:t>.</w:t>
      </w:r>
      <w:r w:rsidR="00EE2A2E">
        <w:t xml:space="preserve"> All tiers of government</w:t>
      </w:r>
      <w:r w:rsidRPr="00BC6573">
        <w:t xml:space="preserve"> work </w:t>
      </w:r>
      <w:r>
        <w:t xml:space="preserve">together </w:t>
      </w:r>
      <w:r w:rsidRPr="00BC6573">
        <w:t>closely to develop consistent regulatory and policy frameworks. The Australian Government</w:t>
      </w:r>
      <w:r>
        <w:t xml:space="preserve"> established and funds </w:t>
      </w:r>
      <w:r w:rsidRPr="00BC6573">
        <w:t>ASEA</w:t>
      </w:r>
      <w:r>
        <w:t xml:space="preserve"> to support a strategic national approach to addressing Australia’s asbestos legacy.</w:t>
      </w:r>
    </w:p>
    <w:p w14:paraId="536E2C2C" w14:textId="6B5A93DA" w:rsidR="00D83A30" w:rsidRDefault="00D83A30" w:rsidP="006C5036">
      <w:pPr>
        <w:spacing w:before="120" w:after="120"/>
      </w:pPr>
      <w:r w:rsidRPr="00BC6573">
        <w:t>The Government provided ASEA with additional ongoing funding of $1.7 million per annum, commencing in 2018–19, in the 2017 Mid-Year Economic and Fiscal Outlook</w:t>
      </w:r>
      <w:r w:rsidRPr="00BC6573">
        <w:rPr>
          <w:bCs/>
        </w:rPr>
        <w:t xml:space="preserve"> (</w:t>
      </w:r>
      <w:r w:rsidRPr="00BC6573">
        <w:t>MYEFO). This more than doubl</w:t>
      </w:r>
      <w:r w:rsidR="00140FAE">
        <w:t>e</w:t>
      </w:r>
      <w:r w:rsidR="004C262C">
        <w:t>d</w:t>
      </w:r>
      <w:r w:rsidR="00140FAE">
        <w:t xml:space="preserve"> ASEA’s base level of funding from $1.6 million</w:t>
      </w:r>
      <w:r w:rsidRPr="00BC6573">
        <w:t xml:space="preserve"> to $3.3 million per annum.</w:t>
      </w:r>
      <w:r w:rsidR="006C5036">
        <w:t xml:space="preserve"> </w:t>
      </w:r>
      <w:r w:rsidRPr="00BC6573">
        <w:t xml:space="preserve">The additional funding ensures ASEA can work effectively with state, territory and Commonwealth </w:t>
      </w:r>
      <w:r w:rsidR="006C5036">
        <w:t xml:space="preserve">governments </w:t>
      </w:r>
      <w:r w:rsidRPr="00BC6573">
        <w:t xml:space="preserve">to implement the </w:t>
      </w:r>
      <w:r w:rsidR="00CA0635">
        <w:t>Plan</w:t>
      </w:r>
      <w:r w:rsidRPr="00BC6573">
        <w:t xml:space="preserve"> to protect workers and the community from Australia’s deadly asbestos legacy.</w:t>
      </w:r>
      <w:r w:rsidR="006C5036">
        <w:t xml:space="preserve"> It </w:t>
      </w:r>
      <w:r w:rsidR="006C5036" w:rsidRPr="00E50FCE">
        <w:t>supports ASEA</w:t>
      </w:r>
      <w:r w:rsidR="004C262C" w:rsidRPr="00E50FCE">
        <w:t>’s</w:t>
      </w:r>
      <w:r w:rsidR="006C5036" w:rsidRPr="00E50FCE">
        <w:t xml:space="preserve"> </w:t>
      </w:r>
      <w:r w:rsidR="004C262C" w:rsidRPr="00E50FCE">
        <w:t xml:space="preserve">continued </w:t>
      </w:r>
      <w:r w:rsidR="006C5036" w:rsidRPr="00E50FCE">
        <w:t>engage</w:t>
      </w:r>
      <w:r w:rsidR="004C262C" w:rsidRPr="00E50FCE">
        <w:t>ment</w:t>
      </w:r>
      <w:r w:rsidR="006C5036" w:rsidRPr="00E50FCE">
        <w:t xml:space="preserve"> with a wide variety of stakeholder</w:t>
      </w:r>
      <w:r w:rsidR="005964C7">
        <w:t>s</w:t>
      </w:r>
      <w:r w:rsidR="006C5036" w:rsidRPr="00E50FCE">
        <w:t xml:space="preserve"> to maintain a collaborative and inform</w:t>
      </w:r>
      <w:r w:rsidR="00267EFE" w:rsidRPr="00E50FCE">
        <w:t>ed</w:t>
      </w:r>
      <w:r w:rsidR="006C5036">
        <w:t xml:space="preserve"> approach. </w:t>
      </w:r>
    </w:p>
    <w:p w14:paraId="0B8D85D0" w14:textId="716FC7D6" w:rsidR="009744B7" w:rsidRDefault="00D83A30" w:rsidP="00D27DAF">
      <w:pPr>
        <w:spacing w:before="120" w:after="120"/>
      </w:pPr>
      <w:r>
        <w:t>ASEA</w:t>
      </w:r>
      <w:r w:rsidR="00AA6C4F">
        <w:t>’s</w:t>
      </w:r>
      <w:r>
        <w:t xml:space="preserve"> role is not to take over the functions that right</w:t>
      </w:r>
      <w:r w:rsidR="006250EC">
        <w:t>ly sit</w:t>
      </w:r>
      <w:r>
        <w:t xml:space="preserve"> with state and territory government</w:t>
      </w:r>
      <w:r w:rsidR="00FF6080">
        <w:t>s</w:t>
      </w:r>
      <w:r>
        <w:t xml:space="preserve">, but to </w:t>
      </w:r>
      <w:r w:rsidR="00D27DAF">
        <w:t xml:space="preserve">drive and </w:t>
      </w:r>
      <w:r>
        <w:t>coordinat</w:t>
      </w:r>
      <w:r w:rsidR="006250EC">
        <w:t xml:space="preserve">e </w:t>
      </w:r>
      <w:r>
        <w:t>strategic</w:t>
      </w:r>
      <w:r w:rsidR="00D62687">
        <w:t xml:space="preserve"> national</w:t>
      </w:r>
      <w:r w:rsidR="006250EC">
        <w:t xml:space="preserve"> effort</w:t>
      </w:r>
      <w:r w:rsidR="00D62687">
        <w:t>.</w:t>
      </w:r>
      <w:r w:rsidR="00F850B4">
        <w:t xml:space="preserve"> </w:t>
      </w:r>
      <w:r w:rsidR="002A00EC">
        <w:t xml:space="preserve">This recognises the </w:t>
      </w:r>
      <w:r w:rsidR="00CA0635">
        <w:t>significant</w:t>
      </w:r>
      <w:r w:rsidR="002A00EC">
        <w:t xml:space="preserve"> expertise and resources which exist at the state and territory level</w:t>
      </w:r>
      <w:r w:rsidR="00FF6080">
        <w:t>, a</w:t>
      </w:r>
      <w:r w:rsidR="00A20262">
        <w:t>s</w:t>
      </w:r>
      <w:r w:rsidR="00FF6080">
        <w:t xml:space="preserve"> well as federal division of powers and legislative responsibility</w:t>
      </w:r>
      <w:r w:rsidR="002A00EC">
        <w:t>.</w:t>
      </w:r>
      <w:r w:rsidR="00D27DAF">
        <w:t xml:space="preserve"> </w:t>
      </w:r>
      <w:r w:rsidR="0014290F">
        <w:t xml:space="preserve">While there </w:t>
      </w:r>
      <w:r w:rsidR="00605201">
        <w:t>is</w:t>
      </w:r>
      <w:r w:rsidR="0014290F">
        <w:t xml:space="preserve"> a range of areas where ASEA could d</w:t>
      </w:r>
      <w:r w:rsidR="006C5036">
        <w:t>irect its effort</w:t>
      </w:r>
      <w:r w:rsidR="0014290F">
        <w:t>, a</w:t>
      </w:r>
      <w:r w:rsidR="00E453CA">
        <w:t xml:space="preserve"> wider role may distract ASEA from performing </w:t>
      </w:r>
      <w:r w:rsidR="00FF6080">
        <w:t>this essential</w:t>
      </w:r>
      <w:r w:rsidR="00D27DAF">
        <w:t xml:space="preserve"> national leadership</w:t>
      </w:r>
      <w:r w:rsidR="0014290F">
        <w:t xml:space="preserve"> function</w:t>
      </w:r>
      <w:r w:rsidR="001438D5">
        <w:t>.</w:t>
      </w:r>
      <w:r w:rsidR="0014290F">
        <w:t xml:space="preserve"> </w:t>
      </w:r>
    </w:p>
    <w:p w14:paraId="23464E7D" w14:textId="5AA66B2F" w:rsidR="00691F7F" w:rsidRPr="006C5036" w:rsidRDefault="004C262C" w:rsidP="006C5036">
      <w:pPr>
        <w:pStyle w:val="Heading3"/>
        <w:spacing w:before="120" w:after="120"/>
        <w:rPr>
          <w:rFonts w:asciiTheme="minorHAnsi" w:hAnsiTheme="minorHAnsi" w:cstheme="minorHAnsi"/>
          <w:b/>
          <w:color w:val="1F4E79" w:themeColor="accent1" w:themeShade="80"/>
        </w:rPr>
      </w:pPr>
      <w:r>
        <w:rPr>
          <w:rFonts w:asciiTheme="minorHAnsi" w:hAnsiTheme="minorHAnsi" w:cstheme="minorHAnsi"/>
          <w:b/>
          <w:color w:val="1F4E79" w:themeColor="accent1" w:themeShade="80"/>
        </w:rPr>
        <w:t xml:space="preserve">ASEA - </w:t>
      </w:r>
      <w:r w:rsidR="00691F7F" w:rsidRPr="006C5036">
        <w:rPr>
          <w:rFonts w:asciiTheme="minorHAnsi" w:hAnsiTheme="minorHAnsi" w:cstheme="minorHAnsi"/>
          <w:b/>
          <w:color w:val="1F4E79" w:themeColor="accent1" w:themeShade="80"/>
        </w:rPr>
        <w:t xml:space="preserve">Objectives, role, functions and activities </w:t>
      </w:r>
    </w:p>
    <w:p w14:paraId="0628FE1C" w14:textId="2C3CDE66" w:rsidR="007B167F" w:rsidRDefault="002964AF" w:rsidP="006C5036">
      <w:pPr>
        <w:spacing w:before="120" w:after="120"/>
      </w:pPr>
      <w:r w:rsidRPr="007B167F">
        <w:t>ASEA was established following the</w:t>
      </w:r>
      <w:r w:rsidR="004C262C">
        <w:t xml:space="preserve"> Australian Government’s</w:t>
      </w:r>
      <w:r w:rsidR="00C73DD0" w:rsidRPr="007B167F">
        <w:t xml:space="preserve"> 2012 </w:t>
      </w:r>
      <w:r w:rsidR="00C73DD0" w:rsidRPr="008D0EA7">
        <w:rPr>
          <w:i/>
        </w:rPr>
        <w:t>Asbestos Management Review</w:t>
      </w:r>
      <w:r w:rsidRPr="007B167F">
        <w:t>, which</w:t>
      </w:r>
      <w:r w:rsidR="00C73DD0" w:rsidRPr="007B167F">
        <w:t xml:space="preserve"> found asbestos</w:t>
      </w:r>
      <w:r w:rsidR="00C73DD0" w:rsidRPr="00340151">
        <w:t xml:space="preserve"> management and awareness raising activities in Australia to</w:t>
      </w:r>
      <w:r w:rsidR="00C73DD0">
        <w:t xml:space="preserve"> be fragmented and inconsistent. </w:t>
      </w:r>
      <w:r>
        <w:t>The review found</w:t>
      </w:r>
      <w:r w:rsidR="008D0EA7">
        <w:t xml:space="preserve"> that</w:t>
      </w:r>
      <w:r w:rsidR="00C73DD0">
        <w:t xml:space="preserve"> a National Strategic P</w:t>
      </w:r>
      <w:r w:rsidR="00C73DD0" w:rsidRPr="00852468">
        <w:t xml:space="preserve">lan </w:t>
      </w:r>
      <w:r w:rsidR="00C73DD0">
        <w:t xml:space="preserve">was needed to </w:t>
      </w:r>
      <w:r w:rsidR="00C73DD0" w:rsidRPr="00852468">
        <w:t>better drive, focus and coordinate efforts to address</w:t>
      </w:r>
      <w:r w:rsidR="00C73DD0">
        <w:t xml:space="preserve"> </w:t>
      </w:r>
      <w:r w:rsidR="00C73DD0" w:rsidRPr="00852468">
        <w:t xml:space="preserve">asbestos-related issues across Australia’s </w:t>
      </w:r>
      <w:r w:rsidR="00C73DD0">
        <w:t>various jurisdictions</w:t>
      </w:r>
      <w:r w:rsidR="00BA3862">
        <w:t>. The review therefore</w:t>
      </w:r>
      <w:r w:rsidR="00C73DD0">
        <w:t xml:space="preserve"> recommended the establishment of</w:t>
      </w:r>
      <w:r w:rsidR="00C73DD0" w:rsidRPr="00340151">
        <w:t xml:space="preserve"> a national coordinating body to ensure stakeholder</w:t>
      </w:r>
      <w:r w:rsidR="007B167F">
        <w:t>s</w:t>
      </w:r>
      <w:r w:rsidR="00C73DD0" w:rsidRPr="00340151">
        <w:t xml:space="preserve"> </w:t>
      </w:r>
      <w:r w:rsidR="007B167F">
        <w:t xml:space="preserve">are </w:t>
      </w:r>
      <w:r w:rsidR="00C73DD0" w:rsidRPr="00340151">
        <w:t>engage</w:t>
      </w:r>
      <w:r w:rsidR="007B167F">
        <w:t>d</w:t>
      </w:r>
      <w:r w:rsidR="00C73DD0" w:rsidRPr="00340151">
        <w:t xml:space="preserve"> and </w:t>
      </w:r>
      <w:r w:rsidR="007B167F">
        <w:t xml:space="preserve">implementation is </w:t>
      </w:r>
      <w:r w:rsidR="00C73DD0" w:rsidRPr="00340151">
        <w:t>effective</w:t>
      </w:r>
      <w:r w:rsidR="00C73DD0">
        <w:t>. Th</w:t>
      </w:r>
      <w:r w:rsidR="00641A1E">
        <w:t xml:space="preserve">is </w:t>
      </w:r>
      <w:r w:rsidR="00C73DD0">
        <w:t>rationale</w:t>
      </w:r>
      <w:r>
        <w:t xml:space="preserve"> </w:t>
      </w:r>
      <w:r w:rsidR="000C692D">
        <w:t xml:space="preserve">remains relevant </w:t>
      </w:r>
      <w:r w:rsidR="00C73DD0" w:rsidRPr="00340151">
        <w:t>today.</w:t>
      </w:r>
    </w:p>
    <w:p w14:paraId="742E8559" w14:textId="1D177E22" w:rsidR="00C73DD0" w:rsidRDefault="000C692D" w:rsidP="006C5036">
      <w:pPr>
        <w:spacing w:before="120" w:after="120"/>
      </w:pPr>
      <w:r>
        <w:t xml:space="preserve">ASEA is responsible for developing </w:t>
      </w:r>
      <w:r w:rsidR="00641A1E">
        <w:t xml:space="preserve">the Plan </w:t>
      </w:r>
      <w:r>
        <w:t xml:space="preserve">and overseeing </w:t>
      </w:r>
      <w:r w:rsidR="00641A1E">
        <w:t>its</w:t>
      </w:r>
      <w:r>
        <w:t xml:space="preserve"> implementation</w:t>
      </w:r>
      <w:r w:rsidR="00641A1E">
        <w:t>.</w:t>
      </w:r>
      <w:r>
        <w:t xml:space="preserve"> </w:t>
      </w:r>
      <w:r w:rsidR="00C73DD0">
        <w:t xml:space="preserve">Fundamentally, </w:t>
      </w:r>
      <w:r w:rsidR="00892F74">
        <w:t>its</w:t>
      </w:r>
      <w:r>
        <w:t xml:space="preserve"> role </w:t>
      </w:r>
      <w:r w:rsidR="001A608A">
        <w:t>is</w:t>
      </w:r>
      <w:r w:rsidR="00797159">
        <w:t xml:space="preserve"> on</w:t>
      </w:r>
      <w:r>
        <w:t xml:space="preserve">e </w:t>
      </w:r>
      <w:r w:rsidR="00797159">
        <w:t xml:space="preserve">of </w:t>
      </w:r>
      <w:r>
        <w:t>strategic leadership</w:t>
      </w:r>
      <w:r w:rsidR="00892F74">
        <w:t xml:space="preserve">. </w:t>
      </w:r>
      <w:r w:rsidR="00BA3862">
        <w:t xml:space="preserve">ASEA </w:t>
      </w:r>
      <w:r w:rsidR="001A608A">
        <w:t xml:space="preserve">works </w:t>
      </w:r>
      <w:r w:rsidR="00892F74">
        <w:t>across jurisdictions,</w:t>
      </w:r>
      <w:r w:rsidR="001A608A">
        <w:t xml:space="preserve"> </w:t>
      </w:r>
      <w:r w:rsidR="00892F74">
        <w:t xml:space="preserve">coordinating and </w:t>
      </w:r>
      <w:r w:rsidR="00C73DD0">
        <w:t>maintain</w:t>
      </w:r>
      <w:r w:rsidR="00797159">
        <w:t>ing</w:t>
      </w:r>
      <w:r>
        <w:t xml:space="preserve"> </w:t>
      </w:r>
      <w:r w:rsidR="001A608A">
        <w:t xml:space="preserve">stakeholder </w:t>
      </w:r>
      <w:r w:rsidR="00C73DD0">
        <w:t>momentum</w:t>
      </w:r>
      <w:r>
        <w:t xml:space="preserve"> </w:t>
      </w:r>
      <w:r w:rsidR="001A608A">
        <w:t xml:space="preserve">so that </w:t>
      </w:r>
      <w:r w:rsidR="00C73DD0">
        <w:t>Australia’s long-</w:t>
      </w:r>
      <w:r>
        <w:t xml:space="preserve">term goal </w:t>
      </w:r>
      <w:r w:rsidR="00C73DD0">
        <w:t>of eliminating asbestos related disease in Australia</w:t>
      </w:r>
      <w:r w:rsidR="001A608A">
        <w:t xml:space="preserve"> is realised</w:t>
      </w:r>
      <w:r w:rsidR="00C73DD0">
        <w:t xml:space="preserve">. </w:t>
      </w:r>
    </w:p>
    <w:p w14:paraId="0D7CAEBE" w14:textId="1466C538" w:rsidR="001A608A" w:rsidRDefault="001A608A" w:rsidP="006C5036">
      <w:pPr>
        <w:spacing w:before="120" w:after="120"/>
      </w:pPr>
      <w:r>
        <w:t>ASEA</w:t>
      </w:r>
      <w:r w:rsidR="00892F74">
        <w:t>’s</w:t>
      </w:r>
      <w:r>
        <w:t xml:space="preserve"> functions are set out in the </w:t>
      </w:r>
      <w:r w:rsidRPr="00833952">
        <w:rPr>
          <w:i/>
        </w:rPr>
        <w:t>Asbestos Safety</w:t>
      </w:r>
      <w:r>
        <w:rPr>
          <w:i/>
        </w:rPr>
        <w:t xml:space="preserve"> and Eradication Agency Act </w:t>
      </w:r>
      <w:r w:rsidRPr="00833952">
        <w:rPr>
          <w:i/>
        </w:rPr>
        <w:t>2013</w:t>
      </w:r>
      <w:r>
        <w:t xml:space="preserve"> and can be summarised into three broad categories:</w:t>
      </w:r>
    </w:p>
    <w:p w14:paraId="0348644D" w14:textId="25F299EB" w:rsidR="001A608A" w:rsidRDefault="001A608A" w:rsidP="006C5036">
      <w:pPr>
        <w:pStyle w:val="ListParagraph"/>
        <w:numPr>
          <w:ilvl w:val="0"/>
          <w:numId w:val="8"/>
        </w:numPr>
        <w:spacing w:before="120" w:after="120"/>
        <w:contextualSpacing w:val="0"/>
      </w:pPr>
      <w:r>
        <w:t>Develop</w:t>
      </w:r>
      <w:r w:rsidR="004C262C">
        <w:t>ing</w:t>
      </w:r>
      <w:r>
        <w:t xml:space="preserve"> the Plan (including reviewing, amending, publishing and promoting the Plan);</w:t>
      </w:r>
    </w:p>
    <w:p w14:paraId="0B3C9712" w14:textId="43DF2EB4" w:rsidR="001A608A" w:rsidRDefault="004573C1" w:rsidP="006C5036">
      <w:pPr>
        <w:pStyle w:val="ListParagraph"/>
        <w:numPr>
          <w:ilvl w:val="0"/>
          <w:numId w:val="8"/>
        </w:numPr>
        <w:spacing w:before="120" w:after="120"/>
        <w:contextualSpacing w:val="0"/>
      </w:pPr>
      <w:r>
        <w:lastRenderedPageBreak/>
        <w:t>Driv</w:t>
      </w:r>
      <w:r w:rsidR="00F73F84">
        <w:t>ing</w:t>
      </w:r>
      <w:r>
        <w:t xml:space="preserve"> implementation of the Plan </w:t>
      </w:r>
      <w:r w:rsidR="001A608A">
        <w:t>(including coordinating, monitoring and reporting on progress); and</w:t>
      </w:r>
    </w:p>
    <w:p w14:paraId="2E7C50C1" w14:textId="179D610D" w:rsidR="001A608A" w:rsidRDefault="004C262C" w:rsidP="006C5036">
      <w:pPr>
        <w:pStyle w:val="ListParagraph"/>
        <w:numPr>
          <w:ilvl w:val="0"/>
          <w:numId w:val="8"/>
        </w:numPr>
        <w:spacing w:before="120" w:after="120"/>
        <w:contextualSpacing w:val="0"/>
      </w:pPr>
      <w:r>
        <w:t>Building and disseminating</w:t>
      </w:r>
      <w:r w:rsidR="008D0EA7">
        <w:t xml:space="preserve"> knowledge of asbestos management</w:t>
      </w:r>
      <w:r w:rsidR="001A608A">
        <w:t xml:space="preserve"> among stakeholders (including through providing advice to the </w:t>
      </w:r>
      <w:r w:rsidR="00BA3862">
        <w:t xml:space="preserve">responsible Commonwealth </w:t>
      </w:r>
      <w:r w:rsidR="001A608A">
        <w:t>Minister as required, and commissioning, monitoring and promoting research).</w:t>
      </w:r>
    </w:p>
    <w:p w14:paraId="3B7017F0" w14:textId="0CCE53F4" w:rsidR="001A608A" w:rsidRDefault="001A608A" w:rsidP="006C5036">
      <w:pPr>
        <w:spacing w:before="120" w:after="120"/>
      </w:pPr>
      <w:r>
        <w:t>These functions should remain ASEA’s p</w:t>
      </w:r>
      <w:r w:rsidR="00257504">
        <w:t>rimary focus and be</w:t>
      </w:r>
      <w:r w:rsidR="00892F74">
        <w:t xml:space="preserve"> </w:t>
      </w:r>
      <w:r>
        <w:t>clearly articulate</w:t>
      </w:r>
      <w:r w:rsidR="00892F74">
        <w:t>d</w:t>
      </w:r>
      <w:r>
        <w:t xml:space="preserve"> to stakeholders</w:t>
      </w:r>
      <w:r w:rsidR="00257504">
        <w:t xml:space="preserve">. It is essential that all parties </w:t>
      </w:r>
      <w:r w:rsidR="008D0EA7">
        <w:t>responsible for implement</w:t>
      </w:r>
      <w:r w:rsidR="00797675">
        <w:t>ing</w:t>
      </w:r>
      <w:r w:rsidR="008D0EA7">
        <w:t xml:space="preserve"> the Plan</w:t>
      </w:r>
      <w:r w:rsidR="00BA3862">
        <w:t xml:space="preserve"> </w:t>
      </w:r>
      <w:r w:rsidR="00257504">
        <w:t>have a</w:t>
      </w:r>
      <w:r w:rsidR="00892F74">
        <w:t xml:space="preserve"> strong understanding of the</w:t>
      </w:r>
      <w:r w:rsidR="00257504">
        <w:t>ir respective</w:t>
      </w:r>
      <w:r w:rsidR="00892F74">
        <w:t xml:space="preserve"> roles </w:t>
      </w:r>
      <w:r w:rsidR="00BA3862">
        <w:t>and responsibilities</w:t>
      </w:r>
      <w:r w:rsidR="00257504">
        <w:t>.</w:t>
      </w:r>
    </w:p>
    <w:p w14:paraId="2F4DBB20" w14:textId="77F80202" w:rsidR="009C2B5B" w:rsidRPr="00572F5A" w:rsidRDefault="009C2B5B" w:rsidP="009C2B5B">
      <w:pPr>
        <w:spacing w:before="120" w:after="120"/>
        <w:rPr>
          <w:u w:val="single"/>
        </w:rPr>
      </w:pPr>
      <w:r w:rsidRPr="00572F5A">
        <w:rPr>
          <w:u w:val="single"/>
        </w:rPr>
        <w:t xml:space="preserve">ASEA’s role in relation to the </w:t>
      </w:r>
      <w:r w:rsidR="00755322">
        <w:rPr>
          <w:u w:val="single"/>
        </w:rPr>
        <w:t>Plan</w:t>
      </w:r>
    </w:p>
    <w:p w14:paraId="541078BD" w14:textId="77329C66" w:rsidR="009C2B5B" w:rsidRDefault="009C2B5B" w:rsidP="009C2B5B">
      <w:pPr>
        <w:spacing w:before="120" w:after="120"/>
      </w:pPr>
      <w:r>
        <w:t xml:space="preserve">The </w:t>
      </w:r>
      <w:r w:rsidR="00F73F84">
        <w:t xml:space="preserve">Department of Jobs and Small Business </w:t>
      </w:r>
      <w:r>
        <w:t xml:space="preserve">considers that ASEA’s primary role should continue to be its focus on driving implementation of the Plan by Commonwealth, state and territory agencies. </w:t>
      </w:r>
    </w:p>
    <w:p w14:paraId="16F4DAC1" w14:textId="77777777" w:rsidR="009C2B5B" w:rsidRDefault="009C2B5B" w:rsidP="009C2B5B">
      <w:pPr>
        <w:spacing w:before="120" w:after="120"/>
      </w:pPr>
      <w:r>
        <w:t>The Plan’s objective is set out under section 5A of the Act, which broadly describes it as aiming “to prevent exposure to asbestos fibres in order to eliminate asbestos-related disease in Australia.” This remains a useful overarching objective.</w:t>
      </w:r>
    </w:p>
    <w:p w14:paraId="4A78EDC3" w14:textId="77777777" w:rsidR="009C2B5B" w:rsidRDefault="009C2B5B" w:rsidP="009C2B5B">
      <w:pPr>
        <w:spacing w:before="120" w:after="120"/>
      </w:pPr>
      <w:r>
        <w:t xml:space="preserve">However, prescription under the Act could be reduced. While some prescription is useful to guide development of the Plan, the legislation needs to provide sufficient flexibility to address emerging issues and changing operating environments. For example, </w:t>
      </w:r>
      <w:r w:rsidRPr="005E4B8F">
        <w:t>priorit</w:t>
      </w:r>
      <w:r>
        <w:t>y</w:t>
      </w:r>
      <w:r w:rsidRPr="005E4B8F">
        <w:t xml:space="preserve"> </w:t>
      </w:r>
      <w:r>
        <w:t xml:space="preserve">areas to be addressed by the Plan are set out under section 5A. Ideally, these </w:t>
      </w:r>
      <w:r w:rsidRPr="005E4B8F">
        <w:t xml:space="preserve">should be </w:t>
      </w:r>
      <w:r>
        <w:t xml:space="preserve">kept at a </w:t>
      </w:r>
      <w:r w:rsidRPr="005E4B8F">
        <w:t>high level</w:t>
      </w:r>
      <w:r>
        <w:t xml:space="preserve">, as specific priorities may need to change over time.  </w:t>
      </w:r>
    </w:p>
    <w:p w14:paraId="68925289" w14:textId="7EE0A700" w:rsidR="005D0388" w:rsidRPr="009C2B5B" w:rsidRDefault="005D0388" w:rsidP="006C5036">
      <w:pPr>
        <w:spacing w:before="120" w:after="120"/>
        <w:rPr>
          <w:u w:val="single"/>
        </w:rPr>
      </w:pPr>
      <w:r w:rsidRPr="009C2B5B">
        <w:rPr>
          <w:u w:val="single"/>
        </w:rPr>
        <w:t>Develop</w:t>
      </w:r>
      <w:r w:rsidR="00EF7421" w:rsidRPr="009C2B5B">
        <w:rPr>
          <w:u w:val="single"/>
        </w:rPr>
        <w:t>ing</w:t>
      </w:r>
      <w:r w:rsidRPr="009C2B5B">
        <w:rPr>
          <w:u w:val="single"/>
        </w:rPr>
        <w:t xml:space="preserve"> the Plan</w:t>
      </w:r>
    </w:p>
    <w:p w14:paraId="09160527" w14:textId="6F9B3C8A" w:rsidR="0094384F" w:rsidRDefault="0094384F" w:rsidP="00D27DAF">
      <w:pPr>
        <w:spacing w:before="120" w:after="120"/>
      </w:pPr>
      <w:r>
        <w:t>ASEA</w:t>
      </w:r>
      <w:r w:rsidR="00CD5EB9">
        <w:t xml:space="preserve">’s leadership in </w:t>
      </w:r>
      <w:r>
        <w:t xml:space="preserve">developing and coordinating </w:t>
      </w:r>
      <w:r w:rsidR="00755322">
        <w:t xml:space="preserve">the </w:t>
      </w:r>
      <w:r>
        <w:t>Plan</w:t>
      </w:r>
      <w:r w:rsidR="00CD5EB9">
        <w:t xml:space="preserve"> has led to a step change in the national management of Australia’s asbestos legacy</w:t>
      </w:r>
      <w:r>
        <w:t xml:space="preserve">. This process has brought to the fore jurisdictional efforts to eradicate asbestos related disease and provided a forum for responsible agencies at all levels of government to share expertise and direct thinking towards shared strategic priorities for future work. </w:t>
      </w:r>
    </w:p>
    <w:p w14:paraId="3330A794" w14:textId="2671695B" w:rsidR="001C1A5F" w:rsidRPr="006C5036" w:rsidRDefault="00CD5EB9" w:rsidP="006C5036">
      <w:pPr>
        <w:spacing w:before="120" w:after="120"/>
      </w:pPr>
      <w:r>
        <w:t>ASEA continues to perform an import</w:t>
      </w:r>
      <w:r w:rsidR="00797675">
        <w:t>ant</w:t>
      </w:r>
      <w:r>
        <w:t xml:space="preserve"> role in </w:t>
      </w:r>
      <w:r w:rsidR="004573C1">
        <w:t>revising the P</w:t>
      </w:r>
      <w:r>
        <w:t xml:space="preserve">lan, </w:t>
      </w:r>
      <w:r w:rsidR="002049BB">
        <w:t>apply</w:t>
      </w:r>
      <w:r>
        <w:t>ing</w:t>
      </w:r>
      <w:r w:rsidR="002049BB">
        <w:t xml:space="preserve"> </w:t>
      </w:r>
      <w:r>
        <w:t xml:space="preserve">new </w:t>
      </w:r>
      <w:r w:rsidR="002049BB">
        <w:t xml:space="preserve">knowledge and information to identify </w:t>
      </w:r>
      <w:r>
        <w:t xml:space="preserve">changing </w:t>
      </w:r>
      <w:r w:rsidR="002049BB">
        <w:t>priorities</w:t>
      </w:r>
      <w:r>
        <w:t xml:space="preserve"> and support</w:t>
      </w:r>
      <w:r w:rsidR="00797675">
        <w:t>ing</w:t>
      </w:r>
      <w:r>
        <w:t xml:space="preserve"> continued progress towards national objectives</w:t>
      </w:r>
      <w:r w:rsidR="002049BB">
        <w:t>.</w:t>
      </w:r>
    </w:p>
    <w:p w14:paraId="02DF0A2A" w14:textId="21C04352" w:rsidR="009C2B5B" w:rsidRDefault="004573C1" w:rsidP="006C5036">
      <w:pPr>
        <w:spacing w:before="120" w:after="120"/>
        <w:rPr>
          <w:u w:val="single"/>
        </w:rPr>
      </w:pPr>
      <w:r>
        <w:rPr>
          <w:u w:val="single"/>
        </w:rPr>
        <w:t>Driving implementation of the Plan</w:t>
      </w:r>
    </w:p>
    <w:p w14:paraId="437D4DA2" w14:textId="1ED0E698" w:rsidR="00FF0BC5" w:rsidRPr="009C2B5B" w:rsidRDefault="00FF0BC5" w:rsidP="006C5036">
      <w:pPr>
        <w:spacing w:before="120" w:after="120"/>
        <w:rPr>
          <w:i/>
        </w:rPr>
      </w:pPr>
      <w:r w:rsidRPr="009C2B5B">
        <w:rPr>
          <w:i/>
        </w:rPr>
        <w:t xml:space="preserve">Driving implementation </w:t>
      </w:r>
    </w:p>
    <w:p w14:paraId="3918242E" w14:textId="70337224" w:rsidR="00FF0BC5" w:rsidRPr="00BC6573" w:rsidRDefault="005B6E0F" w:rsidP="006C5036">
      <w:pPr>
        <w:spacing w:before="120" w:after="120"/>
      </w:pPr>
      <w:r>
        <w:t xml:space="preserve">All </w:t>
      </w:r>
      <w:r w:rsidR="00FF0BC5">
        <w:t xml:space="preserve">jurisdictions are responsible for implementing the </w:t>
      </w:r>
      <w:r w:rsidR="001E04F0">
        <w:t xml:space="preserve">actions set out under </w:t>
      </w:r>
      <w:r w:rsidR="00FF0BC5">
        <w:t xml:space="preserve">the Plan. ASEA’s role </w:t>
      </w:r>
      <w:r w:rsidR="001E04F0">
        <w:t>is to</w:t>
      </w:r>
      <w:r w:rsidR="00FF0BC5">
        <w:t xml:space="preserve"> drive and coordinate this implementation. This is consistent with the Asbestos Management Review, which noted that: </w:t>
      </w:r>
    </w:p>
    <w:p w14:paraId="6E30DADD" w14:textId="77777777" w:rsidR="00FF0BC5" w:rsidRPr="00D83A30" w:rsidRDefault="00FF0BC5" w:rsidP="00D27DAF">
      <w:pPr>
        <w:spacing w:before="120" w:after="120"/>
        <w:ind w:left="360"/>
        <w:rPr>
          <w:i/>
        </w:rPr>
      </w:pPr>
      <w:r w:rsidRPr="00D83A30">
        <w:rPr>
          <w:i/>
        </w:rPr>
        <w:t>“Under any or all of the above approaches, jurisdictions would continue to have direct carriage of many of the activities under the National Strategic Plan. States and territories currently have the majority of responsibility for management of asbestos matters, and consequently the greatest levels of existing expertise and resources.”</w:t>
      </w:r>
      <w:r>
        <w:rPr>
          <w:rStyle w:val="FootnoteReference"/>
          <w:i/>
        </w:rPr>
        <w:footnoteReference w:id="1"/>
      </w:r>
    </w:p>
    <w:p w14:paraId="63494E8A" w14:textId="2FD4363A" w:rsidR="00FF0BC5" w:rsidRDefault="00FF0BC5" w:rsidP="006C5036">
      <w:pPr>
        <w:spacing w:before="120" w:after="120"/>
      </w:pPr>
      <w:r>
        <w:t xml:space="preserve">ASEA should </w:t>
      </w:r>
      <w:r w:rsidR="001E04F0">
        <w:t xml:space="preserve">generally </w:t>
      </w:r>
      <w:r>
        <w:t xml:space="preserve">avoid taking on work and filling gaps where </w:t>
      </w:r>
      <w:r w:rsidR="001E04F0">
        <w:t xml:space="preserve">such </w:t>
      </w:r>
      <w:r>
        <w:t xml:space="preserve">work </w:t>
      </w:r>
      <w:r w:rsidR="00EF7421">
        <w:t>is the responsibility of a particular</w:t>
      </w:r>
      <w:r>
        <w:t xml:space="preserve"> j</w:t>
      </w:r>
      <w:r w:rsidR="001E04F0">
        <w:t>urisdiction</w:t>
      </w:r>
      <w:r w:rsidR="00EF7421">
        <w:t xml:space="preserve">. </w:t>
      </w:r>
      <w:r w:rsidR="009E6E97">
        <w:t xml:space="preserve">While there may be scope to increase ASEA’s functions under the Act, there </w:t>
      </w:r>
      <w:r w:rsidR="009E6E97">
        <w:lastRenderedPageBreak/>
        <w:t xml:space="preserve">is a risk that this could distract it from its key work objectives. Instead, ASEA should seek to influence, enable or facilitate the required action by the relevant jurisdiction. </w:t>
      </w:r>
    </w:p>
    <w:p w14:paraId="2AB447B0" w14:textId="68FACD14" w:rsidR="006862DD" w:rsidRDefault="00FF0BC5" w:rsidP="006862DD">
      <w:pPr>
        <w:spacing w:before="120" w:after="120"/>
      </w:pPr>
      <w:r>
        <w:t xml:space="preserve">Evaluation of </w:t>
      </w:r>
      <w:r w:rsidR="00D27DAF">
        <w:t xml:space="preserve">the </w:t>
      </w:r>
      <w:r w:rsidR="001E04F0">
        <w:t>Plan</w:t>
      </w:r>
      <w:r w:rsidR="00D27DAF">
        <w:t>’s</w:t>
      </w:r>
      <w:r>
        <w:t xml:space="preserve"> outcomes is a key way in which ASEA can identify gaps and drive </w:t>
      </w:r>
      <w:r w:rsidR="001E04F0">
        <w:t>effective</w:t>
      </w:r>
      <w:r>
        <w:t xml:space="preserve"> action. Evaluation of the impact of activities across jurisdictions will also help to identify best practice and support the most appropriate and efficient programs and policies</w:t>
      </w:r>
      <w:r w:rsidR="001E04F0">
        <w:t xml:space="preserve">. </w:t>
      </w:r>
      <w:r w:rsidR="006862DD" w:rsidRPr="006862DD">
        <w:t xml:space="preserve"> </w:t>
      </w:r>
    </w:p>
    <w:p w14:paraId="6C0E5EC5" w14:textId="34347670" w:rsidR="006862DD" w:rsidRDefault="006862DD" w:rsidP="006862DD">
      <w:pPr>
        <w:spacing w:before="120" w:after="120"/>
      </w:pPr>
      <w:r>
        <w:t>However, ASEA’s performance</w:t>
      </w:r>
      <w:r w:rsidR="005B6E0F">
        <w:t xml:space="preserve"> as an agency</w:t>
      </w:r>
      <w:r>
        <w:t xml:space="preserve"> should not be measured directly against the achievement of the goals of the Plan, but</w:t>
      </w:r>
      <w:r w:rsidR="005B6E0F">
        <w:t xml:space="preserve"> instead</w:t>
      </w:r>
      <w:r>
        <w:t xml:space="preserve"> its efforts to drive implementation by stakeholders. </w:t>
      </w:r>
    </w:p>
    <w:p w14:paraId="2138C16B" w14:textId="29666BBE" w:rsidR="000A6FC6" w:rsidRPr="000A6FC6" w:rsidRDefault="000A6FC6" w:rsidP="006C5036">
      <w:pPr>
        <w:spacing w:before="120" w:after="120"/>
        <w:rPr>
          <w:i/>
        </w:rPr>
      </w:pPr>
      <w:r>
        <w:rPr>
          <w:i/>
        </w:rPr>
        <w:t xml:space="preserve">Coordination and consultation </w:t>
      </w:r>
    </w:p>
    <w:p w14:paraId="48CB967E" w14:textId="4251CA17" w:rsidR="00DC1416" w:rsidRDefault="00245146" w:rsidP="006C5036">
      <w:pPr>
        <w:spacing w:before="120" w:after="120"/>
      </w:pPr>
      <w:r>
        <w:t xml:space="preserve">ASEA works in partnership with a wide range of stakeholders, including other government agencies, researchers, industry, employer groups, employee representatives, not-for-profit organisations and public health bodies. ASEA performs an important function in bringing diverse views together to discuss issues of </w:t>
      </w:r>
      <w:r w:rsidR="006862DD">
        <w:t xml:space="preserve">common </w:t>
      </w:r>
      <w:r>
        <w:t xml:space="preserve">concern, and to </w:t>
      </w:r>
      <w:r w:rsidR="006862DD">
        <w:t>d</w:t>
      </w:r>
      <w:r w:rsidR="005B6E0F">
        <w:t>evelop</w:t>
      </w:r>
      <w:r>
        <w:t xml:space="preserve"> </w:t>
      </w:r>
      <w:r w:rsidR="006862DD">
        <w:t xml:space="preserve">collaborative and </w:t>
      </w:r>
      <w:r>
        <w:t>consistent approach</w:t>
      </w:r>
      <w:r w:rsidR="005B6E0F">
        <w:t>es</w:t>
      </w:r>
      <w:r>
        <w:t xml:space="preserve">. </w:t>
      </w:r>
    </w:p>
    <w:p w14:paraId="505AF382" w14:textId="0150EBF9" w:rsidR="00404BB1" w:rsidRDefault="00093D9B" w:rsidP="006C5036">
      <w:pPr>
        <w:spacing w:before="120" w:after="120"/>
      </w:pPr>
      <w:r>
        <w:t>ASEA has been instrumental in establishing coordination mechanisms including committees and working groups</w:t>
      </w:r>
      <w:r w:rsidR="00DC1416">
        <w:t>.</w:t>
      </w:r>
      <w:r w:rsidR="000D274A">
        <w:t xml:space="preserve"> This is particularly useful where there would otherwise be no natural coordinating body. </w:t>
      </w:r>
    </w:p>
    <w:p w14:paraId="2C48B243" w14:textId="40E7D6A0" w:rsidR="00404BB1" w:rsidRDefault="006862DD" w:rsidP="006C5036">
      <w:pPr>
        <w:spacing w:before="120" w:after="120"/>
      </w:pPr>
      <w:r>
        <w:t xml:space="preserve">For example, </w:t>
      </w:r>
      <w:r w:rsidR="006D636F">
        <w:t xml:space="preserve">ASEA </w:t>
      </w:r>
      <w:r w:rsidR="00925C75">
        <w:t xml:space="preserve">provides secretariat support for the </w:t>
      </w:r>
      <w:r w:rsidR="00925C75" w:rsidRPr="00DC1416">
        <w:t xml:space="preserve">for the Heads of Workplace Safety Authorities Imported Materials With Asbestos Working Group (HWSA Working Group) which was established to deal with incidences of asbestos-containing materials being imported into Australia in contravention of the </w:t>
      </w:r>
      <w:r w:rsidR="00925C75" w:rsidRPr="00267EFE">
        <w:rPr>
          <w:i/>
        </w:rPr>
        <w:t>Customs (Prohibited Imports) Regulations 1956</w:t>
      </w:r>
      <w:r w:rsidR="00925C75" w:rsidRPr="00DC1416">
        <w:t>.</w:t>
      </w:r>
      <w:r w:rsidR="00925C75">
        <w:t xml:space="preserve"> As part of this, ASEA administers the HWSA Working Group Rapid Response Protocol, which enables rapid and effective communication and collaboration between government agencies.</w:t>
      </w:r>
      <w:r w:rsidR="006D636F">
        <w:t xml:space="preserve"> Over time, jurisdiction</w:t>
      </w:r>
      <w:r w:rsidR="00877B15">
        <w:t>s</w:t>
      </w:r>
      <w:r w:rsidR="006D636F">
        <w:t xml:space="preserve"> could take up and share this</w:t>
      </w:r>
      <w:r w:rsidR="005B6E0F">
        <w:t xml:space="preserve"> secretariat</w:t>
      </w:r>
      <w:r w:rsidR="006D636F">
        <w:t xml:space="preserve"> function. </w:t>
      </w:r>
    </w:p>
    <w:p w14:paraId="2CDC9739" w14:textId="7D040502" w:rsidR="006D636F" w:rsidRDefault="00FC1A27" w:rsidP="006C5036">
      <w:pPr>
        <w:spacing w:before="120" w:after="120"/>
      </w:pPr>
      <w:r>
        <w:t>While ASEA performs a valuable</w:t>
      </w:r>
      <w:r w:rsidR="00174C47" w:rsidRPr="00404BB1">
        <w:t xml:space="preserve"> role in bringing together key parties and catalysing coordinated action, it would be easy for coordination functions to subsume the resource</w:t>
      </w:r>
      <w:r w:rsidR="006862DD">
        <w:t>s</w:t>
      </w:r>
      <w:r w:rsidR="00174C47" w:rsidRPr="00404BB1">
        <w:t xml:space="preserve"> of </w:t>
      </w:r>
      <w:r w:rsidR="006862DD">
        <w:t xml:space="preserve">the </w:t>
      </w:r>
      <w:r w:rsidR="00174C47" w:rsidRPr="00404BB1">
        <w:t>agenc</w:t>
      </w:r>
      <w:r w:rsidR="006862DD">
        <w:t>y</w:t>
      </w:r>
      <w:r w:rsidR="00174C47" w:rsidRPr="00404BB1">
        <w:t xml:space="preserve">. </w:t>
      </w:r>
      <w:r w:rsidR="00174C47">
        <w:t>W</w:t>
      </w:r>
      <w:r w:rsidR="00404BB1">
        <w:t xml:space="preserve">here possible, </w:t>
      </w:r>
      <w:r w:rsidR="00404BB1" w:rsidRPr="004A2C79">
        <w:t>ASEA should seek to support the establishment of appropriate coordination mechanisms, rather than taking on</w:t>
      </w:r>
      <w:r w:rsidR="00404BB1">
        <w:t xml:space="preserve"> an</w:t>
      </w:r>
      <w:r w:rsidR="00404BB1" w:rsidRPr="004A2C79">
        <w:t xml:space="preserve"> ongoing coordination role</w:t>
      </w:r>
      <w:r w:rsidR="00404BB1">
        <w:t>.</w:t>
      </w:r>
      <w:r w:rsidR="00174C47">
        <w:t xml:space="preserve"> </w:t>
      </w:r>
      <w:r w:rsidR="00404BB1">
        <w:t>This will help to</w:t>
      </w:r>
      <w:r w:rsidR="00086C9F">
        <w:t xml:space="preserve"> ensure that ASEA has </w:t>
      </w:r>
      <w:r w:rsidR="00404BB1">
        <w:t xml:space="preserve">capacity to </w:t>
      </w:r>
      <w:r w:rsidR="00174C47">
        <w:t xml:space="preserve">maintain a strategic focus </w:t>
      </w:r>
      <w:r w:rsidR="00404BB1">
        <w:t xml:space="preserve">on </w:t>
      </w:r>
      <w:r w:rsidR="00174C47">
        <w:t>priority and emerging issues.</w:t>
      </w:r>
      <w:r w:rsidR="00404BB1">
        <w:t xml:space="preserve"> </w:t>
      </w:r>
    </w:p>
    <w:p w14:paraId="462FCEAB" w14:textId="122BD848" w:rsidR="00C84A1D" w:rsidRPr="00572F5A" w:rsidRDefault="00C84A1D" w:rsidP="006C5036">
      <w:pPr>
        <w:spacing w:before="120" w:after="120"/>
        <w:rPr>
          <w:i/>
        </w:rPr>
      </w:pPr>
      <w:r w:rsidRPr="00572F5A">
        <w:rPr>
          <w:i/>
        </w:rPr>
        <w:t>Building and disseminating knowledge of asbestos management among stakeholders</w:t>
      </w:r>
    </w:p>
    <w:p w14:paraId="426662F5" w14:textId="5E7D8E1A" w:rsidR="00AF6F81" w:rsidRDefault="0008637E" w:rsidP="006C5036">
      <w:pPr>
        <w:spacing w:before="120" w:after="120"/>
      </w:pPr>
      <w:r>
        <w:t>ASEA</w:t>
      </w:r>
      <w:r w:rsidR="00F05420">
        <w:t xml:space="preserve"> plays </w:t>
      </w:r>
      <w:r>
        <w:t xml:space="preserve">a </w:t>
      </w:r>
      <w:r w:rsidR="00C84A1D">
        <w:t>key</w:t>
      </w:r>
      <w:r w:rsidR="00F05420">
        <w:t xml:space="preserve"> role</w:t>
      </w:r>
      <w:r>
        <w:t xml:space="preserve"> </w:t>
      </w:r>
      <w:r w:rsidR="00A37280">
        <w:t>in helping to build knowledge of asbestos</w:t>
      </w:r>
      <w:r w:rsidR="00F05420">
        <w:t>-related</w:t>
      </w:r>
      <w:r w:rsidR="00A37280">
        <w:t xml:space="preserve"> </w:t>
      </w:r>
      <w:r w:rsidR="005B6E0F">
        <w:t xml:space="preserve">issues </w:t>
      </w:r>
      <w:r w:rsidR="00A37280">
        <w:t>among stakeholders.</w:t>
      </w:r>
      <w:r w:rsidR="00F05420" w:rsidRPr="00F05420">
        <w:t xml:space="preserve"> </w:t>
      </w:r>
      <w:r w:rsidR="00F05420">
        <w:t>As</w:t>
      </w:r>
      <w:r w:rsidR="00AF6F81">
        <w:t xml:space="preserve"> a</w:t>
      </w:r>
      <w:r w:rsidR="00F05420">
        <w:t xml:space="preserve"> point of connection between the various jurisdictions</w:t>
      </w:r>
      <w:r w:rsidR="005623C1">
        <w:t>, ASEA</w:t>
      </w:r>
      <w:r w:rsidR="009E4C95">
        <w:t xml:space="preserve"> </w:t>
      </w:r>
      <w:r w:rsidR="00962FF8">
        <w:t>fa</w:t>
      </w:r>
      <w:r w:rsidR="009E4C95">
        <w:t>cilitat</w:t>
      </w:r>
      <w:r w:rsidR="0059017C">
        <w:t>es</w:t>
      </w:r>
      <w:r w:rsidR="009E4C95">
        <w:t xml:space="preserve"> </w:t>
      </w:r>
      <w:r>
        <w:t>discussion</w:t>
      </w:r>
      <w:r w:rsidR="00A37280">
        <w:t xml:space="preserve">, </w:t>
      </w:r>
      <w:r>
        <w:t xml:space="preserve">information </w:t>
      </w:r>
      <w:r w:rsidR="0059017C">
        <w:t xml:space="preserve">sharing </w:t>
      </w:r>
      <w:r w:rsidR="00A37280">
        <w:t xml:space="preserve">and </w:t>
      </w:r>
      <w:r w:rsidR="0059017C">
        <w:t>the</w:t>
      </w:r>
      <w:r w:rsidR="00781DDC">
        <w:t xml:space="preserve"> development </w:t>
      </w:r>
      <w:r w:rsidR="00C84A1D">
        <w:t xml:space="preserve">and dissemination </w:t>
      </w:r>
      <w:r w:rsidR="0059017C">
        <w:t xml:space="preserve">of </w:t>
      </w:r>
      <w:r w:rsidR="00F05420">
        <w:t xml:space="preserve">evidence based </w:t>
      </w:r>
      <w:r w:rsidR="00A37280">
        <w:t>research</w:t>
      </w:r>
      <w:r w:rsidR="0059017C">
        <w:t xml:space="preserve"> to define and promote best practice</w:t>
      </w:r>
      <w:r w:rsidR="00BE1AE5">
        <w:t xml:space="preserve">.  </w:t>
      </w:r>
      <w:r w:rsidR="006A31A2">
        <w:t>Covering</w:t>
      </w:r>
      <w:r w:rsidR="00AF6F81">
        <w:t xml:space="preserve"> a relatively broad stakeholder base, ASEA is ideally positioned to identify shared needs and facilitate the development of key materials or messaging which can be adopted by different jurisdictions</w:t>
      </w:r>
      <w:r w:rsidR="006A31A2">
        <w:t>, helping</w:t>
      </w:r>
      <w:r w:rsidR="005B6E0F">
        <w:t xml:space="preserve"> to reduce duplication,</w:t>
      </w:r>
      <w:r w:rsidR="00AF6F81">
        <w:t xml:space="preserve"> create efficiencies of scale</w:t>
      </w:r>
      <w:r w:rsidR="005B6E0F">
        <w:t xml:space="preserve"> and guide evidence-based responses</w:t>
      </w:r>
      <w:r w:rsidR="00AF6F81">
        <w:t>.</w:t>
      </w:r>
    </w:p>
    <w:p w14:paraId="5582679F" w14:textId="77777777" w:rsidR="00A41F73" w:rsidRPr="00572F5A" w:rsidRDefault="00A41F73" w:rsidP="00A41F73">
      <w:pPr>
        <w:spacing w:before="120" w:after="120"/>
        <w:rPr>
          <w:u w:val="single"/>
        </w:rPr>
      </w:pPr>
      <w:r w:rsidRPr="00572F5A">
        <w:rPr>
          <w:u w:val="single"/>
        </w:rPr>
        <w:t xml:space="preserve">Public awareness </w:t>
      </w:r>
    </w:p>
    <w:p w14:paraId="69F4577C" w14:textId="730E6F5F" w:rsidR="007C2C8F" w:rsidRDefault="007C2C8F" w:rsidP="007C2C8F">
      <w:pPr>
        <w:spacing w:before="120" w:after="120"/>
      </w:pPr>
      <w:r>
        <w:t>Well established policy and regulatory bodies exist in each jurisdiction to oversee asbestos related matters. For workplaces, WHS regulators are the key points of contact for queries and remain the primary source of authoritative information about the regulatory framework in each jurisdiction. ASEA supplements this role by providing a national point of referral for asbestos-related inquiries. In addition to information provided on its website, ASEA operates a national hotline directing inquiries to the appropriate authority in each state and territory.</w:t>
      </w:r>
    </w:p>
    <w:p w14:paraId="6BCF4F22" w14:textId="101F284B" w:rsidR="005623C1" w:rsidRDefault="003048B3" w:rsidP="005623C1">
      <w:pPr>
        <w:spacing w:before="120" w:after="120"/>
      </w:pPr>
      <w:r>
        <w:lastRenderedPageBreak/>
        <w:t>Raising public awareness of asbestos</w:t>
      </w:r>
      <w:r w:rsidR="005623C1">
        <w:t xml:space="preserve"> risks is critical to reducing the incidence of asbestos related-disease. </w:t>
      </w:r>
      <w:r>
        <w:t>A</w:t>
      </w:r>
      <w:r w:rsidR="005623C1">
        <w:t>ll levels of government</w:t>
      </w:r>
      <w:r>
        <w:t xml:space="preserve"> have responsibilities in relation to asbestos awareness</w:t>
      </w:r>
      <w:r w:rsidR="005623C1">
        <w:t xml:space="preserve">. </w:t>
      </w:r>
      <w:r w:rsidR="007C2C8F">
        <w:t xml:space="preserve">There may </w:t>
      </w:r>
      <w:r w:rsidR="005623C1">
        <w:t>be benefit in ASEA</w:t>
      </w:r>
      <w:r w:rsidR="007C2C8F">
        <w:t xml:space="preserve"> having the legislative power</w:t>
      </w:r>
      <w:r w:rsidR="005623C1">
        <w:t xml:space="preserve"> to develop national awareness </w:t>
      </w:r>
      <w:r>
        <w:t>strategies and materials to support a coordinated and consistent message and prevent duplication</w:t>
      </w:r>
      <w:r w:rsidR="005623C1">
        <w:t>. States and territories would retain the need to authorise and fund these activities</w:t>
      </w:r>
      <w:r w:rsidR="00EE2A2E">
        <w:t xml:space="preserve"> in their respective jurisdictions</w:t>
      </w:r>
      <w:r w:rsidR="005623C1">
        <w:t>.</w:t>
      </w:r>
    </w:p>
    <w:p w14:paraId="34A39FB4" w14:textId="6114F716" w:rsidR="00CC7F42" w:rsidRPr="00572F5A" w:rsidRDefault="00512CC7" w:rsidP="006C5036">
      <w:pPr>
        <w:spacing w:before="120" w:after="120"/>
        <w:rPr>
          <w:u w:val="single"/>
        </w:rPr>
      </w:pPr>
      <w:r w:rsidRPr="00572F5A">
        <w:rPr>
          <w:u w:val="single"/>
        </w:rPr>
        <w:t xml:space="preserve">Research </w:t>
      </w:r>
    </w:p>
    <w:p w14:paraId="2A70D32C" w14:textId="6D9C9A41" w:rsidR="004C2695" w:rsidRDefault="00501E92" w:rsidP="006C5036">
      <w:pPr>
        <w:spacing w:before="120" w:after="120"/>
      </w:pPr>
      <w:r>
        <w:t>The ASEA Act provides that a</w:t>
      </w:r>
      <w:r w:rsidR="00F71C72">
        <w:t xml:space="preserve"> key function</w:t>
      </w:r>
      <w:r w:rsidR="003048B3">
        <w:t xml:space="preserve"> of ASEA</w:t>
      </w:r>
      <w:r w:rsidR="00062B73">
        <w:t xml:space="preserve"> is to commission, monitor and promote rese</w:t>
      </w:r>
      <w:r w:rsidR="003048B3">
        <w:t>arch about asbestos safety</w:t>
      </w:r>
      <w:r>
        <w:t>, but provides</w:t>
      </w:r>
      <w:r w:rsidR="003048B3">
        <w:t xml:space="preserve"> considerable flexibility</w:t>
      </w:r>
      <w:r w:rsidR="004D3753">
        <w:t xml:space="preserve"> as to </w:t>
      </w:r>
      <w:r w:rsidR="00FC132E">
        <w:t xml:space="preserve">how </w:t>
      </w:r>
      <w:r w:rsidR="003239BD">
        <w:t>this function is carried</w:t>
      </w:r>
      <w:r w:rsidR="004D3753">
        <w:t xml:space="preserve"> </w:t>
      </w:r>
      <w:r w:rsidR="00FC132E">
        <w:t>out</w:t>
      </w:r>
      <w:r w:rsidR="003239BD">
        <w:t>.</w:t>
      </w:r>
      <w:r w:rsidR="004D3753">
        <w:t xml:space="preserve"> </w:t>
      </w:r>
      <w:r w:rsidR="00584D9F">
        <w:t>It is important that this work has</w:t>
      </w:r>
      <w:r w:rsidR="00AF3B0D">
        <w:t xml:space="preserve"> a strong strategic</w:t>
      </w:r>
      <w:r w:rsidR="00584D9F">
        <w:t xml:space="preserve"> outcomes</w:t>
      </w:r>
      <w:r w:rsidR="00AF3B0D">
        <w:t xml:space="preserve"> focus</w:t>
      </w:r>
      <w:r w:rsidR="00B65932">
        <w:t xml:space="preserve"> and </w:t>
      </w:r>
      <w:r w:rsidR="00584D9F">
        <w:t xml:space="preserve">that ASEA continues to work with stakeholders when setting its research agenda to ensure </w:t>
      </w:r>
      <w:r w:rsidR="00B65932">
        <w:t>research</w:t>
      </w:r>
      <w:r w:rsidR="00584D9F">
        <w:t xml:space="preserve"> </w:t>
      </w:r>
      <w:r w:rsidR="00B65932">
        <w:t>addresses gaps in the</w:t>
      </w:r>
      <w:r w:rsidR="00AF3B0D">
        <w:t xml:space="preserve"> current knowledge base </w:t>
      </w:r>
      <w:r w:rsidR="00B65932">
        <w:t xml:space="preserve">that </w:t>
      </w:r>
      <w:r w:rsidR="00AF3B0D">
        <w:t>prevent</w:t>
      </w:r>
      <w:r w:rsidR="00B65932">
        <w:t xml:space="preserve"> </w:t>
      </w:r>
      <w:r w:rsidR="00AF3B0D">
        <w:t>effec</w:t>
      </w:r>
      <w:r w:rsidR="008772EF">
        <w:t xml:space="preserve">tive implementation of </w:t>
      </w:r>
      <w:r w:rsidR="00B65932">
        <w:t>key priorities under the</w:t>
      </w:r>
      <w:r w:rsidR="008772EF">
        <w:t xml:space="preserve"> Plan</w:t>
      </w:r>
      <w:r w:rsidR="00454697">
        <w:t>.</w:t>
      </w:r>
      <w:r w:rsidR="00A36118">
        <w:t xml:space="preserve"> </w:t>
      </w:r>
      <w:r w:rsidR="00B65932">
        <w:t>To support</w:t>
      </w:r>
      <w:r w:rsidR="00584D9F">
        <w:t xml:space="preserve"> eviden</w:t>
      </w:r>
      <w:r w:rsidR="00B65932">
        <w:t>ce-based implementation of the P</w:t>
      </w:r>
      <w:r w:rsidR="00584D9F">
        <w:t xml:space="preserve">lan, it may also be useful </w:t>
      </w:r>
      <w:r w:rsidR="003048B3">
        <w:t>for ASEA to</w:t>
      </w:r>
      <w:r w:rsidR="00584D9F">
        <w:t xml:space="preserve"> </w:t>
      </w:r>
      <w:r w:rsidR="003048B3">
        <w:t xml:space="preserve">have </w:t>
      </w:r>
      <w:r w:rsidR="00BB3F7F">
        <w:t xml:space="preserve">a </w:t>
      </w:r>
      <w:r w:rsidR="00DA1F8D">
        <w:t xml:space="preserve">legislated </w:t>
      </w:r>
      <w:r w:rsidR="00BB3F7F">
        <w:t xml:space="preserve">data collection function. This could support ASEA </w:t>
      </w:r>
      <w:r w:rsidR="003048B3">
        <w:t xml:space="preserve">to collect </w:t>
      </w:r>
      <w:r w:rsidR="00584D9F">
        <w:t xml:space="preserve">specific </w:t>
      </w:r>
      <w:r w:rsidR="004C2695">
        <w:t xml:space="preserve">data </w:t>
      </w:r>
      <w:r w:rsidR="00F06911">
        <w:t xml:space="preserve">from jurisdictions </w:t>
      </w:r>
      <w:r w:rsidR="004C2695">
        <w:t>to assess whether the Plan is achieving desired outcomes</w:t>
      </w:r>
      <w:r w:rsidR="00BB3F7F">
        <w:t xml:space="preserve">, </w:t>
      </w:r>
      <w:r w:rsidR="006B3C9C">
        <w:t xml:space="preserve">identify areas of </w:t>
      </w:r>
      <w:r w:rsidR="00F06911">
        <w:t>priority</w:t>
      </w:r>
      <w:r w:rsidR="006B3C9C">
        <w:t xml:space="preserve"> </w:t>
      </w:r>
      <w:r w:rsidR="00F06911">
        <w:t xml:space="preserve">and guide future actions. </w:t>
      </w:r>
    </w:p>
    <w:p w14:paraId="437A8957" w14:textId="0BBFB2C7" w:rsidR="005D0388" w:rsidRPr="009C2B5B" w:rsidRDefault="009C2B5B" w:rsidP="006C5036">
      <w:pPr>
        <w:spacing w:before="120" w:after="120"/>
        <w:rPr>
          <w:u w:val="single"/>
        </w:rPr>
      </w:pPr>
      <w:r w:rsidRPr="00572F5A">
        <w:rPr>
          <w:u w:val="single"/>
        </w:rPr>
        <w:t>International role</w:t>
      </w:r>
    </w:p>
    <w:p w14:paraId="6A529A2E" w14:textId="77777777" w:rsidR="000C3FDC" w:rsidRDefault="000C3FDC" w:rsidP="000C3FDC">
      <w:pPr>
        <w:spacing w:before="120" w:after="120"/>
      </w:pPr>
      <w:r>
        <w:t>In recommending the establishment of ASEA, the Asbestos Management Review also recommended the Australia</w:t>
      </w:r>
      <w:r>
        <w:rPr>
          <w:color w:val="1F497D"/>
        </w:rPr>
        <w:t>n</w:t>
      </w:r>
      <w:r>
        <w:t xml:space="preserve"> Government continue to play a leadership role in international efforts to ban the production and trade of asbestos and more effectively prevent its illegal entry into Australia.</w:t>
      </w:r>
    </w:p>
    <w:p w14:paraId="7DF1CF44" w14:textId="3BE9CC26" w:rsidR="000C3FDC" w:rsidRDefault="000C3FDC" w:rsidP="000C3FDC">
      <w:pPr>
        <w:spacing w:before="120" w:after="120"/>
      </w:pPr>
      <w:r>
        <w:t xml:space="preserve">A number of Australian </w:t>
      </w:r>
      <w:r w:rsidRPr="006C5036">
        <w:t xml:space="preserve">Government agencies </w:t>
      </w:r>
      <w:r>
        <w:t>advocate internationally to pursue Australia’s interests in relation to asbestos:</w:t>
      </w:r>
    </w:p>
    <w:p w14:paraId="40A96DDF" w14:textId="77777777" w:rsidR="000C3FDC" w:rsidRDefault="000C3FDC" w:rsidP="000C3FDC">
      <w:pPr>
        <w:pStyle w:val="ListParagraph"/>
        <w:numPr>
          <w:ilvl w:val="0"/>
          <w:numId w:val="13"/>
        </w:numPr>
        <w:spacing w:before="120" w:after="120" w:line="252" w:lineRule="auto"/>
      </w:pPr>
      <w:r>
        <w:t>the Department of Home Affairs and Australian Border Force engage on import issues</w:t>
      </w:r>
    </w:p>
    <w:p w14:paraId="3EE8DBC1" w14:textId="5E8CC682" w:rsidR="000C3FDC" w:rsidRDefault="000C3FDC" w:rsidP="000C3FDC">
      <w:pPr>
        <w:pStyle w:val="ListParagraph"/>
        <w:numPr>
          <w:ilvl w:val="0"/>
          <w:numId w:val="13"/>
        </w:numPr>
        <w:spacing w:before="120" w:after="120" w:line="252" w:lineRule="auto"/>
      </w:pPr>
      <w:r>
        <w:t>the Department of Environment</w:t>
      </w:r>
      <w:r w:rsidR="00A20262">
        <w:t xml:space="preserve"> and Energy</w:t>
      </w:r>
      <w:r>
        <w:t xml:space="preserve"> leads action in relation to dangerous chemicals under the Rotterdam and Bas</w:t>
      </w:r>
      <w:r w:rsidR="00C84A1D">
        <w:t>e</w:t>
      </w:r>
      <w:r>
        <w:t>l Conventions, and the movement of hazardous waste</w:t>
      </w:r>
    </w:p>
    <w:p w14:paraId="0643497E" w14:textId="3D941FDA" w:rsidR="000C3FDC" w:rsidRDefault="000C3FDC" w:rsidP="000C3FDC">
      <w:pPr>
        <w:pStyle w:val="ListParagraph"/>
        <w:numPr>
          <w:ilvl w:val="0"/>
          <w:numId w:val="13"/>
        </w:numPr>
        <w:spacing w:before="120" w:after="120" w:line="252" w:lineRule="auto"/>
      </w:pPr>
      <w:r>
        <w:t>the Department of Jobs and Small Business leads engagement on industrial relations and work health and safety, and also has a whole</w:t>
      </w:r>
      <w:r>
        <w:rPr>
          <w:color w:val="1F497D"/>
        </w:rPr>
        <w:t xml:space="preserve"> </w:t>
      </w:r>
      <w:r>
        <w:t>of</w:t>
      </w:r>
      <w:r>
        <w:rPr>
          <w:color w:val="1F497D"/>
        </w:rPr>
        <w:t xml:space="preserve"> </w:t>
      </w:r>
      <w:r>
        <w:t>government role in relation to the policy and regulatory framework for asbestos</w:t>
      </w:r>
      <w:r w:rsidR="00DA1F8D">
        <w:t>, and</w:t>
      </w:r>
    </w:p>
    <w:p w14:paraId="34611B2E" w14:textId="59EC5331" w:rsidR="000C3FDC" w:rsidRDefault="000C3FDC" w:rsidP="000C3FDC">
      <w:pPr>
        <w:pStyle w:val="ListParagraph"/>
        <w:numPr>
          <w:ilvl w:val="0"/>
          <w:numId w:val="13"/>
        </w:numPr>
        <w:spacing w:before="120" w:after="120" w:line="252" w:lineRule="auto"/>
      </w:pPr>
      <w:r>
        <w:t>the Department of Foreign Affairs and Trade engages on trade related issues and international development.</w:t>
      </w:r>
    </w:p>
    <w:p w14:paraId="0C5C9559" w14:textId="2A54AC4E" w:rsidR="000C3FDC" w:rsidRDefault="000C3FDC" w:rsidP="000C3FDC">
      <w:pPr>
        <w:spacing w:before="120" w:after="120"/>
      </w:pPr>
      <w:r>
        <w:t xml:space="preserve">Through its role in driving the implementation of the Plan, ASEA may seek to encourage international engagement by Commonwealth departments where it </w:t>
      </w:r>
      <w:r w:rsidR="005058D1">
        <w:t>identifies</w:t>
      </w:r>
      <w:r>
        <w:t xml:space="preserve"> gaps in implementing the Plan.</w:t>
      </w:r>
    </w:p>
    <w:p w14:paraId="56DA1E72" w14:textId="189E90F1" w:rsidR="000C3FDC" w:rsidRDefault="000C3FDC" w:rsidP="000C3FDC">
      <w:pPr>
        <w:spacing w:before="120" w:after="120"/>
      </w:pPr>
      <w:r>
        <w:t>It is important that Australia</w:t>
      </w:r>
      <w:r w:rsidR="00A20262">
        <w:t>n</w:t>
      </w:r>
      <w:r>
        <w:t xml:space="preserve"> Government policy departments continue </w:t>
      </w:r>
      <w:r w:rsidRPr="00EE2A2E">
        <w:t>to</w:t>
      </w:r>
      <w:r>
        <w:rPr>
          <w:color w:val="1F497D"/>
        </w:rPr>
        <w:t xml:space="preserve"> </w:t>
      </w:r>
      <w:r>
        <w:t xml:space="preserve">lead international engagement on policy issues for which they have responsibility, with whole of government coordination driven by the Department of Foreign Affairs and Trade. As an independent statutory agency, it would not be appropriate for ASEA to lead international engagement on behalf of the Australian Government </w:t>
      </w:r>
      <w:r w:rsidR="00D8119E">
        <w:t>on</w:t>
      </w:r>
      <w:r>
        <w:t xml:space="preserve"> policy </w:t>
      </w:r>
      <w:r w:rsidR="00D8119E">
        <w:t>related matters</w:t>
      </w:r>
      <w:r>
        <w:t xml:space="preserve">. </w:t>
      </w:r>
    </w:p>
    <w:p w14:paraId="08CECE37" w14:textId="6F0DF6F5" w:rsidR="000C3FDC" w:rsidRDefault="000C3FDC" w:rsidP="000C3FDC">
      <w:pPr>
        <w:spacing w:before="120" w:after="120"/>
      </w:pPr>
      <w:r>
        <w:t>However, Australia’s national experience and deadly asbestos legacy provides a strong narrative to encourage regional countries to implement domestic bans, and guidance on the range of policy and programs necessary to effective</w:t>
      </w:r>
      <w:r w:rsidR="00C5222D">
        <w:t>ly</w:t>
      </w:r>
      <w:r>
        <w:t xml:space="preserve"> manage</w:t>
      </w:r>
      <w:r w:rsidR="00D8119E">
        <w:t xml:space="preserve"> </w:t>
      </w:r>
      <w:r>
        <w:t>asbestos risks. ASEA’s role makes it well place</w:t>
      </w:r>
      <w:r w:rsidR="00C5222D">
        <w:t>d</w:t>
      </w:r>
      <w:r>
        <w:t xml:space="preserve"> to </w:t>
      </w:r>
      <w:r w:rsidR="00D8119E">
        <w:t xml:space="preserve">engage internationally to share </w:t>
      </w:r>
      <w:r>
        <w:t>this national narrative, as well as research findings and best practice i</w:t>
      </w:r>
      <w:r w:rsidR="00C5222D">
        <w:t>nformation</w:t>
      </w:r>
      <w:r>
        <w:t xml:space="preserve">. </w:t>
      </w:r>
    </w:p>
    <w:p w14:paraId="7A796DCE" w14:textId="4CA7FA28" w:rsidR="007D4C30" w:rsidRPr="009C2B5B" w:rsidRDefault="007D4C30" w:rsidP="00D27DAF">
      <w:pPr>
        <w:spacing w:before="120" w:after="120"/>
        <w:rPr>
          <w:u w:val="single"/>
        </w:rPr>
      </w:pPr>
      <w:r w:rsidRPr="009C2B5B">
        <w:rPr>
          <w:u w:val="single"/>
        </w:rPr>
        <w:t>Import permission</w:t>
      </w:r>
    </w:p>
    <w:p w14:paraId="64EF46B8" w14:textId="42D2F415" w:rsidR="00691F7F" w:rsidRPr="001F280C" w:rsidRDefault="001F280C" w:rsidP="00A41F73">
      <w:pPr>
        <w:spacing w:before="120" w:after="120"/>
      </w:pPr>
      <w:r w:rsidRPr="001F280C">
        <w:lastRenderedPageBreak/>
        <w:t xml:space="preserve">Importing </w:t>
      </w:r>
      <w:r>
        <w:t>goods containing asbestos into Australia is prohibited except un</w:t>
      </w:r>
      <w:r w:rsidR="00DF7B37">
        <w:t xml:space="preserve">der very limited circumstances requiring Ministerial approval. </w:t>
      </w:r>
      <w:r w:rsidR="00ED518B">
        <w:t xml:space="preserve">Applications for permission are currently lodged with </w:t>
      </w:r>
      <w:r w:rsidR="007D4C30">
        <w:t>and assess</w:t>
      </w:r>
      <w:r w:rsidR="000714EF">
        <w:t>ed</w:t>
      </w:r>
      <w:r w:rsidR="007D4C30">
        <w:t xml:space="preserve"> by </w:t>
      </w:r>
      <w:r w:rsidR="00ED518B">
        <w:t>ASEA</w:t>
      </w:r>
      <w:r w:rsidR="000C3FDC">
        <w:t xml:space="preserve">. ASEA </w:t>
      </w:r>
      <w:r w:rsidR="00ED518B">
        <w:t xml:space="preserve">is well placed to process such applications within established government policies due to its asbestos expertise, public facing role, and strong cross-jurisdictional relationships. </w:t>
      </w:r>
      <w:r w:rsidR="000C3FDC">
        <w:t xml:space="preserve">The Department considers that </w:t>
      </w:r>
      <w:r w:rsidR="00D61FD0">
        <w:t>ASEA should retain this role at this time.</w:t>
      </w:r>
    </w:p>
    <w:p w14:paraId="51980D74" w14:textId="2C1F2EAB" w:rsidR="00691F7F" w:rsidRPr="006C5036" w:rsidRDefault="00691F7F" w:rsidP="006C5036">
      <w:pPr>
        <w:pStyle w:val="Heading3"/>
        <w:spacing w:before="120" w:after="120"/>
        <w:rPr>
          <w:rFonts w:asciiTheme="minorHAnsi" w:hAnsiTheme="minorHAnsi" w:cstheme="minorHAnsi"/>
          <w:b/>
          <w:color w:val="1F4E79" w:themeColor="accent1" w:themeShade="80"/>
        </w:rPr>
      </w:pPr>
      <w:r w:rsidRPr="006C5036">
        <w:rPr>
          <w:rFonts w:asciiTheme="minorHAnsi" w:hAnsiTheme="minorHAnsi" w:cstheme="minorHAnsi"/>
          <w:b/>
          <w:color w:val="1F4E79" w:themeColor="accent1" w:themeShade="80"/>
        </w:rPr>
        <w:t>Future Challenges</w:t>
      </w:r>
    </w:p>
    <w:p w14:paraId="036B90F0" w14:textId="5A717238" w:rsidR="00E2438C" w:rsidRDefault="00F855FD" w:rsidP="00D27DAF">
      <w:pPr>
        <w:spacing w:before="120" w:after="120"/>
      </w:pPr>
      <w:r>
        <w:t>W</w:t>
      </w:r>
      <w:r w:rsidR="005C2F50" w:rsidRPr="005C2F50">
        <w:t xml:space="preserve">orkplace health and safety </w:t>
      </w:r>
      <w:r w:rsidR="000C3FDC">
        <w:t xml:space="preserve">policy makers and </w:t>
      </w:r>
      <w:r w:rsidR="005C2F50" w:rsidRPr="005C2F50">
        <w:t>regulators</w:t>
      </w:r>
      <w:r w:rsidR="000C3FDC">
        <w:t xml:space="preserve"> across the Commonwealth, states and territories have well established and effective coordination mechanisms</w:t>
      </w:r>
      <w:r w:rsidR="005C2F50" w:rsidRPr="005C2F50">
        <w:t xml:space="preserve"> </w:t>
      </w:r>
      <w:r w:rsidR="000C3FDC">
        <w:t>and a long experience in managing asbestos issues in the workplace</w:t>
      </w:r>
      <w:r w:rsidR="005C2F50">
        <w:t xml:space="preserve">. </w:t>
      </w:r>
      <w:r w:rsidR="00913C44">
        <w:t>While there is always room for improvement, w</w:t>
      </w:r>
      <w:r w:rsidR="005C2F50">
        <w:t xml:space="preserve">orkers in </w:t>
      </w:r>
      <w:r w:rsidR="00E2438C">
        <w:t>high risk environments</w:t>
      </w:r>
      <w:r w:rsidR="00E71ACA">
        <w:t>,</w:t>
      </w:r>
      <w:r w:rsidR="00E2438C">
        <w:t xml:space="preserve"> such as </w:t>
      </w:r>
      <w:r w:rsidR="005C2F50">
        <w:t>the construction industry</w:t>
      </w:r>
      <w:r w:rsidR="00E71ACA">
        <w:t>,</w:t>
      </w:r>
      <w:r w:rsidR="005C2F50">
        <w:t xml:space="preserve"> </w:t>
      </w:r>
      <w:r w:rsidR="00E2438C">
        <w:t>have</w:t>
      </w:r>
      <w:r w:rsidR="005C2F50">
        <w:t xml:space="preserve"> relatively high knowledge and awareness of asbestos safe</w:t>
      </w:r>
      <w:r w:rsidR="00913C44">
        <w:t>ty</w:t>
      </w:r>
      <w:r>
        <w:t xml:space="preserve"> and are well equipped to deal with it when encountered</w:t>
      </w:r>
      <w:r w:rsidR="00913C44">
        <w:t xml:space="preserve">. </w:t>
      </w:r>
    </w:p>
    <w:p w14:paraId="32C73CAB" w14:textId="4D0E2F9D" w:rsidR="000A0F37" w:rsidRDefault="004E2750" w:rsidP="00D27DAF">
      <w:pPr>
        <w:spacing w:before="120" w:after="120"/>
      </w:pPr>
      <w:r>
        <w:t>S</w:t>
      </w:r>
      <w:r w:rsidR="00F855FD">
        <w:t>ignificant c</w:t>
      </w:r>
      <w:r w:rsidR="00913C44">
        <w:t>hallenges</w:t>
      </w:r>
      <w:r>
        <w:t>, however, remain</w:t>
      </w:r>
      <w:r w:rsidR="00F855FD">
        <w:t>.</w:t>
      </w:r>
      <w:r w:rsidR="00E2438C">
        <w:t xml:space="preserve"> ‘Gig’ or other short term or temporary workers may not have the same degree of awareness as</w:t>
      </w:r>
      <w:r w:rsidR="000A0F37">
        <w:t xml:space="preserve"> the more established workforce. Likewise,</w:t>
      </w:r>
      <w:r w:rsidR="00E2438C">
        <w:t xml:space="preserve"> </w:t>
      </w:r>
      <w:r w:rsidR="000C3FDC">
        <w:t xml:space="preserve">those undertaking residential </w:t>
      </w:r>
      <w:r w:rsidR="00E2438C">
        <w:t>DIY</w:t>
      </w:r>
      <w:r w:rsidR="000C3FDC">
        <w:t xml:space="preserve"> renovation work require greater awareness of asbestos risks</w:t>
      </w:r>
      <w:r w:rsidR="00E2438C">
        <w:t>. It is important that regulators and policy makers maintain efforts in these areas</w:t>
      </w:r>
      <w:r w:rsidR="00F855FD">
        <w:t>.</w:t>
      </w:r>
    </w:p>
    <w:p w14:paraId="764AC063" w14:textId="6A248D37" w:rsidR="00802114" w:rsidRDefault="004E2750" w:rsidP="00A41F73">
      <w:pPr>
        <w:spacing w:before="120" w:after="120"/>
      </w:pPr>
      <w:r>
        <w:t>T</w:t>
      </w:r>
      <w:r w:rsidR="00802114">
        <w:t xml:space="preserve">here is a continuing </w:t>
      </w:r>
      <w:r>
        <w:t>need for</w:t>
      </w:r>
      <w:r w:rsidR="0032624B">
        <w:t xml:space="preserve"> a central point of coordination and communication </w:t>
      </w:r>
      <w:r>
        <w:t>to work with</w:t>
      </w:r>
      <w:r w:rsidR="0032624B">
        <w:t xml:space="preserve"> the different jurisdictions</w:t>
      </w:r>
      <w:r w:rsidR="00802114">
        <w:t xml:space="preserve"> to</w:t>
      </w:r>
      <w:r w:rsidR="0032624B">
        <w:t xml:space="preserve"> ensure </w:t>
      </w:r>
      <w:r w:rsidR="00802114">
        <w:t>consistent messaging and ongoing engagement on asbestos related matters</w:t>
      </w:r>
      <w:r w:rsidR="000C3FDC">
        <w:t>, particularly on emerging issues</w:t>
      </w:r>
      <w:r w:rsidR="00802114">
        <w:t>.</w:t>
      </w:r>
    </w:p>
    <w:p w14:paraId="42757CA8" w14:textId="653108BD" w:rsidR="005C2F50" w:rsidRPr="005C2F50" w:rsidRDefault="00802114" w:rsidP="00584D9F">
      <w:pPr>
        <w:spacing w:before="120" w:after="120"/>
      </w:pPr>
      <w:r>
        <w:t xml:space="preserve">ASEA </w:t>
      </w:r>
      <w:r w:rsidR="0032624B">
        <w:t>should</w:t>
      </w:r>
      <w:r w:rsidR="000A0F37">
        <w:t xml:space="preserve"> continue to monitor known issue</w:t>
      </w:r>
      <w:r w:rsidR="005623C1">
        <w:t>s</w:t>
      </w:r>
      <w:r>
        <w:t>, such as the management of asbestos containing materials in aging infrastructure and areas impacted by natural disasters,</w:t>
      </w:r>
      <w:r w:rsidR="000A0F37">
        <w:t xml:space="preserve"> and </w:t>
      </w:r>
      <w:r w:rsidR="0032624B">
        <w:t xml:space="preserve">work with stakeholders to </w:t>
      </w:r>
      <w:r w:rsidR="000A0F37">
        <w:t>e</w:t>
      </w:r>
      <w:r>
        <w:t>nsure that</w:t>
      </w:r>
      <w:r w:rsidR="000A0F37">
        <w:t xml:space="preserve"> </w:t>
      </w:r>
      <w:r w:rsidR="0032624B">
        <w:t>sufficient</w:t>
      </w:r>
      <w:r w:rsidR="000A0F37">
        <w:t xml:space="preserve"> forward </w:t>
      </w:r>
      <w:r w:rsidR="00E2438C">
        <w:t>plan</w:t>
      </w:r>
      <w:r w:rsidR="00F855FD">
        <w:t xml:space="preserve">ning </w:t>
      </w:r>
      <w:r w:rsidR="0032624B">
        <w:t xml:space="preserve">is in place and </w:t>
      </w:r>
      <w:r>
        <w:t xml:space="preserve">the necessary momentum to address these issues in a timely manner is </w:t>
      </w:r>
      <w:r w:rsidR="0032624B">
        <w:t>maintained</w:t>
      </w:r>
      <w:r>
        <w:t>.</w:t>
      </w:r>
      <w:r w:rsidR="00F855FD">
        <w:t xml:space="preserve"> </w:t>
      </w:r>
      <w:r>
        <w:t>ASEA has an important role in</w:t>
      </w:r>
      <w:r w:rsidR="00A47520">
        <w:t xml:space="preserve"> monitoring emerging issues and </w:t>
      </w:r>
      <w:r>
        <w:t>ensuring it has</w:t>
      </w:r>
      <w:r w:rsidR="00A47520">
        <w:t xml:space="preserve"> the</w:t>
      </w:r>
      <w:r w:rsidR="00F855FD">
        <w:t xml:space="preserve"> flexibility </w:t>
      </w:r>
      <w:r w:rsidR="00A47520">
        <w:t>and agility required to</w:t>
      </w:r>
      <w:r w:rsidR="00F855FD">
        <w:t xml:space="preserve"> respond to </w:t>
      </w:r>
      <w:r w:rsidR="00A47520">
        <w:t xml:space="preserve">these as </w:t>
      </w:r>
      <w:r w:rsidR="0032624B">
        <w:t>necessary</w:t>
      </w:r>
      <w:r w:rsidR="00A47520">
        <w:t>.</w:t>
      </w:r>
    </w:p>
    <w:p w14:paraId="794200D8" w14:textId="77777777" w:rsidR="00691F7F" w:rsidRDefault="00691F7F" w:rsidP="006C5036">
      <w:pPr>
        <w:spacing w:before="120" w:after="120"/>
      </w:pPr>
    </w:p>
    <w:sectPr w:rsidR="00691F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6C71A" w14:textId="77777777" w:rsidR="00D83A30" w:rsidRDefault="00D83A30" w:rsidP="00D83A30">
      <w:pPr>
        <w:spacing w:after="0" w:line="240" w:lineRule="auto"/>
      </w:pPr>
      <w:r>
        <w:separator/>
      </w:r>
    </w:p>
  </w:endnote>
  <w:endnote w:type="continuationSeparator" w:id="0">
    <w:p w14:paraId="0D4B7646" w14:textId="77777777" w:rsidR="00D83A30" w:rsidRDefault="00D83A30" w:rsidP="00D83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4A591" w14:textId="77777777" w:rsidR="00873336" w:rsidRDefault="007E10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299559"/>
      <w:docPartObj>
        <w:docPartGallery w:val="Page Numbers (Bottom of Page)"/>
        <w:docPartUnique/>
      </w:docPartObj>
    </w:sdtPr>
    <w:sdtEndPr>
      <w:rPr>
        <w:noProof/>
      </w:rPr>
    </w:sdtEndPr>
    <w:sdtContent>
      <w:p w14:paraId="788D2F05" w14:textId="4428CCC4" w:rsidR="007426B2" w:rsidRDefault="001B1314">
        <w:pPr>
          <w:pStyle w:val="Footer"/>
          <w:jc w:val="center"/>
        </w:pPr>
        <w:r>
          <w:fldChar w:fldCharType="begin"/>
        </w:r>
        <w:r>
          <w:instrText xml:space="preserve"> PAGE   \* MERGEFORMAT </w:instrText>
        </w:r>
        <w:r>
          <w:fldChar w:fldCharType="separate"/>
        </w:r>
        <w:r w:rsidR="007E1044">
          <w:rPr>
            <w:noProof/>
          </w:rPr>
          <w:t>4</w:t>
        </w:r>
        <w:r>
          <w:rPr>
            <w:noProof/>
          </w:rPr>
          <w:fldChar w:fldCharType="end"/>
        </w:r>
      </w:p>
    </w:sdtContent>
  </w:sdt>
  <w:p w14:paraId="5B51C53B" w14:textId="77777777" w:rsidR="007426B2" w:rsidRDefault="007E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DCD4" w14:textId="77777777" w:rsidR="00873336" w:rsidRDefault="007E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9853A" w14:textId="77777777" w:rsidR="00D83A30" w:rsidRDefault="00D83A30" w:rsidP="00D83A30">
      <w:pPr>
        <w:spacing w:after="0" w:line="240" w:lineRule="auto"/>
      </w:pPr>
      <w:r>
        <w:separator/>
      </w:r>
    </w:p>
  </w:footnote>
  <w:footnote w:type="continuationSeparator" w:id="0">
    <w:p w14:paraId="746A57FF" w14:textId="77777777" w:rsidR="00D83A30" w:rsidRDefault="00D83A30" w:rsidP="00D83A30">
      <w:pPr>
        <w:spacing w:after="0" w:line="240" w:lineRule="auto"/>
      </w:pPr>
      <w:r>
        <w:continuationSeparator/>
      </w:r>
    </w:p>
  </w:footnote>
  <w:footnote w:id="1">
    <w:p w14:paraId="590ABAA9" w14:textId="3270079D" w:rsidR="00FF0BC5" w:rsidRDefault="00FF0BC5" w:rsidP="00FF0BC5">
      <w:pPr>
        <w:pStyle w:val="FootnoteText"/>
      </w:pPr>
      <w:r>
        <w:rPr>
          <w:rStyle w:val="FootnoteReference"/>
        </w:rPr>
        <w:footnoteRef/>
      </w:r>
      <w:r>
        <w:t xml:space="preserve"> </w:t>
      </w:r>
      <w:r w:rsidRPr="00267EFE">
        <w:rPr>
          <w:i/>
        </w:rPr>
        <w:t>A</w:t>
      </w:r>
      <w:r w:rsidR="005111C5" w:rsidRPr="00267EFE">
        <w:rPr>
          <w:i/>
        </w:rPr>
        <w:t xml:space="preserve">sbestos </w:t>
      </w:r>
      <w:r w:rsidRPr="00267EFE">
        <w:rPr>
          <w:i/>
        </w:rPr>
        <w:t>M</w:t>
      </w:r>
      <w:r w:rsidR="005111C5" w:rsidRPr="00267EFE">
        <w:rPr>
          <w:i/>
        </w:rPr>
        <w:t xml:space="preserve">anagement </w:t>
      </w:r>
      <w:r w:rsidRPr="00267EFE">
        <w:rPr>
          <w:i/>
        </w:rPr>
        <w:t>R</w:t>
      </w:r>
      <w:r w:rsidR="005111C5" w:rsidRPr="00267EFE">
        <w:rPr>
          <w:i/>
        </w:rPr>
        <w:t>eview</w:t>
      </w:r>
      <w:r w:rsidR="005111C5">
        <w:rPr>
          <w:i/>
        </w:rPr>
        <w:t xml:space="preserve"> Report</w:t>
      </w:r>
      <w:r>
        <w:t>,</w:t>
      </w:r>
      <w:r w:rsidR="005111C5">
        <w:t xml:space="preserve"> June 2012,</w:t>
      </w:r>
      <w:r>
        <w:t xml:space="preserve"> p48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EF568" w14:textId="77777777" w:rsidR="00873336" w:rsidRDefault="007E10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32716" w14:textId="7F576B7E" w:rsidR="00873336" w:rsidRDefault="007E10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FB0CA" w14:textId="77777777" w:rsidR="00873336" w:rsidRDefault="007E10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7E2F"/>
    <w:multiLevelType w:val="hybridMultilevel"/>
    <w:tmpl w:val="5ECC3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CE349A"/>
    <w:multiLevelType w:val="hybridMultilevel"/>
    <w:tmpl w:val="79E6F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B16965"/>
    <w:multiLevelType w:val="hybridMultilevel"/>
    <w:tmpl w:val="B72CC5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D33538"/>
    <w:multiLevelType w:val="hybridMultilevel"/>
    <w:tmpl w:val="EC5079D4"/>
    <w:lvl w:ilvl="0" w:tplc="DB7CAE76">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C855690"/>
    <w:multiLevelType w:val="hybridMultilevel"/>
    <w:tmpl w:val="53E01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B213CB"/>
    <w:multiLevelType w:val="hybridMultilevel"/>
    <w:tmpl w:val="6DCA45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824E57"/>
    <w:multiLevelType w:val="hybridMultilevel"/>
    <w:tmpl w:val="0CA21000"/>
    <w:lvl w:ilvl="0" w:tplc="7A10388E">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8A81CFF"/>
    <w:multiLevelType w:val="hybridMultilevel"/>
    <w:tmpl w:val="3612B0B2"/>
    <w:lvl w:ilvl="0" w:tplc="0C090001">
      <w:start w:val="1"/>
      <w:numFmt w:val="bullet"/>
      <w:lvlText w:val=""/>
      <w:lvlJc w:val="left"/>
      <w:pPr>
        <w:ind w:left="6" w:hanging="360"/>
      </w:pPr>
      <w:rPr>
        <w:rFonts w:ascii="Symbol" w:hAnsi="Symbol" w:hint="default"/>
      </w:rPr>
    </w:lvl>
    <w:lvl w:ilvl="1" w:tplc="0C090003" w:tentative="1">
      <w:start w:val="1"/>
      <w:numFmt w:val="bullet"/>
      <w:lvlText w:val="o"/>
      <w:lvlJc w:val="left"/>
      <w:pPr>
        <w:ind w:left="726" w:hanging="360"/>
      </w:pPr>
      <w:rPr>
        <w:rFonts w:ascii="Courier New" w:hAnsi="Courier New" w:cs="Courier New" w:hint="default"/>
      </w:rPr>
    </w:lvl>
    <w:lvl w:ilvl="2" w:tplc="0C090005" w:tentative="1">
      <w:start w:val="1"/>
      <w:numFmt w:val="bullet"/>
      <w:lvlText w:val=""/>
      <w:lvlJc w:val="left"/>
      <w:pPr>
        <w:ind w:left="1446" w:hanging="360"/>
      </w:pPr>
      <w:rPr>
        <w:rFonts w:ascii="Wingdings" w:hAnsi="Wingdings" w:hint="default"/>
      </w:rPr>
    </w:lvl>
    <w:lvl w:ilvl="3" w:tplc="0C090001" w:tentative="1">
      <w:start w:val="1"/>
      <w:numFmt w:val="bullet"/>
      <w:lvlText w:val=""/>
      <w:lvlJc w:val="left"/>
      <w:pPr>
        <w:ind w:left="2166" w:hanging="360"/>
      </w:pPr>
      <w:rPr>
        <w:rFonts w:ascii="Symbol" w:hAnsi="Symbol" w:hint="default"/>
      </w:rPr>
    </w:lvl>
    <w:lvl w:ilvl="4" w:tplc="0C090003" w:tentative="1">
      <w:start w:val="1"/>
      <w:numFmt w:val="bullet"/>
      <w:lvlText w:val="o"/>
      <w:lvlJc w:val="left"/>
      <w:pPr>
        <w:ind w:left="2886" w:hanging="360"/>
      </w:pPr>
      <w:rPr>
        <w:rFonts w:ascii="Courier New" w:hAnsi="Courier New" w:cs="Courier New" w:hint="default"/>
      </w:rPr>
    </w:lvl>
    <w:lvl w:ilvl="5" w:tplc="0C090005" w:tentative="1">
      <w:start w:val="1"/>
      <w:numFmt w:val="bullet"/>
      <w:lvlText w:val=""/>
      <w:lvlJc w:val="left"/>
      <w:pPr>
        <w:ind w:left="3606" w:hanging="360"/>
      </w:pPr>
      <w:rPr>
        <w:rFonts w:ascii="Wingdings" w:hAnsi="Wingdings" w:hint="default"/>
      </w:rPr>
    </w:lvl>
    <w:lvl w:ilvl="6" w:tplc="0C090001" w:tentative="1">
      <w:start w:val="1"/>
      <w:numFmt w:val="bullet"/>
      <w:lvlText w:val=""/>
      <w:lvlJc w:val="left"/>
      <w:pPr>
        <w:ind w:left="4326" w:hanging="360"/>
      </w:pPr>
      <w:rPr>
        <w:rFonts w:ascii="Symbol" w:hAnsi="Symbol" w:hint="default"/>
      </w:rPr>
    </w:lvl>
    <w:lvl w:ilvl="7" w:tplc="0C090003" w:tentative="1">
      <w:start w:val="1"/>
      <w:numFmt w:val="bullet"/>
      <w:lvlText w:val="o"/>
      <w:lvlJc w:val="left"/>
      <w:pPr>
        <w:ind w:left="5046" w:hanging="360"/>
      </w:pPr>
      <w:rPr>
        <w:rFonts w:ascii="Courier New" w:hAnsi="Courier New" w:cs="Courier New" w:hint="default"/>
      </w:rPr>
    </w:lvl>
    <w:lvl w:ilvl="8" w:tplc="0C090005" w:tentative="1">
      <w:start w:val="1"/>
      <w:numFmt w:val="bullet"/>
      <w:lvlText w:val=""/>
      <w:lvlJc w:val="left"/>
      <w:pPr>
        <w:ind w:left="5766" w:hanging="360"/>
      </w:pPr>
      <w:rPr>
        <w:rFonts w:ascii="Wingdings" w:hAnsi="Wingdings" w:hint="default"/>
      </w:rPr>
    </w:lvl>
  </w:abstractNum>
  <w:abstractNum w:abstractNumId="8" w15:restartNumberingAfterBreak="0">
    <w:nsid w:val="54E11321"/>
    <w:multiLevelType w:val="hybridMultilevel"/>
    <w:tmpl w:val="D8221AC0"/>
    <w:lvl w:ilvl="0" w:tplc="0C09000F">
      <w:start w:val="1"/>
      <w:numFmt w:val="decimal"/>
      <w:lvlText w:val="%1."/>
      <w:lvlJc w:val="left"/>
      <w:pPr>
        <w:ind w:left="360" w:hanging="360"/>
      </w:pPr>
      <w:rPr>
        <w:rFonts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55013C0"/>
    <w:multiLevelType w:val="hybridMultilevel"/>
    <w:tmpl w:val="6DCA45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F353C6B"/>
    <w:multiLevelType w:val="hybridMultilevel"/>
    <w:tmpl w:val="6A9A28EC"/>
    <w:lvl w:ilvl="0" w:tplc="966A06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F9A4451"/>
    <w:multiLevelType w:val="hybridMultilevel"/>
    <w:tmpl w:val="5A701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11"/>
  </w:num>
  <w:num w:numId="6">
    <w:abstractNumId w:val="4"/>
  </w:num>
  <w:num w:numId="7">
    <w:abstractNumId w:val="8"/>
  </w:num>
  <w:num w:numId="8">
    <w:abstractNumId w:val="9"/>
  </w:num>
  <w:num w:numId="9">
    <w:abstractNumId w:val="5"/>
  </w:num>
  <w:num w:numId="10">
    <w:abstractNumId w:val="1"/>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CE"/>
    <w:rsid w:val="000466E9"/>
    <w:rsid w:val="00062B73"/>
    <w:rsid w:val="000714EF"/>
    <w:rsid w:val="0008637E"/>
    <w:rsid w:val="00086C9F"/>
    <w:rsid w:val="00091BE7"/>
    <w:rsid w:val="000927ED"/>
    <w:rsid w:val="00092ED0"/>
    <w:rsid w:val="00093D9B"/>
    <w:rsid w:val="000A0F37"/>
    <w:rsid w:val="000A6FC6"/>
    <w:rsid w:val="000C3FDC"/>
    <w:rsid w:val="000C692D"/>
    <w:rsid w:val="000D274A"/>
    <w:rsid w:val="000E1146"/>
    <w:rsid w:val="000E6732"/>
    <w:rsid w:val="001073C6"/>
    <w:rsid w:val="00140FAE"/>
    <w:rsid w:val="0014290F"/>
    <w:rsid w:val="001438D5"/>
    <w:rsid w:val="001456B2"/>
    <w:rsid w:val="00150761"/>
    <w:rsid w:val="0016269A"/>
    <w:rsid w:val="00165737"/>
    <w:rsid w:val="001715D7"/>
    <w:rsid w:val="00174C47"/>
    <w:rsid w:val="0017610F"/>
    <w:rsid w:val="00176EA6"/>
    <w:rsid w:val="00177510"/>
    <w:rsid w:val="001A608A"/>
    <w:rsid w:val="001B1314"/>
    <w:rsid w:val="001B1688"/>
    <w:rsid w:val="001C1A5F"/>
    <w:rsid w:val="001C5B71"/>
    <w:rsid w:val="001D4A39"/>
    <w:rsid w:val="001E04F0"/>
    <w:rsid w:val="001E706D"/>
    <w:rsid w:val="001F280C"/>
    <w:rsid w:val="00201B7B"/>
    <w:rsid w:val="002049BB"/>
    <w:rsid w:val="00221B76"/>
    <w:rsid w:val="00223DD5"/>
    <w:rsid w:val="00227426"/>
    <w:rsid w:val="00245146"/>
    <w:rsid w:val="00255A5A"/>
    <w:rsid w:val="00257504"/>
    <w:rsid w:val="002639D5"/>
    <w:rsid w:val="00267EFE"/>
    <w:rsid w:val="00294F7B"/>
    <w:rsid w:val="002964AF"/>
    <w:rsid w:val="002A00EC"/>
    <w:rsid w:val="002A324C"/>
    <w:rsid w:val="002C394F"/>
    <w:rsid w:val="002C685C"/>
    <w:rsid w:val="002C7513"/>
    <w:rsid w:val="002E652B"/>
    <w:rsid w:val="00301CF9"/>
    <w:rsid w:val="003048B3"/>
    <w:rsid w:val="00314E75"/>
    <w:rsid w:val="00316FAC"/>
    <w:rsid w:val="00317403"/>
    <w:rsid w:val="003239BD"/>
    <w:rsid w:val="0032624B"/>
    <w:rsid w:val="0033554B"/>
    <w:rsid w:val="00340151"/>
    <w:rsid w:val="003420BA"/>
    <w:rsid w:val="0035738E"/>
    <w:rsid w:val="0036046E"/>
    <w:rsid w:val="0036231D"/>
    <w:rsid w:val="00364E90"/>
    <w:rsid w:val="00371C2F"/>
    <w:rsid w:val="003774F5"/>
    <w:rsid w:val="00394CCE"/>
    <w:rsid w:val="0039660F"/>
    <w:rsid w:val="003A2135"/>
    <w:rsid w:val="003B1918"/>
    <w:rsid w:val="003B69A5"/>
    <w:rsid w:val="003C0BE1"/>
    <w:rsid w:val="003E551D"/>
    <w:rsid w:val="003E73A0"/>
    <w:rsid w:val="004049A9"/>
    <w:rsid w:val="00404BB1"/>
    <w:rsid w:val="00416B94"/>
    <w:rsid w:val="00426895"/>
    <w:rsid w:val="00427474"/>
    <w:rsid w:val="00432E23"/>
    <w:rsid w:val="00436BEB"/>
    <w:rsid w:val="00441E03"/>
    <w:rsid w:val="00454697"/>
    <w:rsid w:val="0045554A"/>
    <w:rsid w:val="004573C1"/>
    <w:rsid w:val="00466505"/>
    <w:rsid w:val="0046780E"/>
    <w:rsid w:val="0049060C"/>
    <w:rsid w:val="004A2C79"/>
    <w:rsid w:val="004C262C"/>
    <w:rsid w:val="004C2695"/>
    <w:rsid w:val="004C439C"/>
    <w:rsid w:val="004D0702"/>
    <w:rsid w:val="004D3753"/>
    <w:rsid w:val="004D67C0"/>
    <w:rsid w:val="004E2750"/>
    <w:rsid w:val="00501077"/>
    <w:rsid w:val="00501E92"/>
    <w:rsid w:val="005058D1"/>
    <w:rsid w:val="00505E8F"/>
    <w:rsid w:val="005111C5"/>
    <w:rsid w:val="00512CC7"/>
    <w:rsid w:val="0051462F"/>
    <w:rsid w:val="005409C4"/>
    <w:rsid w:val="00541F9F"/>
    <w:rsid w:val="00560834"/>
    <w:rsid w:val="005623C1"/>
    <w:rsid w:val="0056557D"/>
    <w:rsid w:val="005720D3"/>
    <w:rsid w:val="00572F5A"/>
    <w:rsid w:val="00581BB3"/>
    <w:rsid w:val="00584D9F"/>
    <w:rsid w:val="0059017C"/>
    <w:rsid w:val="005909F4"/>
    <w:rsid w:val="005964C7"/>
    <w:rsid w:val="005B6E0F"/>
    <w:rsid w:val="005C2F50"/>
    <w:rsid w:val="005D0388"/>
    <w:rsid w:val="005E231A"/>
    <w:rsid w:val="005E4B8F"/>
    <w:rsid w:val="005E787F"/>
    <w:rsid w:val="00600F91"/>
    <w:rsid w:val="00605201"/>
    <w:rsid w:val="006250EC"/>
    <w:rsid w:val="00635CE2"/>
    <w:rsid w:val="00635E1F"/>
    <w:rsid w:val="00641A1E"/>
    <w:rsid w:val="00656492"/>
    <w:rsid w:val="00661D0D"/>
    <w:rsid w:val="006862DD"/>
    <w:rsid w:val="00691F7F"/>
    <w:rsid w:val="006A31A2"/>
    <w:rsid w:val="006B3C9C"/>
    <w:rsid w:val="006C5036"/>
    <w:rsid w:val="006D636F"/>
    <w:rsid w:val="006E77FB"/>
    <w:rsid w:val="00722B26"/>
    <w:rsid w:val="00755322"/>
    <w:rsid w:val="00770E03"/>
    <w:rsid w:val="00780EED"/>
    <w:rsid w:val="00781DDC"/>
    <w:rsid w:val="007934C4"/>
    <w:rsid w:val="00797109"/>
    <w:rsid w:val="00797159"/>
    <w:rsid w:val="00797675"/>
    <w:rsid w:val="007B167F"/>
    <w:rsid w:val="007B5B5B"/>
    <w:rsid w:val="007C0900"/>
    <w:rsid w:val="007C2B49"/>
    <w:rsid w:val="007C2C8F"/>
    <w:rsid w:val="007D4C30"/>
    <w:rsid w:val="007D54D5"/>
    <w:rsid w:val="007E1044"/>
    <w:rsid w:val="007F0DBB"/>
    <w:rsid w:val="007F3538"/>
    <w:rsid w:val="00802114"/>
    <w:rsid w:val="008107B4"/>
    <w:rsid w:val="008326A9"/>
    <w:rsid w:val="00833952"/>
    <w:rsid w:val="008474CD"/>
    <w:rsid w:val="00852468"/>
    <w:rsid w:val="0086004A"/>
    <w:rsid w:val="008772EF"/>
    <w:rsid w:val="00877B15"/>
    <w:rsid w:val="00892F74"/>
    <w:rsid w:val="008947AC"/>
    <w:rsid w:val="008A4DF2"/>
    <w:rsid w:val="008B2FC8"/>
    <w:rsid w:val="008D0EA7"/>
    <w:rsid w:val="008F0B65"/>
    <w:rsid w:val="00907459"/>
    <w:rsid w:val="00913C44"/>
    <w:rsid w:val="009143AE"/>
    <w:rsid w:val="00925C75"/>
    <w:rsid w:val="0094384F"/>
    <w:rsid w:val="009448B7"/>
    <w:rsid w:val="00962FF8"/>
    <w:rsid w:val="009636A2"/>
    <w:rsid w:val="009666E2"/>
    <w:rsid w:val="009744B7"/>
    <w:rsid w:val="009B3910"/>
    <w:rsid w:val="009B7E78"/>
    <w:rsid w:val="009C2B5B"/>
    <w:rsid w:val="009C3D6F"/>
    <w:rsid w:val="009D6029"/>
    <w:rsid w:val="009E2051"/>
    <w:rsid w:val="009E4C95"/>
    <w:rsid w:val="009E6E97"/>
    <w:rsid w:val="009F4A23"/>
    <w:rsid w:val="00A06C11"/>
    <w:rsid w:val="00A20262"/>
    <w:rsid w:val="00A218FA"/>
    <w:rsid w:val="00A36118"/>
    <w:rsid w:val="00A37280"/>
    <w:rsid w:val="00A41F73"/>
    <w:rsid w:val="00A47520"/>
    <w:rsid w:val="00A60502"/>
    <w:rsid w:val="00A77E32"/>
    <w:rsid w:val="00A82AE7"/>
    <w:rsid w:val="00AA516E"/>
    <w:rsid w:val="00AA5874"/>
    <w:rsid w:val="00AA5B94"/>
    <w:rsid w:val="00AA6C4F"/>
    <w:rsid w:val="00AC34B9"/>
    <w:rsid w:val="00AC4891"/>
    <w:rsid w:val="00AD2F41"/>
    <w:rsid w:val="00AF3B0D"/>
    <w:rsid w:val="00AF6F81"/>
    <w:rsid w:val="00B64689"/>
    <w:rsid w:val="00B64DC2"/>
    <w:rsid w:val="00B65932"/>
    <w:rsid w:val="00B7410C"/>
    <w:rsid w:val="00B7537F"/>
    <w:rsid w:val="00B8545C"/>
    <w:rsid w:val="00B90B58"/>
    <w:rsid w:val="00B958F9"/>
    <w:rsid w:val="00B97623"/>
    <w:rsid w:val="00BA3862"/>
    <w:rsid w:val="00BB3F7F"/>
    <w:rsid w:val="00BB6D02"/>
    <w:rsid w:val="00BD1D4E"/>
    <w:rsid w:val="00BD24B0"/>
    <w:rsid w:val="00BD7BC1"/>
    <w:rsid w:val="00BE1AE5"/>
    <w:rsid w:val="00BE472D"/>
    <w:rsid w:val="00C1642D"/>
    <w:rsid w:val="00C36FAD"/>
    <w:rsid w:val="00C41CDF"/>
    <w:rsid w:val="00C4262E"/>
    <w:rsid w:val="00C5222D"/>
    <w:rsid w:val="00C70A47"/>
    <w:rsid w:val="00C73DD0"/>
    <w:rsid w:val="00C7432E"/>
    <w:rsid w:val="00C84A1D"/>
    <w:rsid w:val="00C86BCF"/>
    <w:rsid w:val="00CA0635"/>
    <w:rsid w:val="00CA1A08"/>
    <w:rsid w:val="00CA6062"/>
    <w:rsid w:val="00CB1048"/>
    <w:rsid w:val="00CC63DB"/>
    <w:rsid w:val="00CC7F42"/>
    <w:rsid w:val="00CD254A"/>
    <w:rsid w:val="00CD5EB9"/>
    <w:rsid w:val="00CE0EFD"/>
    <w:rsid w:val="00CE4E87"/>
    <w:rsid w:val="00CF6D88"/>
    <w:rsid w:val="00D07467"/>
    <w:rsid w:val="00D11B1E"/>
    <w:rsid w:val="00D26A46"/>
    <w:rsid w:val="00D27DAF"/>
    <w:rsid w:val="00D33BBB"/>
    <w:rsid w:val="00D33DC7"/>
    <w:rsid w:val="00D4152F"/>
    <w:rsid w:val="00D61FD0"/>
    <w:rsid w:val="00D62687"/>
    <w:rsid w:val="00D66010"/>
    <w:rsid w:val="00D8119E"/>
    <w:rsid w:val="00D83A30"/>
    <w:rsid w:val="00D9059C"/>
    <w:rsid w:val="00DA1F8D"/>
    <w:rsid w:val="00DB0724"/>
    <w:rsid w:val="00DC1416"/>
    <w:rsid w:val="00DD4E56"/>
    <w:rsid w:val="00DE239D"/>
    <w:rsid w:val="00DF3858"/>
    <w:rsid w:val="00DF6B93"/>
    <w:rsid w:val="00DF7B37"/>
    <w:rsid w:val="00E07B5A"/>
    <w:rsid w:val="00E07CEB"/>
    <w:rsid w:val="00E17027"/>
    <w:rsid w:val="00E2231E"/>
    <w:rsid w:val="00E23401"/>
    <w:rsid w:val="00E2438C"/>
    <w:rsid w:val="00E30ECB"/>
    <w:rsid w:val="00E34D20"/>
    <w:rsid w:val="00E453CA"/>
    <w:rsid w:val="00E50FCE"/>
    <w:rsid w:val="00E54314"/>
    <w:rsid w:val="00E57F18"/>
    <w:rsid w:val="00E71ACA"/>
    <w:rsid w:val="00E800D7"/>
    <w:rsid w:val="00E81755"/>
    <w:rsid w:val="00E94465"/>
    <w:rsid w:val="00EA6F2B"/>
    <w:rsid w:val="00EB025D"/>
    <w:rsid w:val="00EC6C6B"/>
    <w:rsid w:val="00EC7A14"/>
    <w:rsid w:val="00ED01EA"/>
    <w:rsid w:val="00ED518B"/>
    <w:rsid w:val="00EE2A2E"/>
    <w:rsid w:val="00EF18BE"/>
    <w:rsid w:val="00EF7421"/>
    <w:rsid w:val="00F03D48"/>
    <w:rsid w:val="00F043E3"/>
    <w:rsid w:val="00F05420"/>
    <w:rsid w:val="00F06911"/>
    <w:rsid w:val="00F1369E"/>
    <w:rsid w:val="00F23BF4"/>
    <w:rsid w:val="00F424F8"/>
    <w:rsid w:val="00F51D6F"/>
    <w:rsid w:val="00F63410"/>
    <w:rsid w:val="00F71435"/>
    <w:rsid w:val="00F71C72"/>
    <w:rsid w:val="00F7256C"/>
    <w:rsid w:val="00F73F84"/>
    <w:rsid w:val="00F850B4"/>
    <w:rsid w:val="00F855FD"/>
    <w:rsid w:val="00F87E17"/>
    <w:rsid w:val="00FC132E"/>
    <w:rsid w:val="00FC1A27"/>
    <w:rsid w:val="00FD7135"/>
    <w:rsid w:val="00FE1C1E"/>
    <w:rsid w:val="00FE5861"/>
    <w:rsid w:val="00FE627B"/>
    <w:rsid w:val="00FF0BC5"/>
    <w:rsid w:val="00FF6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3E2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F7F"/>
  </w:style>
  <w:style w:type="paragraph" w:styleId="Heading3">
    <w:name w:val="heading 3"/>
    <w:basedOn w:val="Normal"/>
    <w:next w:val="Normal"/>
    <w:link w:val="Heading3Char"/>
    <w:uiPriority w:val="9"/>
    <w:unhideWhenUsed/>
    <w:qFormat/>
    <w:rsid w:val="00394C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CCE"/>
    <w:rPr>
      <w:rFonts w:asciiTheme="majorHAnsi" w:eastAsiaTheme="majorEastAsia" w:hAnsiTheme="majorHAnsi" w:cstheme="majorBidi"/>
      <w:color w:val="1F4D78" w:themeColor="accent1" w:themeShade="7F"/>
      <w:sz w:val="24"/>
      <w:szCs w:val="24"/>
    </w:rPr>
  </w:style>
  <w:style w:type="paragraph" w:styleId="ListParagraph">
    <w:name w:val="List Paragraph"/>
    <w:aliases w:val="Bullet point,Bulletr List Paragraph,FooterText,L,List Paragraph1,List Paragraph11,List Paragraph2,List Paragraph21,Listeafsnit1,NFP GP Bulleted List,Paragraphe de liste1,Parágrafo da Lista1,Recommendation,bullet point list,1 heading,列出段落"/>
    <w:basedOn w:val="Normal"/>
    <w:link w:val="ListParagraphChar"/>
    <w:uiPriority w:val="34"/>
    <w:qFormat/>
    <w:rsid w:val="00394CCE"/>
    <w:pPr>
      <w:ind w:left="720"/>
      <w:contextualSpacing/>
    </w:pPr>
  </w:style>
  <w:style w:type="character" w:styleId="CommentReference">
    <w:name w:val="annotation reference"/>
    <w:basedOn w:val="DefaultParagraphFont"/>
    <w:uiPriority w:val="99"/>
    <w:semiHidden/>
    <w:unhideWhenUsed/>
    <w:rsid w:val="00394CCE"/>
    <w:rPr>
      <w:sz w:val="16"/>
      <w:szCs w:val="16"/>
    </w:rPr>
  </w:style>
  <w:style w:type="paragraph" w:styleId="CommentText">
    <w:name w:val="annotation text"/>
    <w:basedOn w:val="Normal"/>
    <w:link w:val="CommentTextChar"/>
    <w:uiPriority w:val="99"/>
    <w:unhideWhenUsed/>
    <w:rsid w:val="00394CCE"/>
    <w:pPr>
      <w:spacing w:line="240" w:lineRule="auto"/>
    </w:pPr>
    <w:rPr>
      <w:sz w:val="20"/>
      <w:szCs w:val="20"/>
    </w:rPr>
  </w:style>
  <w:style w:type="character" w:customStyle="1" w:styleId="CommentTextChar">
    <w:name w:val="Comment Text Char"/>
    <w:basedOn w:val="DefaultParagraphFont"/>
    <w:link w:val="CommentText"/>
    <w:uiPriority w:val="99"/>
    <w:rsid w:val="00394CCE"/>
    <w:rPr>
      <w:sz w:val="20"/>
      <w:szCs w:val="20"/>
    </w:rPr>
  </w:style>
  <w:style w:type="paragraph" w:styleId="BalloonText">
    <w:name w:val="Balloon Text"/>
    <w:basedOn w:val="Normal"/>
    <w:link w:val="BalloonTextChar"/>
    <w:uiPriority w:val="99"/>
    <w:semiHidden/>
    <w:unhideWhenUsed/>
    <w:rsid w:val="00394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CE"/>
    <w:rPr>
      <w:rFonts w:ascii="Segoe UI" w:hAnsi="Segoe UI" w:cs="Segoe UI"/>
      <w:sz w:val="18"/>
      <w:szCs w:val="18"/>
    </w:rPr>
  </w:style>
  <w:style w:type="paragraph" w:styleId="Header">
    <w:name w:val="header"/>
    <w:basedOn w:val="Normal"/>
    <w:link w:val="HeaderChar"/>
    <w:uiPriority w:val="99"/>
    <w:unhideWhenUsed/>
    <w:rsid w:val="00691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F7F"/>
  </w:style>
  <w:style w:type="paragraph" w:styleId="Footer">
    <w:name w:val="footer"/>
    <w:basedOn w:val="Normal"/>
    <w:link w:val="FooterChar"/>
    <w:uiPriority w:val="99"/>
    <w:unhideWhenUsed/>
    <w:rsid w:val="00691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F7F"/>
  </w:style>
  <w:style w:type="character" w:customStyle="1" w:styleId="ListParagraphChar">
    <w:name w:val="List Paragraph Char"/>
    <w:aliases w:val="Bullet point Char,Bulletr List Paragraph Char,FooterText Char,L Char,List Paragraph1 Char,List Paragraph11 Char,List Paragraph2 Char,List Paragraph21 Char,Listeafsnit1 Char,NFP GP Bulleted List Char,Paragraphe de liste1 Char"/>
    <w:link w:val="ListParagraph"/>
    <w:uiPriority w:val="34"/>
    <w:qFormat/>
    <w:locked/>
    <w:rsid w:val="00D83A30"/>
  </w:style>
  <w:style w:type="paragraph" w:styleId="FootnoteText">
    <w:name w:val="footnote text"/>
    <w:basedOn w:val="Normal"/>
    <w:link w:val="FootnoteTextChar"/>
    <w:uiPriority w:val="99"/>
    <w:semiHidden/>
    <w:unhideWhenUsed/>
    <w:rsid w:val="00D83A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3A30"/>
    <w:rPr>
      <w:sz w:val="20"/>
      <w:szCs w:val="20"/>
    </w:rPr>
  </w:style>
  <w:style w:type="character" w:styleId="FootnoteReference">
    <w:name w:val="footnote reference"/>
    <w:basedOn w:val="DefaultParagraphFont"/>
    <w:uiPriority w:val="99"/>
    <w:semiHidden/>
    <w:unhideWhenUsed/>
    <w:rsid w:val="00D83A30"/>
    <w:rPr>
      <w:vertAlign w:val="superscript"/>
    </w:rPr>
  </w:style>
  <w:style w:type="paragraph" w:styleId="CommentSubject">
    <w:name w:val="annotation subject"/>
    <w:basedOn w:val="CommentText"/>
    <w:next w:val="CommentText"/>
    <w:link w:val="CommentSubjectChar"/>
    <w:uiPriority w:val="99"/>
    <w:semiHidden/>
    <w:unhideWhenUsed/>
    <w:rsid w:val="00D62687"/>
    <w:rPr>
      <w:b/>
      <w:bCs/>
    </w:rPr>
  </w:style>
  <w:style w:type="character" w:customStyle="1" w:styleId="CommentSubjectChar">
    <w:name w:val="Comment Subject Char"/>
    <w:basedOn w:val="CommentTextChar"/>
    <w:link w:val="CommentSubject"/>
    <w:uiPriority w:val="99"/>
    <w:semiHidden/>
    <w:rsid w:val="00D62687"/>
    <w:rPr>
      <w:b/>
      <w:bCs/>
      <w:sz w:val="20"/>
      <w:szCs w:val="20"/>
    </w:rPr>
  </w:style>
  <w:style w:type="paragraph" w:customStyle="1" w:styleId="paragraph">
    <w:name w:val="paragraph"/>
    <w:basedOn w:val="Normal"/>
    <w:rsid w:val="0083395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sub">
    <w:name w:val="paragraphsub"/>
    <w:basedOn w:val="Normal"/>
    <w:rsid w:val="0083395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322648">
      <w:bodyDiv w:val="1"/>
      <w:marLeft w:val="0"/>
      <w:marRight w:val="0"/>
      <w:marTop w:val="0"/>
      <w:marBottom w:val="0"/>
      <w:divBdr>
        <w:top w:val="none" w:sz="0" w:space="0" w:color="auto"/>
        <w:left w:val="none" w:sz="0" w:space="0" w:color="auto"/>
        <w:bottom w:val="none" w:sz="0" w:space="0" w:color="auto"/>
        <w:right w:val="none" w:sz="0" w:space="0" w:color="auto"/>
      </w:divBdr>
    </w:div>
    <w:div w:id="1671828454">
      <w:bodyDiv w:val="1"/>
      <w:marLeft w:val="0"/>
      <w:marRight w:val="0"/>
      <w:marTop w:val="0"/>
      <w:marBottom w:val="0"/>
      <w:divBdr>
        <w:top w:val="none" w:sz="0" w:space="0" w:color="auto"/>
        <w:left w:val="none" w:sz="0" w:space="0" w:color="auto"/>
        <w:bottom w:val="none" w:sz="0" w:space="0" w:color="auto"/>
        <w:right w:val="none" w:sz="0" w:space="0" w:color="auto"/>
      </w:divBdr>
    </w:div>
    <w:div w:id="1732271747">
      <w:bodyDiv w:val="1"/>
      <w:marLeft w:val="0"/>
      <w:marRight w:val="0"/>
      <w:marTop w:val="0"/>
      <w:marBottom w:val="0"/>
      <w:divBdr>
        <w:top w:val="none" w:sz="0" w:space="0" w:color="auto"/>
        <w:left w:val="none" w:sz="0" w:space="0" w:color="auto"/>
        <w:bottom w:val="none" w:sz="0" w:space="0" w:color="auto"/>
        <w:right w:val="none" w:sz="0" w:space="0" w:color="auto"/>
      </w:divBdr>
    </w:div>
    <w:div w:id="1930579832">
      <w:bodyDiv w:val="1"/>
      <w:marLeft w:val="0"/>
      <w:marRight w:val="0"/>
      <w:marTop w:val="0"/>
      <w:marBottom w:val="0"/>
      <w:divBdr>
        <w:top w:val="none" w:sz="0" w:space="0" w:color="auto"/>
        <w:left w:val="none" w:sz="0" w:space="0" w:color="auto"/>
        <w:bottom w:val="none" w:sz="0" w:space="0" w:color="auto"/>
        <w:right w:val="none" w:sz="0" w:space="0" w:color="auto"/>
      </w:divBdr>
      <w:divsChild>
        <w:div w:id="1974827193">
          <w:marLeft w:val="0"/>
          <w:marRight w:val="0"/>
          <w:marTop w:val="0"/>
          <w:marBottom w:val="0"/>
          <w:divBdr>
            <w:top w:val="none" w:sz="0" w:space="0" w:color="auto"/>
            <w:left w:val="none" w:sz="0" w:space="0" w:color="auto"/>
            <w:bottom w:val="none" w:sz="0" w:space="0" w:color="auto"/>
            <w:right w:val="none" w:sz="0" w:space="0" w:color="auto"/>
          </w:divBdr>
          <w:divsChild>
            <w:div w:id="2041008951">
              <w:marLeft w:val="0"/>
              <w:marRight w:val="0"/>
              <w:marTop w:val="0"/>
              <w:marBottom w:val="0"/>
              <w:divBdr>
                <w:top w:val="none" w:sz="0" w:space="0" w:color="auto"/>
                <w:left w:val="none" w:sz="0" w:space="0" w:color="auto"/>
                <w:bottom w:val="none" w:sz="0" w:space="0" w:color="auto"/>
                <w:right w:val="none" w:sz="0" w:space="0" w:color="auto"/>
              </w:divBdr>
              <w:divsChild>
                <w:div w:id="331841465">
                  <w:marLeft w:val="0"/>
                  <w:marRight w:val="0"/>
                  <w:marTop w:val="0"/>
                  <w:marBottom w:val="0"/>
                  <w:divBdr>
                    <w:top w:val="none" w:sz="0" w:space="0" w:color="auto"/>
                    <w:left w:val="none" w:sz="0" w:space="0" w:color="auto"/>
                    <w:bottom w:val="none" w:sz="0" w:space="0" w:color="auto"/>
                    <w:right w:val="none" w:sz="0" w:space="0" w:color="auto"/>
                  </w:divBdr>
                  <w:divsChild>
                    <w:div w:id="679166234">
                      <w:marLeft w:val="0"/>
                      <w:marRight w:val="0"/>
                      <w:marTop w:val="0"/>
                      <w:marBottom w:val="0"/>
                      <w:divBdr>
                        <w:top w:val="none" w:sz="0" w:space="0" w:color="auto"/>
                        <w:left w:val="none" w:sz="0" w:space="0" w:color="auto"/>
                        <w:bottom w:val="none" w:sz="0" w:space="0" w:color="auto"/>
                        <w:right w:val="none" w:sz="0" w:space="0" w:color="auto"/>
                      </w:divBdr>
                      <w:divsChild>
                        <w:div w:id="1235773411">
                          <w:marLeft w:val="0"/>
                          <w:marRight w:val="0"/>
                          <w:marTop w:val="0"/>
                          <w:marBottom w:val="0"/>
                          <w:divBdr>
                            <w:top w:val="none" w:sz="0" w:space="0" w:color="auto"/>
                            <w:left w:val="none" w:sz="0" w:space="0" w:color="auto"/>
                            <w:bottom w:val="none" w:sz="0" w:space="0" w:color="auto"/>
                            <w:right w:val="none" w:sz="0" w:space="0" w:color="auto"/>
                          </w:divBdr>
                          <w:divsChild>
                            <w:div w:id="51272675">
                              <w:marLeft w:val="0"/>
                              <w:marRight w:val="0"/>
                              <w:marTop w:val="0"/>
                              <w:marBottom w:val="0"/>
                              <w:divBdr>
                                <w:top w:val="none" w:sz="0" w:space="0" w:color="auto"/>
                                <w:left w:val="none" w:sz="0" w:space="0" w:color="auto"/>
                                <w:bottom w:val="none" w:sz="0" w:space="0" w:color="auto"/>
                                <w:right w:val="none" w:sz="0" w:space="0" w:color="auto"/>
                              </w:divBdr>
                              <w:divsChild>
                                <w:div w:id="115023284">
                                  <w:marLeft w:val="0"/>
                                  <w:marRight w:val="0"/>
                                  <w:marTop w:val="0"/>
                                  <w:marBottom w:val="0"/>
                                  <w:divBdr>
                                    <w:top w:val="none" w:sz="0" w:space="0" w:color="auto"/>
                                    <w:left w:val="none" w:sz="0" w:space="0" w:color="auto"/>
                                    <w:bottom w:val="none" w:sz="0" w:space="0" w:color="auto"/>
                                    <w:right w:val="none" w:sz="0" w:space="0" w:color="auto"/>
                                  </w:divBdr>
                                  <w:divsChild>
                                    <w:div w:id="696196869">
                                      <w:marLeft w:val="0"/>
                                      <w:marRight w:val="0"/>
                                      <w:marTop w:val="0"/>
                                      <w:marBottom w:val="0"/>
                                      <w:divBdr>
                                        <w:top w:val="none" w:sz="0" w:space="0" w:color="auto"/>
                                        <w:left w:val="none" w:sz="0" w:space="0" w:color="auto"/>
                                        <w:bottom w:val="none" w:sz="0" w:space="0" w:color="auto"/>
                                        <w:right w:val="none" w:sz="0" w:space="0" w:color="auto"/>
                                      </w:divBdr>
                                      <w:divsChild>
                                        <w:div w:id="118114463">
                                          <w:marLeft w:val="0"/>
                                          <w:marRight w:val="0"/>
                                          <w:marTop w:val="0"/>
                                          <w:marBottom w:val="0"/>
                                          <w:divBdr>
                                            <w:top w:val="none" w:sz="0" w:space="0" w:color="auto"/>
                                            <w:left w:val="none" w:sz="0" w:space="0" w:color="auto"/>
                                            <w:bottom w:val="none" w:sz="0" w:space="0" w:color="auto"/>
                                            <w:right w:val="none" w:sz="0" w:space="0" w:color="auto"/>
                                          </w:divBdr>
                                          <w:divsChild>
                                            <w:div w:id="2091852529">
                                              <w:marLeft w:val="0"/>
                                              <w:marRight w:val="0"/>
                                              <w:marTop w:val="0"/>
                                              <w:marBottom w:val="0"/>
                                              <w:divBdr>
                                                <w:top w:val="none" w:sz="0" w:space="0" w:color="auto"/>
                                                <w:left w:val="none" w:sz="0" w:space="0" w:color="auto"/>
                                                <w:bottom w:val="none" w:sz="0" w:space="0" w:color="auto"/>
                                                <w:right w:val="none" w:sz="0" w:space="0" w:color="auto"/>
                                              </w:divBdr>
                                              <w:divsChild>
                                                <w:div w:id="1318807696">
                                                  <w:marLeft w:val="0"/>
                                                  <w:marRight w:val="0"/>
                                                  <w:marTop w:val="0"/>
                                                  <w:marBottom w:val="0"/>
                                                  <w:divBdr>
                                                    <w:top w:val="none" w:sz="0" w:space="0" w:color="auto"/>
                                                    <w:left w:val="none" w:sz="0" w:space="0" w:color="auto"/>
                                                    <w:bottom w:val="none" w:sz="0" w:space="0" w:color="auto"/>
                                                    <w:right w:val="none" w:sz="0" w:space="0" w:color="auto"/>
                                                  </w:divBdr>
                                                  <w:divsChild>
                                                    <w:div w:id="1014504028">
                                                      <w:marLeft w:val="0"/>
                                                      <w:marRight w:val="0"/>
                                                      <w:marTop w:val="0"/>
                                                      <w:marBottom w:val="0"/>
                                                      <w:divBdr>
                                                        <w:top w:val="none" w:sz="0" w:space="0" w:color="auto"/>
                                                        <w:left w:val="none" w:sz="0" w:space="0" w:color="auto"/>
                                                        <w:bottom w:val="none" w:sz="0" w:space="0" w:color="auto"/>
                                                        <w:right w:val="none" w:sz="0" w:space="0" w:color="auto"/>
                                                      </w:divBdr>
                                                      <w:divsChild>
                                                        <w:div w:id="10136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01999D53B0544AB343B30527E79C50" ma:contentTypeVersion="1" ma:contentTypeDescription="Create a new document." ma:contentTypeScope="" ma:versionID="edb2505cebc94b7e4556dcb32256a2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945C1A2-6101-4268-8E51-F329EA251728}"/>
</file>

<file path=customXml/itemProps2.xml><?xml version="1.0" encoding="utf-8"?>
<ds:datastoreItem xmlns:ds="http://schemas.openxmlformats.org/officeDocument/2006/customXml" ds:itemID="{514ABEF5-936C-4BA6-8B67-503598AC832A}"/>
</file>

<file path=customXml/itemProps3.xml><?xml version="1.0" encoding="utf-8"?>
<ds:datastoreItem xmlns:ds="http://schemas.openxmlformats.org/officeDocument/2006/customXml" ds:itemID="{C6819A87-DA7C-4762-913F-B38DD436E37D}"/>
</file>

<file path=customXml/itemProps4.xml><?xml version="1.0" encoding="utf-8"?>
<ds:datastoreItem xmlns:ds="http://schemas.openxmlformats.org/officeDocument/2006/customXml" ds:itemID="{6341A915-4D9F-4F9B-8BC3-5A5EC4624B88}"/>
</file>

<file path=docProps/app.xml><?xml version="1.0" encoding="utf-8"?>
<Properties xmlns="http://schemas.openxmlformats.org/officeDocument/2006/extended-properties" xmlns:vt="http://schemas.openxmlformats.org/officeDocument/2006/docPropsVTypes">
  <Template>Normal</Template>
  <TotalTime>0</TotalTime>
  <Pages>5</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Jobs and Small Business submission to the Review of the Asbestos Safety and Eradication Agency’s Role and Functions</dc:title>
  <dc:subject/>
  <dc:creator/>
  <cp:keywords/>
  <dc:description/>
  <cp:lastModifiedBy/>
  <cp:revision>1</cp:revision>
  <dcterms:created xsi:type="dcterms:W3CDTF">2019-11-26T00:04:00Z</dcterms:created>
  <dcterms:modified xsi:type="dcterms:W3CDTF">2019-11-26T00:04:00Z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0x0101009901999D53B0544AB343B30527E79C50</vt:lpwstr>
  </property>
</Properties>
</file>