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6C69D" w14:textId="77777777" w:rsidR="00394664" w:rsidRDefault="00BF004D" w:rsidP="00C279C1">
      <w:pPr>
        <w:ind w:left="-851"/>
        <w:sectPr w:rsidR="00394664" w:rsidSect="00C279C1">
          <w:footerReference w:type="default" r:id="rId8"/>
          <w:pgSz w:w="12240" w:h="15840"/>
          <w:pgMar w:top="142" w:right="964" w:bottom="964" w:left="964" w:header="142" w:footer="311" w:gutter="0"/>
          <w:cols w:space="708"/>
          <w:docGrid w:linePitch="360"/>
        </w:sectPr>
      </w:pPr>
      <w:r>
        <w:rPr>
          <w:noProof/>
          <w:lang w:eastAsia="en-AU"/>
        </w:rPr>
        <w:drawing>
          <wp:inline distT="0" distB="0" distL="0" distR="0" wp14:anchorId="59BD7C2D" wp14:editId="5551A1CA">
            <wp:extent cx="7579290" cy="1470660"/>
            <wp:effectExtent l="0" t="0" r="3175" b="0"/>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4909" cy="1473691"/>
                    </a:xfrm>
                    <a:prstGeom prst="rect">
                      <a:avLst/>
                    </a:prstGeom>
                  </pic:spPr>
                </pic:pic>
              </a:graphicData>
            </a:graphic>
          </wp:inline>
        </w:drawing>
      </w:r>
    </w:p>
    <w:p w14:paraId="502E18ED" w14:textId="43463867" w:rsidR="00151A0A" w:rsidRPr="00852B60" w:rsidRDefault="00415CD9" w:rsidP="00885266">
      <w:pPr>
        <w:spacing w:before="240" w:after="0"/>
        <w:jc w:val="right"/>
      </w:pPr>
      <w:r>
        <w:t xml:space="preserve">September </w:t>
      </w:r>
      <w:r w:rsidR="009E51BE">
        <w:t>2019</w:t>
      </w:r>
    </w:p>
    <w:p w14:paraId="38DF7C93" w14:textId="1A5EDB96" w:rsidR="00A6173D" w:rsidRPr="007E4624" w:rsidRDefault="007C523E" w:rsidP="00125668">
      <w:pPr>
        <w:pStyle w:val="Heading1"/>
        <w:jc w:val="left"/>
      </w:pPr>
      <w:r w:rsidRPr="007E4624">
        <w:t xml:space="preserve">Improving </w:t>
      </w:r>
      <w:r w:rsidR="0073777E">
        <w:t>p</w:t>
      </w:r>
      <w:r w:rsidRPr="007E4624">
        <w:t xml:space="preserve">rotections of </w:t>
      </w:r>
      <w:r w:rsidR="0073777E">
        <w:t>e</w:t>
      </w:r>
      <w:r w:rsidRPr="007E4624">
        <w:t>mployees</w:t>
      </w:r>
      <w:r w:rsidR="007853A8">
        <w:t>’</w:t>
      </w:r>
      <w:r w:rsidRPr="007E4624">
        <w:t xml:space="preserve"> </w:t>
      </w:r>
      <w:r w:rsidR="0073777E">
        <w:t>w</w:t>
      </w:r>
      <w:r w:rsidRPr="007E4624">
        <w:t xml:space="preserve">ages and </w:t>
      </w:r>
      <w:r w:rsidR="0073777E">
        <w:t>e</w:t>
      </w:r>
      <w:r w:rsidRPr="007E4624">
        <w:t>ntitlements</w:t>
      </w:r>
      <w:r w:rsidR="005E043E" w:rsidRPr="007E4624">
        <w:t xml:space="preserve">: </w:t>
      </w:r>
      <w:r w:rsidR="009D1026">
        <w:t>strengthening</w:t>
      </w:r>
      <w:r w:rsidR="009D1026" w:rsidRPr="007E4624">
        <w:t xml:space="preserve"> </w:t>
      </w:r>
      <w:r w:rsidR="0073777E">
        <w:t>p</w:t>
      </w:r>
      <w:r w:rsidR="005E043E" w:rsidRPr="007E4624">
        <w:t>enalt</w:t>
      </w:r>
      <w:r w:rsidR="00A6173D" w:rsidRPr="007E4624">
        <w:t>ies</w:t>
      </w:r>
      <w:r w:rsidR="00C0209E" w:rsidRPr="007E4624">
        <w:t xml:space="preserve"> for non-compliance</w:t>
      </w:r>
      <w:r w:rsidRPr="007E4624">
        <w:t xml:space="preserve"> </w:t>
      </w:r>
    </w:p>
    <w:p w14:paraId="257C7B37" w14:textId="661EB190" w:rsidR="00C350E7" w:rsidRPr="00891262" w:rsidRDefault="006F5B7E" w:rsidP="00AD04C7">
      <w:pPr>
        <w:pStyle w:val="Default"/>
        <w:spacing w:before="120" w:after="120" w:line="276" w:lineRule="auto"/>
        <w:jc w:val="both"/>
        <w:rPr>
          <w:sz w:val="22"/>
          <w:szCs w:val="22"/>
        </w:rPr>
      </w:pPr>
      <w:r>
        <w:rPr>
          <w:sz w:val="22"/>
          <w:szCs w:val="22"/>
        </w:rPr>
        <w:t>Industrial relations</w:t>
      </w:r>
      <w:r w:rsidR="003417F6">
        <w:rPr>
          <w:sz w:val="22"/>
          <w:szCs w:val="22"/>
        </w:rPr>
        <w:t xml:space="preserve"> can play</w:t>
      </w:r>
      <w:r>
        <w:rPr>
          <w:sz w:val="22"/>
          <w:szCs w:val="22"/>
        </w:rPr>
        <w:t xml:space="preserve"> an important role in</w:t>
      </w:r>
      <w:r w:rsidR="00C350E7">
        <w:rPr>
          <w:sz w:val="22"/>
          <w:szCs w:val="22"/>
        </w:rPr>
        <w:t xml:space="preserve"> contributing to the strength of the Australian economy. </w:t>
      </w:r>
      <w:r w:rsidR="00AD04C7">
        <w:rPr>
          <w:sz w:val="22"/>
          <w:szCs w:val="22"/>
        </w:rPr>
        <w:br/>
      </w:r>
      <w:r w:rsidR="00C350E7">
        <w:rPr>
          <w:sz w:val="22"/>
          <w:szCs w:val="22"/>
        </w:rPr>
        <w:t xml:space="preserve">Potential reform to, or changes within, the Australian industrial relations system should be measured against three criteria: </w:t>
      </w:r>
      <w:r>
        <w:rPr>
          <w:sz w:val="22"/>
          <w:szCs w:val="22"/>
        </w:rPr>
        <w:t xml:space="preserve"> </w:t>
      </w:r>
      <w:r w:rsidR="00B20922" w:rsidRPr="00B20922">
        <w:rPr>
          <w:sz w:val="22"/>
          <w:szCs w:val="22"/>
        </w:rPr>
        <w:t>driving jobs and wage</w:t>
      </w:r>
      <w:r w:rsidR="000838D7">
        <w:rPr>
          <w:sz w:val="22"/>
          <w:szCs w:val="22"/>
        </w:rPr>
        <w:t>s growth</w:t>
      </w:r>
      <w:r w:rsidR="000838D7" w:rsidRPr="00891262">
        <w:rPr>
          <w:sz w:val="22"/>
          <w:szCs w:val="22"/>
        </w:rPr>
        <w:t xml:space="preserve">, boosting productivity, </w:t>
      </w:r>
      <w:r w:rsidR="00B20922" w:rsidRPr="00891262">
        <w:rPr>
          <w:sz w:val="22"/>
          <w:szCs w:val="22"/>
        </w:rPr>
        <w:t>and strengthening the economy, while ensuring protection of employees’ rights</w:t>
      </w:r>
      <w:r w:rsidRPr="00891262">
        <w:rPr>
          <w:sz w:val="22"/>
          <w:szCs w:val="22"/>
        </w:rPr>
        <w:t xml:space="preserve">. </w:t>
      </w:r>
    </w:p>
    <w:p w14:paraId="0D82207A" w14:textId="44B07553" w:rsidR="006F5B7E" w:rsidRPr="00891262" w:rsidRDefault="006F5B7E" w:rsidP="006F5B7E">
      <w:pPr>
        <w:pStyle w:val="Default"/>
        <w:spacing w:before="120" w:after="120" w:line="276" w:lineRule="auto"/>
        <w:rPr>
          <w:sz w:val="22"/>
          <w:szCs w:val="22"/>
        </w:rPr>
      </w:pPr>
      <w:r w:rsidRPr="00891262">
        <w:rPr>
          <w:sz w:val="22"/>
          <w:szCs w:val="22"/>
        </w:rPr>
        <w:t>Importantly, an effective industrial relations system should strive to</w:t>
      </w:r>
      <w:r w:rsidR="00C350E7" w:rsidRPr="00891262">
        <w:rPr>
          <w:sz w:val="22"/>
          <w:szCs w:val="22"/>
        </w:rPr>
        <w:t xml:space="preserve"> achieve the best overall balance, having regard to </w:t>
      </w:r>
      <w:r w:rsidRPr="00891262">
        <w:rPr>
          <w:sz w:val="22"/>
          <w:szCs w:val="22"/>
        </w:rPr>
        <w:t>the needs of both emplo</w:t>
      </w:r>
      <w:bookmarkStart w:id="0" w:name="_GoBack"/>
      <w:bookmarkEnd w:id="0"/>
      <w:r w:rsidRPr="00891262">
        <w:rPr>
          <w:sz w:val="22"/>
          <w:szCs w:val="22"/>
        </w:rPr>
        <w:t>yees and employers, including those engaged in small business.</w:t>
      </w:r>
    </w:p>
    <w:p w14:paraId="5424AC48" w14:textId="7F1EAEE0" w:rsidR="006F5B7E" w:rsidRPr="00891262" w:rsidRDefault="006F5B7E" w:rsidP="006F5B7E">
      <w:pPr>
        <w:pStyle w:val="Default"/>
        <w:spacing w:before="120" w:after="120" w:line="276" w:lineRule="auto"/>
        <w:rPr>
          <w:sz w:val="22"/>
          <w:szCs w:val="22"/>
        </w:rPr>
      </w:pPr>
      <w:r w:rsidRPr="00891262">
        <w:rPr>
          <w:sz w:val="22"/>
          <w:szCs w:val="22"/>
        </w:rPr>
        <w:t>As recently announced, the Prime Minister has asked the Attorney</w:t>
      </w:r>
      <w:r w:rsidR="00C92045" w:rsidRPr="00891262">
        <w:rPr>
          <w:sz w:val="22"/>
          <w:szCs w:val="22"/>
        </w:rPr>
        <w:t>-</w:t>
      </w:r>
      <w:r w:rsidRPr="00891262">
        <w:rPr>
          <w:sz w:val="22"/>
          <w:szCs w:val="22"/>
        </w:rPr>
        <w:t xml:space="preserve">General in his capacity as Minister for Industrial Relations, to take a fresh look at the </w:t>
      </w:r>
      <w:r w:rsidR="007853A8" w:rsidRPr="00891262">
        <w:rPr>
          <w:sz w:val="22"/>
          <w:szCs w:val="22"/>
        </w:rPr>
        <w:t xml:space="preserve">industrial relations </w:t>
      </w:r>
      <w:r w:rsidRPr="00891262">
        <w:rPr>
          <w:sz w:val="22"/>
          <w:szCs w:val="22"/>
        </w:rPr>
        <w:t>system to identify how it is operating and where there are impediments to shared gains for employers and employees</w:t>
      </w:r>
      <w:r w:rsidR="00BB5542" w:rsidRPr="00891262">
        <w:rPr>
          <w:sz w:val="22"/>
          <w:szCs w:val="22"/>
        </w:rPr>
        <w:t>.</w:t>
      </w:r>
    </w:p>
    <w:p w14:paraId="48273FE0" w14:textId="77777777" w:rsidR="00194A67" w:rsidRPr="00891262" w:rsidRDefault="00194A67" w:rsidP="00EB770F">
      <w:pPr>
        <w:pStyle w:val="Heading2"/>
      </w:pPr>
      <w:r w:rsidRPr="00891262">
        <w:t>Request for public submissions</w:t>
      </w:r>
    </w:p>
    <w:p w14:paraId="58A57642" w14:textId="77777777" w:rsidR="00C350E7" w:rsidRPr="00891262" w:rsidRDefault="00765670" w:rsidP="00D267B9">
      <w:r w:rsidRPr="00891262">
        <w:t>This</w:t>
      </w:r>
      <w:r w:rsidR="005E7E49" w:rsidRPr="00891262">
        <w:t xml:space="preserve"> paper</w:t>
      </w:r>
      <w:r w:rsidR="009D1026" w:rsidRPr="00891262">
        <w:t xml:space="preserve"> provides background info</w:t>
      </w:r>
      <w:r w:rsidR="00C350E7" w:rsidRPr="00891262">
        <w:t>rmation on the current penalty</w:t>
      </w:r>
      <w:r w:rsidR="009D1026" w:rsidRPr="00891262">
        <w:t xml:space="preserve"> framework in the</w:t>
      </w:r>
      <w:r w:rsidR="009D1026" w:rsidRPr="00891262">
        <w:rPr>
          <w:i/>
        </w:rPr>
        <w:t xml:space="preserve"> Fair Work Act 2009</w:t>
      </w:r>
      <w:r w:rsidR="009D1026" w:rsidRPr="00891262">
        <w:t xml:space="preserve"> (</w:t>
      </w:r>
      <w:proofErr w:type="spellStart"/>
      <w:r w:rsidR="009D1026" w:rsidRPr="00891262">
        <w:t>Cth</w:t>
      </w:r>
      <w:proofErr w:type="spellEnd"/>
      <w:r w:rsidR="009D1026" w:rsidRPr="00891262">
        <w:t>) (Fair Work Act) and seeks</w:t>
      </w:r>
      <w:r w:rsidR="00194A67" w:rsidRPr="00891262">
        <w:t xml:space="preserve"> input from the community (by way of written submissions) about the operation of </w:t>
      </w:r>
      <w:r w:rsidR="008F0059" w:rsidRPr="00891262">
        <w:t>the</w:t>
      </w:r>
      <w:r w:rsidR="009D1026" w:rsidRPr="00891262">
        <w:t xml:space="preserve"> framework</w:t>
      </w:r>
      <w:r w:rsidR="00485846" w:rsidRPr="00891262">
        <w:t>.</w:t>
      </w:r>
      <w:r w:rsidR="00A31B9E" w:rsidRPr="00891262">
        <w:t xml:space="preserve"> </w:t>
      </w:r>
      <w:r w:rsidR="00FA3BDC" w:rsidRPr="00891262">
        <w:t>Discussion questions</w:t>
      </w:r>
      <w:r w:rsidR="00F00AB2" w:rsidRPr="00891262">
        <w:t xml:space="preserve"> are included to guide feedback;</w:t>
      </w:r>
      <w:r w:rsidR="00FA3BDC" w:rsidRPr="00891262">
        <w:t xml:space="preserve"> </w:t>
      </w:r>
      <w:r w:rsidR="00F00AB2" w:rsidRPr="00891262">
        <w:t>however,</w:t>
      </w:r>
      <w:r w:rsidR="00FA3BDC" w:rsidRPr="00891262">
        <w:t xml:space="preserve"> stakeholders may </w:t>
      </w:r>
      <w:r w:rsidR="00C350E7" w:rsidRPr="00891262">
        <w:t xml:space="preserve">also </w:t>
      </w:r>
      <w:r w:rsidR="00FA3BDC" w:rsidRPr="00891262">
        <w:t xml:space="preserve">provide further information and suggestions relevant to the matters discussed. </w:t>
      </w:r>
    </w:p>
    <w:p w14:paraId="24CA52DD" w14:textId="7F4FD3B8" w:rsidR="0097724E" w:rsidRPr="00891262" w:rsidRDefault="0097724E" w:rsidP="00D267B9">
      <w:r w:rsidRPr="00891262">
        <w:t xml:space="preserve">Submissions can be made to </w:t>
      </w:r>
      <w:hyperlink r:id="rId10" w:history="1">
        <w:r w:rsidR="00D37731" w:rsidRPr="00891262">
          <w:rPr>
            <w:rStyle w:val="Hyperlink"/>
          </w:rPr>
          <w:t>IRconsultation@ag.gov.au</w:t>
        </w:r>
      </w:hyperlink>
      <w:r w:rsidRPr="00891262">
        <w:t xml:space="preserve"> </w:t>
      </w:r>
    </w:p>
    <w:p w14:paraId="00D99DA3" w14:textId="20271711" w:rsidR="00885266" w:rsidRDefault="00B23725" w:rsidP="00D267B9">
      <w:r w:rsidRPr="00891262">
        <w:rPr>
          <w:b/>
        </w:rPr>
        <w:t xml:space="preserve">The closing date for submissions is </w:t>
      </w:r>
      <w:r w:rsidR="008554BF" w:rsidRPr="00891262">
        <w:rPr>
          <w:b/>
        </w:rPr>
        <w:t>25 October</w:t>
      </w:r>
      <w:r w:rsidR="005E7E49" w:rsidRPr="00891262">
        <w:rPr>
          <w:b/>
        </w:rPr>
        <w:t xml:space="preserve"> 2019</w:t>
      </w:r>
      <w:r w:rsidRPr="00891262">
        <w:t>.</w:t>
      </w:r>
      <w:r>
        <w:t xml:space="preserve"> </w:t>
      </w:r>
    </w:p>
    <w:p w14:paraId="37813648" w14:textId="77777777" w:rsidR="00C70300" w:rsidRDefault="00D94FCD" w:rsidP="006F1621">
      <w:pPr>
        <w:sectPr w:rsidR="00C70300" w:rsidSect="00151A0A">
          <w:footerReference w:type="default" r:id="rId11"/>
          <w:type w:val="continuous"/>
          <w:pgSz w:w="12240" w:h="15840"/>
          <w:pgMar w:top="532" w:right="964" w:bottom="964" w:left="964" w:header="142" w:footer="709" w:gutter="0"/>
          <w:cols w:space="708"/>
          <w:docGrid w:linePitch="360"/>
        </w:sectPr>
      </w:pPr>
      <w:r>
        <w:t xml:space="preserve">Submissions will be made public </w:t>
      </w:r>
      <w:r w:rsidR="00E51844">
        <w:t xml:space="preserve">(by being published on the Attorney-General’s Department website) </w:t>
      </w:r>
      <w:r>
        <w:t xml:space="preserve">unless </w:t>
      </w:r>
      <w:proofErr w:type="gramStart"/>
      <w:r>
        <w:t>an</w:t>
      </w:r>
      <w:proofErr w:type="gramEnd"/>
      <w:r>
        <w:t xml:space="preserve"> express statement is included in the submission requesting confidentiality</w:t>
      </w:r>
      <w:r w:rsidR="00751C11">
        <w:t xml:space="preserve">. If </w:t>
      </w:r>
      <w:r w:rsidR="005F50E0">
        <w:t>you request that your submission remain confidential</w:t>
      </w:r>
      <w:r w:rsidR="00751C11">
        <w:t xml:space="preserve">, </w:t>
      </w:r>
      <w:r w:rsidR="00E51844">
        <w:t>you are encouraged to consider</w:t>
      </w:r>
      <w:r w:rsidR="00751C11">
        <w:t xml:space="preserve"> whether the whole submission is confidential or whether some parts of the submission may be made public</w:t>
      </w:r>
      <w:r w:rsidR="006F1621">
        <w:t>.</w:t>
      </w:r>
    </w:p>
    <w:p w14:paraId="730C273F" w14:textId="47723709" w:rsidR="006F5B7E" w:rsidRDefault="009C037D" w:rsidP="006F5B7E">
      <w:pPr>
        <w:pStyle w:val="Heading2"/>
        <w:spacing w:before="0"/>
      </w:pPr>
      <w:r>
        <w:lastRenderedPageBreak/>
        <w:t>Background</w:t>
      </w:r>
    </w:p>
    <w:p w14:paraId="344A7EF1" w14:textId="1EDE12E4" w:rsidR="006F5B7E" w:rsidRPr="00326E02" w:rsidRDefault="006F5B7E" w:rsidP="006F5B7E">
      <w:r>
        <w:rPr>
          <w:bCs/>
        </w:rPr>
        <w:t>W</w:t>
      </w:r>
      <w:r>
        <w:t xml:space="preserve">age underpayment and </w:t>
      </w:r>
      <w:r w:rsidR="00900238">
        <w:t>employee</w:t>
      </w:r>
      <w:r>
        <w:t xml:space="preserve"> e</w:t>
      </w:r>
      <w:r w:rsidR="009D1026">
        <w:t>xploitation deny</w:t>
      </w:r>
      <w:r>
        <w:t xml:space="preserve"> </w:t>
      </w:r>
      <w:r w:rsidR="00900238">
        <w:t>employees</w:t>
      </w:r>
      <w:r>
        <w:t xml:space="preserve"> their legal entitlements</w:t>
      </w:r>
      <w:r w:rsidR="00326E02">
        <w:t xml:space="preserve"> and</w:t>
      </w:r>
      <w:r w:rsidR="00326E02" w:rsidRPr="00326E02">
        <w:t xml:space="preserve"> have the further effect that there is not a level playing field</w:t>
      </w:r>
      <w:r w:rsidR="00326E02" w:rsidRPr="00326E02">
        <w:rPr>
          <w:bCs/>
        </w:rPr>
        <w:t xml:space="preserve"> for employers</w:t>
      </w:r>
      <w:r w:rsidR="004F36E6">
        <w:rPr>
          <w:bCs/>
        </w:rPr>
        <w:t>,</w:t>
      </w:r>
      <w:r w:rsidR="00326E02" w:rsidRPr="00326E02">
        <w:rPr>
          <w:bCs/>
        </w:rPr>
        <w:t xml:space="preserve"> such that the overwhelming majority of employers </w:t>
      </w:r>
      <w:r w:rsidR="00E14F79">
        <w:rPr>
          <w:bCs/>
        </w:rPr>
        <w:t xml:space="preserve">who are trying to </w:t>
      </w:r>
      <w:r w:rsidR="00326E02" w:rsidRPr="00326E02">
        <w:rPr>
          <w:bCs/>
        </w:rPr>
        <w:t xml:space="preserve">do the right thing are competing against those </w:t>
      </w:r>
      <w:r w:rsidR="00326E02">
        <w:rPr>
          <w:bCs/>
        </w:rPr>
        <w:t>that underpay or exploit workers</w:t>
      </w:r>
      <w:r>
        <w:rPr>
          <w:bCs/>
        </w:rPr>
        <w:t>. The</w:t>
      </w:r>
      <w:r w:rsidR="009D1026">
        <w:rPr>
          <w:bCs/>
        </w:rPr>
        <w:t xml:space="preserve"> Government considers</w:t>
      </w:r>
      <w:r w:rsidR="00947BC8">
        <w:rPr>
          <w:bCs/>
        </w:rPr>
        <w:t xml:space="preserve"> it unacceptable that</w:t>
      </w:r>
      <w:r w:rsidR="00326E02">
        <w:rPr>
          <w:bCs/>
        </w:rPr>
        <w:t xml:space="preserve"> there is a persistence of</w:t>
      </w:r>
      <w:r w:rsidR="00947BC8">
        <w:rPr>
          <w:bCs/>
        </w:rPr>
        <w:t xml:space="preserve"> </w:t>
      </w:r>
      <w:r w:rsidR="00326E02">
        <w:rPr>
          <w:bCs/>
        </w:rPr>
        <w:t>underpayment and exploitation</w:t>
      </w:r>
      <w:r w:rsidR="009D1026">
        <w:rPr>
          <w:bCs/>
        </w:rPr>
        <w:t xml:space="preserve"> behaviour</w:t>
      </w:r>
      <w:r w:rsidR="00326E02">
        <w:rPr>
          <w:bCs/>
        </w:rPr>
        <w:t xml:space="preserve">s </w:t>
      </w:r>
      <w:r>
        <w:rPr>
          <w:bCs/>
        </w:rPr>
        <w:t>by a small number of employers</w:t>
      </w:r>
      <w:r w:rsidR="009D1026">
        <w:rPr>
          <w:bCs/>
        </w:rPr>
        <w:t xml:space="preserve"> and considers there to </w:t>
      </w:r>
      <w:r w:rsidR="000C3EAA">
        <w:rPr>
          <w:bCs/>
        </w:rPr>
        <w:t>now be a</w:t>
      </w:r>
      <w:r w:rsidR="009D1026">
        <w:rPr>
          <w:bCs/>
        </w:rPr>
        <w:t xml:space="preserve"> strong case that</w:t>
      </w:r>
      <w:r>
        <w:rPr>
          <w:bCs/>
        </w:rPr>
        <w:t xml:space="preserve"> the current penalty, compliance, and enforcement </w:t>
      </w:r>
      <w:r w:rsidR="008F1082">
        <w:rPr>
          <w:bCs/>
        </w:rPr>
        <w:t>framework</w:t>
      </w:r>
      <w:r>
        <w:rPr>
          <w:bCs/>
        </w:rPr>
        <w:t xml:space="preserve"> for breaches of the </w:t>
      </w:r>
      <w:r w:rsidR="00A45959" w:rsidRPr="00545AAD">
        <w:rPr>
          <w:bCs/>
          <w:i/>
        </w:rPr>
        <w:t>Fair Work Act</w:t>
      </w:r>
      <w:r w:rsidR="00A82384" w:rsidRPr="00545AAD">
        <w:rPr>
          <w:bCs/>
          <w:i/>
        </w:rPr>
        <w:t xml:space="preserve"> 2009</w:t>
      </w:r>
      <w:r w:rsidR="00A82384">
        <w:rPr>
          <w:bCs/>
        </w:rPr>
        <w:t xml:space="preserve"> (Fair Work Act)</w:t>
      </w:r>
      <w:r w:rsidR="009D1026">
        <w:rPr>
          <w:bCs/>
        </w:rPr>
        <w:t xml:space="preserve">, established </w:t>
      </w:r>
      <w:r w:rsidR="00A82384">
        <w:rPr>
          <w:bCs/>
        </w:rPr>
        <w:t>over a decade ago now</w:t>
      </w:r>
      <w:r w:rsidR="009D1026">
        <w:rPr>
          <w:bCs/>
        </w:rPr>
        <w:t>, needs to be improved</w:t>
      </w:r>
      <w:r>
        <w:rPr>
          <w:bCs/>
        </w:rPr>
        <w:t>.</w:t>
      </w:r>
    </w:p>
    <w:p w14:paraId="28F4C27D" w14:textId="5E2C8032" w:rsidR="006F5B7E" w:rsidRDefault="009D1026" w:rsidP="006F5B7E">
      <w:r>
        <w:rPr>
          <w:bCs/>
        </w:rPr>
        <w:t>Many of t</w:t>
      </w:r>
      <w:r w:rsidR="006F5B7E">
        <w:rPr>
          <w:bCs/>
        </w:rPr>
        <w:t xml:space="preserve">hese issues were highlighted in the </w:t>
      </w:r>
      <w:r w:rsidR="003B06F7" w:rsidRPr="007844BC">
        <w:t>Migrant Workers’ Taskforce Report</w:t>
      </w:r>
      <w:r w:rsidR="003B06F7">
        <w:rPr>
          <w:rStyle w:val="FootnoteReference"/>
          <w:bCs/>
        </w:rPr>
        <w:footnoteReference w:id="2"/>
      </w:r>
      <w:r w:rsidR="006F5B7E">
        <w:rPr>
          <w:bCs/>
        </w:rPr>
        <w:t xml:space="preserve"> earlier this year. The report </w:t>
      </w:r>
      <w:r w:rsidR="006F5B7E">
        <w:t xml:space="preserve">made a number of recommendations </w:t>
      </w:r>
      <w:r>
        <w:t xml:space="preserve">directed at reducing </w:t>
      </w:r>
      <w:r w:rsidR="008F1082">
        <w:t>employee</w:t>
      </w:r>
      <w:r w:rsidR="006F5B7E">
        <w:t xml:space="preserve"> exploitation thr</w:t>
      </w:r>
      <w:r w:rsidR="007853A8">
        <w:t>ough changes to elements of the Fair Work </w:t>
      </w:r>
      <w:r w:rsidR="006F5B7E" w:rsidRPr="00800271">
        <w:t>Act</w:t>
      </w:r>
      <w:r w:rsidR="006F5B7E">
        <w:t>. In broad terms, th</w:t>
      </w:r>
      <w:r w:rsidR="008F1082">
        <w:t>o</w:t>
      </w:r>
      <w:r w:rsidR="006F5B7E">
        <w:t>se recommendations focused on:</w:t>
      </w:r>
    </w:p>
    <w:p w14:paraId="50D5EE35" w14:textId="0E28EE4D" w:rsidR="006F5B7E" w:rsidRDefault="006F5B7E" w:rsidP="006F5B7E">
      <w:pPr>
        <w:pStyle w:val="ListParagraph"/>
        <w:numPr>
          <w:ilvl w:val="0"/>
          <w:numId w:val="21"/>
        </w:numPr>
      </w:pPr>
      <w:r>
        <w:t>the adequacy of the existing penalty framework</w:t>
      </w:r>
    </w:p>
    <w:p w14:paraId="3A2034F5" w14:textId="1A7E3730" w:rsidR="006F5B7E" w:rsidRDefault="006F5B7E" w:rsidP="006F5B7E">
      <w:pPr>
        <w:pStyle w:val="ListParagraph"/>
        <w:numPr>
          <w:ilvl w:val="0"/>
          <w:numId w:val="21"/>
        </w:numPr>
      </w:pPr>
      <w:r>
        <w:t xml:space="preserve">the introduction of criminal sanctions for the </w:t>
      </w:r>
      <w:r w:rsidRPr="00C85684">
        <w:t>most serious forms of exploitative</w:t>
      </w:r>
      <w:r>
        <w:t xml:space="preserve"> workplace</w:t>
      </w:r>
      <w:r w:rsidRPr="00C85684">
        <w:t xml:space="preserve"> conduct</w:t>
      </w:r>
    </w:p>
    <w:p w14:paraId="009C5C58" w14:textId="5FC0807D" w:rsidR="006F5B7E" w:rsidRDefault="006F5B7E" w:rsidP="006F5B7E">
      <w:pPr>
        <w:pStyle w:val="ListParagraph"/>
        <w:numPr>
          <w:ilvl w:val="0"/>
          <w:numId w:val="21"/>
        </w:numPr>
      </w:pPr>
      <w:r>
        <w:t>the adequacy of compliance and enforcement tools available to workplace regulator</w:t>
      </w:r>
      <w:r w:rsidR="003B71C1">
        <w:t>s</w:t>
      </w:r>
      <w:r>
        <w:t xml:space="preserve"> and the courts</w:t>
      </w:r>
    </w:p>
    <w:p w14:paraId="098F5E6F" w14:textId="6D31166E" w:rsidR="006F5B7E" w:rsidRDefault="006F5B7E" w:rsidP="006F5B7E">
      <w:pPr>
        <w:pStyle w:val="ListParagraph"/>
        <w:numPr>
          <w:ilvl w:val="0"/>
          <w:numId w:val="21"/>
        </w:numPr>
      </w:pPr>
      <w:proofErr w:type="gramStart"/>
      <w:r>
        <w:t>mechanisms</w:t>
      </w:r>
      <w:proofErr w:type="gramEnd"/>
      <w:r>
        <w:t xml:space="preserve"> to </w:t>
      </w:r>
      <w:r w:rsidR="003B71C1">
        <w:t>recover unpaid wages</w:t>
      </w:r>
      <w:r>
        <w:t>.</w:t>
      </w:r>
    </w:p>
    <w:p w14:paraId="5C268038" w14:textId="7C3020C7" w:rsidR="006F5B7E" w:rsidRDefault="006D1B13" w:rsidP="006F5B7E">
      <w:r>
        <w:t>This</w:t>
      </w:r>
      <w:r w:rsidR="006F5B7E">
        <w:t xml:space="preserve"> discussion paper is </w:t>
      </w:r>
      <w:r>
        <w:t>focussed on items (</w:t>
      </w:r>
      <w:proofErr w:type="spellStart"/>
      <w:r>
        <w:t>i</w:t>
      </w:r>
      <w:proofErr w:type="spellEnd"/>
      <w:r>
        <w:t>) and (ii). A separate paper focusing on items (iii) and (</w:t>
      </w:r>
      <w:proofErr w:type="gramStart"/>
      <w:r>
        <w:t>iv</w:t>
      </w:r>
      <w:proofErr w:type="gramEnd"/>
      <w:r>
        <w:t xml:space="preserve">) will be issued </w:t>
      </w:r>
      <w:r w:rsidR="009D1026">
        <w:t>following the receipt of submissions on this paper</w:t>
      </w:r>
      <w:r>
        <w:t xml:space="preserve">. </w:t>
      </w:r>
    </w:p>
    <w:p w14:paraId="6458BD90" w14:textId="6584174D" w:rsidR="002E4AAF" w:rsidRDefault="0097724E" w:rsidP="004F4EB5">
      <w:pPr>
        <w:pStyle w:val="Heading2"/>
      </w:pPr>
      <w:r>
        <w:t xml:space="preserve">Part I: </w:t>
      </w:r>
      <w:r w:rsidR="008D208C">
        <w:t xml:space="preserve">Civil </w:t>
      </w:r>
      <w:r w:rsidR="0073777E">
        <w:t>p</w:t>
      </w:r>
      <w:r w:rsidR="00D23368">
        <w:t>enalties in the Fair Work Act</w:t>
      </w:r>
    </w:p>
    <w:p w14:paraId="3B6D38B8" w14:textId="36B334FB" w:rsidR="00A71451" w:rsidRDefault="009370FC" w:rsidP="00D267B9">
      <w:pPr>
        <w:rPr>
          <w:bCs/>
        </w:rPr>
      </w:pPr>
      <w:r>
        <w:rPr>
          <w:bCs/>
        </w:rPr>
        <w:t>Australian w</w:t>
      </w:r>
      <w:r w:rsidR="00A71451" w:rsidRPr="00A71451">
        <w:rPr>
          <w:bCs/>
        </w:rPr>
        <w:t xml:space="preserve">orkplace laws are </w:t>
      </w:r>
      <w:r w:rsidR="009D1026">
        <w:rPr>
          <w:bCs/>
        </w:rPr>
        <w:t xml:space="preserve">essentially </w:t>
      </w:r>
      <w:r w:rsidR="00A71451" w:rsidRPr="00A71451">
        <w:rPr>
          <w:bCs/>
        </w:rPr>
        <w:t>enforced using a civil penalty regime</w:t>
      </w:r>
      <w:r w:rsidR="007C1EDC">
        <w:rPr>
          <w:bCs/>
        </w:rPr>
        <w:t xml:space="preserve"> set out in the Fair Work Act</w:t>
      </w:r>
      <w:r w:rsidR="008A3399">
        <w:rPr>
          <w:bCs/>
        </w:rPr>
        <w:t>. T</w:t>
      </w:r>
      <w:r w:rsidR="00075F60">
        <w:rPr>
          <w:bCs/>
        </w:rPr>
        <w:t>he F</w:t>
      </w:r>
      <w:r w:rsidR="007853A8">
        <w:rPr>
          <w:bCs/>
        </w:rPr>
        <w:t>air </w:t>
      </w:r>
      <w:r w:rsidR="00075F60">
        <w:rPr>
          <w:bCs/>
        </w:rPr>
        <w:t>W</w:t>
      </w:r>
      <w:r w:rsidR="007853A8">
        <w:rPr>
          <w:bCs/>
        </w:rPr>
        <w:t>ork </w:t>
      </w:r>
      <w:r w:rsidR="00075F60">
        <w:rPr>
          <w:bCs/>
        </w:rPr>
        <w:t>O</w:t>
      </w:r>
      <w:r w:rsidR="007C1EDC">
        <w:rPr>
          <w:bCs/>
        </w:rPr>
        <w:t>mbudsman</w:t>
      </w:r>
      <w:r w:rsidR="00A71451" w:rsidRPr="00A71451">
        <w:rPr>
          <w:bCs/>
        </w:rPr>
        <w:t xml:space="preserve"> </w:t>
      </w:r>
      <w:r w:rsidR="007C1EDC">
        <w:rPr>
          <w:bCs/>
        </w:rPr>
        <w:t xml:space="preserve">(FWO) </w:t>
      </w:r>
      <w:r w:rsidR="00D366C7">
        <w:rPr>
          <w:bCs/>
        </w:rPr>
        <w:t>i</w:t>
      </w:r>
      <w:r w:rsidR="00A71451" w:rsidRPr="00A71451">
        <w:rPr>
          <w:bCs/>
        </w:rPr>
        <w:t>s the</w:t>
      </w:r>
      <w:r w:rsidR="00740914">
        <w:rPr>
          <w:bCs/>
        </w:rPr>
        <w:t xml:space="preserve"> primary</w:t>
      </w:r>
      <w:r w:rsidR="00A71451" w:rsidRPr="00A71451">
        <w:rPr>
          <w:bCs/>
        </w:rPr>
        <w:t xml:space="preserve"> </w:t>
      </w:r>
      <w:r w:rsidR="007A1D03">
        <w:rPr>
          <w:bCs/>
        </w:rPr>
        <w:t xml:space="preserve">Australian </w:t>
      </w:r>
      <w:r w:rsidR="008A3399">
        <w:rPr>
          <w:bCs/>
        </w:rPr>
        <w:t xml:space="preserve">Government agency that </w:t>
      </w:r>
      <w:r w:rsidR="007C1EDC">
        <w:rPr>
          <w:bCs/>
        </w:rPr>
        <w:t xml:space="preserve">regulates </w:t>
      </w:r>
      <w:r w:rsidR="008A3399">
        <w:rPr>
          <w:bCs/>
        </w:rPr>
        <w:t>compliance with these laws,</w:t>
      </w:r>
      <w:r w:rsidR="00A71451" w:rsidRPr="00A71451">
        <w:rPr>
          <w:bCs/>
        </w:rPr>
        <w:t xml:space="preserve"> </w:t>
      </w:r>
      <w:r w:rsidR="00075F60">
        <w:t xml:space="preserve">and </w:t>
      </w:r>
      <w:r w:rsidR="007C1EDC">
        <w:t xml:space="preserve">may pursue compliance and enforcement outcomes through </w:t>
      </w:r>
      <w:r w:rsidR="00B65348">
        <w:t xml:space="preserve">various actions, including </w:t>
      </w:r>
      <w:r w:rsidR="007C1EDC">
        <w:t>application to the courts.</w:t>
      </w:r>
      <w:r w:rsidR="00D7560D">
        <w:rPr>
          <w:rStyle w:val="FootnoteReference"/>
        </w:rPr>
        <w:footnoteReference w:id="3"/>
      </w:r>
      <w:r w:rsidR="007C1EDC">
        <w:t xml:space="preserve"> The </w:t>
      </w:r>
      <w:r w:rsidR="00075F60">
        <w:t>c</w:t>
      </w:r>
      <w:r w:rsidR="00A71451" w:rsidRPr="002E4AAF">
        <w:t>ourts have access</w:t>
      </w:r>
      <w:r w:rsidR="001352B1">
        <w:t xml:space="preserve"> to a range of civil penalties</w:t>
      </w:r>
      <w:r w:rsidR="00A71451" w:rsidRPr="002E4AAF">
        <w:t xml:space="preserve"> to promote compliance and deter non-compliance</w:t>
      </w:r>
      <w:r w:rsidR="00A71451" w:rsidRPr="00A71451">
        <w:rPr>
          <w:bCs/>
        </w:rPr>
        <w:t xml:space="preserve"> with the Fair Work Act</w:t>
      </w:r>
      <w:r w:rsidR="00A71451">
        <w:rPr>
          <w:bCs/>
        </w:rPr>
        <w:t>.</w:t>
      </w:r>
    </w:p>
    <w:p w14:paraId="6825CAE6" w14:textId="64455BD2" w:rsidR="00AF3BE4" w:rsidRPr="002E4AAF" w:rsidRDefault="00DF4CF0" w:rsidP="00AF3BE4">
      <w:r>
        <w:t xml:space="preserve">While the term ‘wage theft’ has been </w:t>
      </w:r>
      <w:r w:rsidR="003B71C1">
        <w:t>u</w:t>
      </w:r>
      <w:r>
        <w:t>sed</w:t>
      </w:r>
      <w:r w:rsidR="001E28C7">
        <w:t xml:space="preserve"> as an umbrella term</w:t>
      </w:r>
      <w:r>
        <w:t xml:space="preserve"> to describe all </w:t>
      </w:r>
      <w:r w:rsidR="008F1082">
        <w:t>kinds</w:t>
      </w:r>
      <w:r>
        <w:t xml:space="preserve"> of underpayment, it is important to note that e</w:t>
      </w:r>
      <w:r w:rsidRPr="002E4AAF">
        <w:t xml:space="preserve">mployers </w:t>
      </w:r>
      <w:r w:rsidR="00AF3BE4" w:rsidRPr="002E4AAF">
        <w:t>who fail to comply with workplace laws generally fall into</w:t>
      </w:r>
      <w:r w:rsidR="009C1733">
        <w:t xml:space="preserve"> one of two</w:t>
      </w:r>
      <w:r w:rsidR="00FA28F0">
        <w:t xml:space="preserve"> </w:t>
      </w:r>
      <w:r w:rsidR="00C4551A">
        <w:t xml:space="preserve">distinct </w:t>
      </w:r>
      <w:r w:rsidR="00AF3BE4" w:rsidRPr="002E4AAF">
        <w:t>groups:</w:t>
      </w:r>
    </w:p>
    <w:p w14:paraId="68168233" w14:textId="3DDB7EA0" w:rsidR="00AF3BE4" w:rsidRDefault="00AF3BE4" w:rsidP="00C4551A">
      <w:pPr>
        <w:pStyle w:val="ListParagraph"/>
        <w:numPr>
          <w:ilvl w:val="0"/>
          <w:numId w:val="7"/>
        </w:numPr>
      </w:pPr>
      <w:r>
        <w:t>employers that have made</w:t>
      </w:r>
      <w:r w:rsidR="009D1026">
        <w:t xml:space="preserve"> genuinely unintentional</w:t>
      </w:r>
      <w:r w:rsidRPr="002E4AAF">
        <w:t xml:space="preserve"> mistakes</w:t>
      </w:r>
      <w:r w:rsidR="003D6FDA">
        <w:t>, for instance due to the complexity of the industrial relations system,</w:t>
      </w:r>
      <w:r w:rsidRPr="002E4AAF">
        <w:t xml:space="preserve"> which have led to miscalculations and underpayments</w:t>
      </w:r>
      <w:r>
        <w:t>, but are rectified once identified</w:t>
      </w:r>
      <w:r w:rsidR="009675C1">
        <w:t>; and</w:t>
      </w:r>
      <w:r w:rsidRPr="002E4AAF">
        <w:t xml:space="preserve"> </w:t>
      </w:r>
    </w:p>
    <w:p w14:paraId="428DCBD9" w14:textId="776227F8" w:rsidR="00AF3BE4" w:rsidRDefault="00AF3BE4" w:rsidP="00AD3A0D">
      <w:pPr>
        <w:pStyle w:val="ListParagraph"/>
        <w:numPr>
          <w:ilvl w:val="0"/>
          <w:numId w:val="7"/>
        </w:numPr>
      </w:pPr>
      <w:proofErr w:type="gramStart"/>
      <w:r>
        <w:t>employers</w:t>
      </w:r>
      <w:proofErr w:type="gramEnd"/>
      <w:r w:rsidRPr="002E4AAF">
        <w:t xml:space="preserve"> that </w:t>
      </w:r>
      <w:r w:rsidR="00EA56BE">
        <w:t>knowingly</w:t>
      </w:r>
      <w:r w:rsidR="00F43D76">
        <w:t xml:space="preserve"> </w:t>
      </w:r>
      <w:r w:rsidR="00AD3A0D">
        <w:t>underpay</w:t>
      </w:r>
      <w:r w:rsidR="00394FE1">
        <w:t>,</w:t>
      </w:r>
      <w:r w:rsidR="00BD6B2F">
        <w:t xml:space="preserve"> or otherwise </w:t>
      </w:r>
      <w:r w:rsidR="00394FE1">
        <w:t>exploit,</w:t>
      </w:r>
      <w:r w:rsidRPr="002E4AAF">
        <w:t xml:space="preserve"> </w:t>
      </w:r>
      <w:r w:rsidR="008F1082">
        <w:t>employee</w:t>
      </w:r>
      <w:r w:rsidRPr="002E4AAF">
        <w:t>s.</w:t>
      </w:r>
    </w:p>
    <w:p w14:paraId="579B615F" w14:textId="77777777" w:rsidR="000C3EAA" w:rsidRDefault="000C3EAA" w:rsidP="00EA0679">
      <w:pPr>
        <w:spacing w:before="120" w:after="120"/>
      </w:pPr>
      <w:r>
        <w:lastRenderedPageBreak/>
        <w:t>In recognition of the problem, t</w:t>
      </w:r>
      <w:r w:rsidR="006D1B13">
        <w:t>he</w:t>
      </w:r>
      <w:r w:rsidR="00EA0679" w:rsidRPr="00E4174E">
        <w:t xml:space="preserve"> Government </w:t>
      </w:r>
      <w:r w:rsidR="006D1B13">
        <w:t>has already taken</w:t>
      </w:r>
      <w:r w:rsidR="006D1B13" w:rsidRPr="00E4174E">
        <w:t xml:space="preserve"> </w:t>
      </w:r>
      <w:r>
        <w:t xml:space="preserve">significant </w:t>
      </w:r>
      <w:r w:rsidR="00EA0679" w:rsidRPr="00E4174E">
        <w:t>action to enhance protection</w:t>
      </w:r>
      <w:r w:rsidR="00EA0679">
        <w:t xml:space="preserve">s for </w:t>
      </w:r>
      <w:r w:rsidR="00EA0679" w:rsidRPr="00E4174E">
        <w:t>vulnerable workers</w:t>
      </w:r>
      <w:r w:rsidR="00894460">
        <w:t>.</w:t>
      </w:r>
      <w:r w:rsidR="00384447">
        <w:rPr>
          <w:rStyle w:val="FootnoteReference"/>
        </w:rPr>
        <w:footnoteReference w:id="4"/>
      </w:r>
      <w:r w:rsidR="00EA0679" w:rsidRPr="00E4174E">
        <w:t xml:space="preserve"> </w:t>
      </w:r>
    </w:p>
    <w:p w14:paraId="54D21E32" w14:textId="28D3C739" w:rsidR="00EA0679" w:rsidRPr="00EA0679" w:rsidRDefault="00EA0679" w:rsidP="00EA0679">
      <w:pPr>
        <w:spacing w:before="120" w:after="120"/>
      </w:pPr>
      <w:r>
        <w:rPr>
          <w:bCs/>
        </w:rPr>
        <w:t>On 5</w:t>
      </w:r>
      <w:r w:rsidR="008F1082">
        <w:rPr>
          <w:bCs/>
        </w:rPr>
        <w:t> </w:t>
      </w:r>
      <w:r>
        <w:rPr>
          <w:bCs/>
        </w:rPr>
        <w:t>September</w:t>
      </w:r>
      <w:r w:rsidR="008F1082">
        <w:rPr>
          <w:bCs/>
        </w:rPr>
        <w:t> </w:t>
      </w:r>
      <w:r>
        <w:rPr>
          <w:bCs/>
        </w:rPr>
        <w:t xml:space="preserve">2017, the Parliament passed the </w:t>
      </w:r>
      <w:r w:rsidRPr="00E4174E">
        <w:rPr>
          <w:bCs/>
          <w:i/>
        </w:rPr>
        <w:t>Fair Work (Protecting Vulnerable Workers) Act 2017</w:t>
      </w:r>
      <w:r w:rsidR="00A45959">
        <w:rPr>
          <w:bCs/>
        </w:rPr>
        <w:t xml:space="preserve"> (</w:t>
      </w:r>
      <w:proofErr w:type="spellStart"/>
      <w:r w:rsidR="00A45959">
        <w:rPr>
          <w:bCs/>
        </w:rPr>
        <w:t>Cth</w:t>
      </w:r>
      <w:proofErr w:type="spellEnd"/>
      <w:r w:rsidR="00A45959">
        <w:rPr>
          <w:bCs/>
        </w:rPr>
        <w:t>)</w:t>
      </w:r>
      <w:r w:rsidRPr="00E4174E">
        <w:rPr>
          <w:bCs/>
          <w:i/>
        </w:rPr>
        <w:t xml:space="preserve"> </w:t>
      </w:r>
      <w:r w:rsidR="006210DD" w:rsidRPr="006210DD">
        <w:rPr>
          <w:bCs/>
        </w:rPr>
        <w:t>(</w:t>
      </w:r>
      <w:r w:rsidR="007853A8">
        <w:rPr>
          <w:bCs/>
        </w:rPr>
        <w:t>Protecting </w:t>
      </w:r>
      <w:r w:rsidR="00A72030">
        <w:rPr>
          <w:bCs/>
        </w:rPr>
        <w:t>Vulnerable Workers Act</w:t>
      </w:r>
      <w:r w:rsidR="006210DD" w:rsidRPr="006210DD">
        <w:rPr>
          <w:bCs/>
        </w:rPr>
        <w:t>)</w:t>
      </w:r>
      <w:r w:rsidR="006210DD">
        <w:rPr>
          <w:bCs/>
          <w:i/>
        </w:rPr>
        <w:t xml:space="preserve"> </w:t>
      </w:r>
      <w:r>
        <w:rPr>
          <w:bCs/>
        </w:rPr>
        <w:t>t</w:t>
      </w:r>
      <w:r w:rsidR="00075F60">
        <w:rPr>
          <w:bCs/>
        </w:rPr>
        <w:t>o amend the Fair Work Act to provide</w:t>
      </w:r>
      <w:r>
        <w:rPr>
          <w:bCs/>
        </w:rPr>
        <w:t xml:space="preserve"> stronger penalties and </w:t>
      </w:r>
      <w:r w:rsidR="00075F60">
        <w:rPr>
          <w:bCs/>
        </w:rPr>
        <w:t>FWO powers</w:t>
      </w:r>
      <w:r>
        <w:t xml:space="preserve">. </w:t>
      </w:r>
      <w:r w:rsidR="000C3EAA">
        <w:rPr>
          <w:bCs/>
        </w:rPr>
        <w:t>First, t</w:t>
      </w:r>
      <w:r>
        <w:rPr>
          <w:bCs/>
        </w:rPr>
        <w:t xml:space="preserve">he amendments </w:t>
      </w:r>
      <w:r w:rsidRPr="00B00949">
        <w:rPr>
          <w:bCs/>
        </w:rPr>
        <w:t>increased penalties</w:t>
      </w:r>
      <w:r>
        <w:rPr>
          <w:bCs/>
        </w:rPr>
        <w:t xml:space="preserve"> </w:t>
      </w:r>
      <w:r w:rsidRPr="00B00949">
        <w:rPr>
          <w:bCs/>
        </w:rPr>
        <w:t>for record-keeping and payslip failures</w:t>
      </w:r>
      <w:r w:rsidR="000C3EAA">
        <w:rPr>
          <w:bCs/>
        </w:rPr>
        <w:t>. Second, the amendments</w:t>
      </w:r>
      <w:r w:rsidRPr="00B00949">
        <w:rPr>
          <w:bCs/>
        </w:rPr>
        <w:t xml:space="preserve"> introduced a higher scale of penalties for ‘serious contraventions’ of prescribed workplace laws</w:t>
      </w:r>
      <w:r w:rsidR="00C4551A">
        <w:rPr>
          <w:bCs/>
        </w:rPr>
        <w:t xml:space="preserve">, being </w:t>
      </w:r>
      <w:r w:rsidR="00DA51C5">
        <w:rPr>
          <w:bCs/>
        </w:rPr>
        <w:t xml:space="preserve">those </w:t>
      </w:r>
      <w:r w:rsidR="00C4551A">
        <w:rPr>
          <w:bCs/>
        </w:rPr>
        <w:t>contraventions done knowingly and as part of a systematic pattern of conduct</w:t>
      </w:r>
      <w:r w:rsidRPr="00B00949">
        <w:rPr>
          <w:bCs/>
        </w:rPr>
        <w:t xml:space="preserve">. </w:t>
      </w:r>
    </w:p>
    <w:p w14:paraId="1BDD4041" w14:textId="5C692FDB" w:rsidR="002E4AAF" w:rsidRPr="002E4AAF" w:rsidRDefault="000C3EAA" w:rsidP="00D267B9">
      <w:r>
        <w:t>T</w:t>
      </w:r>
      <w:r w:rsidR="00EA0679">
        <w:t xml:space="preserve">hese </w:t>
      </w:r>
      <w:r>
        <w:t xml:space="preserve">already achieved legislative changes </w:t>
      </w:r>
      <w:r w:rsidR="00EA0679">
        <w:t xml:space="preserve">recognised that </w:t>
      </w:r>
      <w:r w:rsidR="00075F60">
        <w:t xml:space="preserve">higher </w:t>
      </w:r>
      <w:r w:rsidR="00EA0679">
        <w:t>p</w:t>
      </w:r>
      <w:r w:rsidR="006F1621">
        <w:t xml:space="preserve">enalties </w:t>
      </w:r>
      <w:r w:rsidR="00075F60">
        <w:t xml:space="preserve">should be available to </w:t>
      </w:r>
      <w:r>
        <w:t xml:space="preserve">help </w:t>
      </w:r>
      <w:r w:rsidR="00C500CE">
        <w:t xml:space="preserve">effectively </w:t>
      </w:r>
      <w:r w:rsidR="00075F60">
        <w:t>address</w:t>
      </w:r>
      <w:r w:rsidR="00EA0679">
        <w:t xml:space="preserve"> a broad</w:t>
      </w:r>
      <w:r w:rsidR="006F1621">
        <w:t xml:space="preserve"> range of non-compliant conduct</w:t>
      </w:r>
      <w:r>
        <w:t>, including the most culpable</w:t>
      </w:r>
      <w:r w:rsidR="00C500CE">
        <w:t xml:space="preserve"> forms</w:t>
      </w:r>
      <w:r>
        <w:t xml:space="preserve"> of </w:t>
      </w:r>
      <w:r w:rsidR="00EA0679">
        <w:t>misconduct, such as</w:t>
      </w:r>
      <w:r w:rsidR="002E4AAF" w:rsidRPr="002E4AAF">
        <w:t>:</w:t>
      </w:r>
    </w:p>
    <w:p w14:paraId="6F121CFE" w14:textId="7DE076A0" w:rsidR="00A14B48" w:rsidRDefault="00E14F79" w:rsidP="007745E9">
      <w:pPr>
        <w:pStyle w:val="ListParagraph"/>
        <w:numPr>
          <w:ilvl w:val="0"/>
          <w:numId w:val="7"/>
        </w:numPr>
        <w:spacing w:before="120" w:after="120"/>
      </w:pPr>
      <w:r>
        <w:t xml:space="preserve">knowing </w:t>
      </w:r>
      <w:r w:rsidR="002E4AAF" w:rsidRPr="002E4AAF">
        <w:t>underpa</w:t>
      </w:r>
      <w:r w:rsidR="00075F60">
        <w:t>yment of the minimum</w:t>
      </w:r>
      <w:r w:rsidR="002E4AAF" w:rsidRPr="002E4AAF">
        <w:t xml:space="preserve"> rates of pay, leave entitlements, termination</w:t>
      </w:r>
      <w:r w:rsidR="00A14B48">
        <w:t>, penalty rates, allowances</w:t>
      </w:r>
      <w:r w:rsidR="002E4AAF" w:rsidRPr="002E4AAF">
        <w:t xml:space="preserve"> and redundancy pay</w:t>
      </w:r>
      <w:r w:rsidR="002B26D5">
        <w:t>;</w:t>
      </w:r>
      <w:r w:rsidR="002E4AAF" w:rsidRPr="002E4AAF">
        <w:t xml:space="preserve"> </w:t>
      </w:r>
    </w:p>
    <w:p w14:paraId="43B49FB4" w14:textId="1348DEF3" w:rsidR="002E4AAF" w:rsidRPr="002E4AAF" w:rsidRDefault="002E4AAF" w:rsidP="007745E9">
      <w:pPr>
        <w:pStyle w:val="ListParagraph"/>
        <w:numPr>
          <w:ilvl w:val="0"/>
          <w:numId w:val="7"/>
        </w:numPr>
        <w:spacing w:before="120" w:after="120"/>
      </w:pPr>
      <w:r w:rsidRPr="002E4AAF">
        <w:t>unreasonable deductions o</w:t>
      </w:r>
      <w:r w:rsidR="00075F60">
        <w:t>r cash-back arrangements</w:t>
      </w:r>
      <w:r w:rsidR="00216CF4">
        <w:t>; and</w:t>
      </w:r>
    </w:p>
    <w:p w14:paraId="035F9197" w14:textId="77777777" w:rsidR="002E4AAF" w:rsidRDefault="002E4AAF" w:rsidP="00AD3A0D">
      <w:pPr>
        <w:pStyle w:val="ListParagraph"/>
        <w:numPr>
          <w:ilvl w:val="0"/>
          <w:numId w:val="7"/>
        </w:numPr>
        <w:spacing w:before="120" w:after="120"/>
      </w:pPr>
      <w:proofErr w:type="gramStart"/>
      <w:r w:rsidRPr="002E4AAF">
        <w:t>deliberate</w:t>
      </w:r>
      <w:proofErr w:type="gramEnd"/>
      <w:r w:rsidRPr="002E4AAF">
        <w:t xml:space="preserve"> misclassification of employees.</w:t>
      </w:r>
    </w:p>
    <w:p w14:paraId="0460EF21" w14:textId="032177AE" w:rsidR="00AF3BE4" w:rsidRDefault="00AF3BE4" w:rsidP="00AD3A0D">
      <w:r>
        <w:t xml:space="preserve">The Government recognises the need to </w:t>
      </w:r>
      <w:r w:rsidR="00C500CE">
        <w:t>review</w:t>
      </w:r>
      <w:r>
        <w:t xml:space="preserve"> the</w:t>
      </w:r>
      <w:r w:rsidR="002C7930">
        <w:t xml:space="preserve"> ongoing</w:t>
      </w:r>
      <w:r w:rsidR="00FA28F0">
        <w:t xml:space="preserve"> </w:t>
      </w:r>
      <w:r>
        <w:t xml:space="preserve">effectiveness </w:t>
      </w:r>
      <w:r w:rsidR="00FA28F0">
        <w:t xml:space="preserve">of these changes </w:t>
      </w:r>
      <w:r>
        <w:t>and</w:t>
      </w:r>
      <w:r w:rsidR="00FA28F0">
        <w:t xml:space="preserve">, as part of its response </w:t>
      </w:r>
      <w:r>
        <w:t>to the Migrant Workers’ Taskforce report,</w:t>
      </w:r>
      <w:r w:rsidR="00FA28F0">
        <w:t xml:space="preserve"> </w:t>
      </w:r>
      <w:r>
        <w:t xml:space="preserve">committed in-principle </w:t>
      </w:r>
      <w:r w:rsidR="007853A8">
        <w:t>to review penalties in the Fair </w:t>
      </w:r>
      <w:r>
        <w:t xml:space="preserve">Work Act more broadly. </w:t>
      </w:r>
    </w:p>
    <w:p w14:paraId="74EDC9C2" w14:textId="54C5D89C" w:rsidR="002C7930" w:rsidRPr="002E4AAF" w:rsidRDefault="002C7930" w:rsidP="00AD3A0D">
      <w:r>
        <w:t>The Government also recognises the benefit of a capable and resourced regulator. To this end, the Government has invested over $60 million in additional funding for the FWO in recent years.</w:t>
      </w:r>
    </w:p>
    <w:p w14:paraId="57871C3C" w14:textId="55E6E6F2" w:rsidR="00B2269D" w:rsidRPr="00B2269D" w:rsidRDefault="00800271" w:rsidP="00B2269D">
      <w:pPr>
        <w:pStyle w:val="Heading3"/>
      </w:pPr>
      <w:r>
        <w:t xml:space="preserve">Current approach to determining </w:t>
      </w:r>
      <w:r w:rsidR="00A96056">
        <w:t>p</w:t>
      </w:r>
      <w:r w:rsidR="00D73C53">
        <w:t>enalties</w:t>
      </w:r>
    </w:p>
    <w:p w14:paraId="2990F1C1" w14:textId="6AE1B5C0" w:rsidR="00A22338" w:rsidRDefault="00D73C53" w:rsidP="007853A8">
      <w:pPr>
        <w:rPr>
          <w:u w:val="single"/>
        </w:rPr>
      </w:pPr>
      <w:r w:rsidRPr="00814DA5" w:rsidDel="00A22338">
        <w:t>In 2017</w:t>
      </w:r>
      <w:r w:rsidR="00305FBE">
        <w:t>–</w:t>
      </w:r>
      <w:r w:rsidRPr="00814DA5" w:rsidDel="00A22338">
        <w:t>18, the F</w:t>
      </w:r>
      <w:r w:rsidR="007A1D03">
        <w:t>WO commenced 35 proceedings in c</w:t>
      </w:r>
      <w:r w:rsidRPr="00814DA5" w:rsidDel="00A22338">
        <w:t>ourt, and secured over</w:t>
      </w:r>
      <w:r w:rsidR="007853A8">
        <w:t xml:space="preserve"> </w:t>
      </w:r>
      <w:r w:rsidRPr="00814DA5" w:rsidDel="00A22338">
        <w:t xml:space="preserve">$7.2 million court-ordered </w:t>
      </w:r>
      <w:r w:rsidR="00CB1C21" w:rsidRPr="00814DA5" w:rsidDel="00A22338">
        <w:t>penalties</w:t>
      </w:r>
      <w:r w:rsidR="005A22C0">
        <w:t xml:space="preserve"> (in addition to the recovery of the unpaid wages</w:t>
      </w:r>
      <w:r w:rsidR="00BC3FAC">
        <w:t xml:space="preserve"> and entitlements</w:t>
      </w:r>
      <w:r w:rsidR="005A22C0">
        <w:t>)</w:t>
      </w:r>
      <w:r w:rsidR="00CB1C21" w:rsidRPr="00814DA5" w:rsidDel="00A22338">
        <w:t>. Of this</w:t>
      </w:r>
      <w:r w:rsidR="00FC2624" w:rsidRPr="00814DA5" w:rsidDel="00A22338">
        <w:t xml:space="preserve">, </w:t>
      </w:r>
      <w:r w:rsidRPr="00814DA5" w:rsidDel="00A22338">
        <w:t>$5.8 million w</w:t>
      </w:r>
      <w:r w:rsidR="003B71C1">
        <w:t>as</w:t>
      </w:r>
      <w:r w:rsidRPr="00814DA5" w:rsidDel="00A22338">
        <w:t xml:space="preserve"> ordered against companies and $1.4 million against individuals</w:t>
      </w:r>
      <w:r w:rsidR="006A6684" w:rsidRPr="00814DA5" w:rsidDel="00A22338">
        <w:t>.</w:t>
      </w:r>
      <w:r w:rsidR="00147BDF" w:rsidRPr="00814DA5">
        <w:t xml:space="preserve"> A list of civil penalties for breaches of wage related provision</w:t>
      </w:r>
      <w:r w:rsidR="006B1F0C">
        <w:t>s</w:t>
      </w:r>
      <w:r w:rsidR="00147BDF" w:rsidRPr="00814DA5">
        <w:t xml:space="preserve"> </w:t>
      </w:r>
      <w:r w:rsidR="002C7930">
        <w:t>that are presently contained in the Fair Work Act appear</w:t>
      </w:r>
      <w:r w:rsidR="00147BDF" w:rsidRPr="00814DA5">
        <w:t xml:space="preserve">s at </w:t>
      </w:r>
      <w:r w:rsidR="00147BDF" w:rsidRPr="00814DA5">
        <w:rPr>
          <w:u w:val="single"/>
        </w:rPr>
        <w:t xml:space="preserve">Attachment </w:t>
      </w:r>
      <w:r w:rsidR="006554D8">
        <w:rPr>
          <w:u w:val="single"/>
        </w:rPr>
        <w:t>A</w:t>
      </w:r>
      <w:r w:rsidR="00147BDF" w:rsidRPr="00D061E3">
        <w:t>.</w:t>
      </w:r>
      <w:r w:rsidR="00147BDF" w:rsidRPr="00814DA5">
        <w:rPr>
          <w:u w:val="single"/>
        </w:rPr>
        <w:t xml:space="preserve"> </w:t>
      </w:r>
    </w:p>
    <w:p w14:paraId="6C5CE5BD" w14:textId="426927B9" w:rsidR="00632753" w:rsidRDefault="00632753" w:rsidP="007853A8">
      <w:r w:rsidRPr="00632753">
        <w:t>The Fair Work Act prescribes the maximum penalty a court can award for each contravention of a civil remedy provision. When determining the maximum penalty that can be ordered</w:t>
      </w:r>
      <w:r w:rsidR="00FA28F0" w:rsidRPr="0015146F">
        <w:t>, the Fair Work Act requires a court to ‘group’ a series of contraventions</w:t>
      </w:r>
      <w:r w:rsidR="00E642C7">
        <w:t xml:space="preserve"> of the same provision</w:t>
      </w:r>
      <w:r w:rsidR="00FA28F0" w:rsidRPr="0015146F">
        <w:t xml:space="preserve"> that arise out of a ‘course of conduct’.</w:t>
      </w:r>
      <w:r w:rsidR="00FA28F0" w:rsidRPr="0015146F">
        <w:rPr>
          <w:rStyle w:val="FootnoteReference"/>
          <w:rFonts w:asciiTheme="minorHAnsi" w:hAnsiTheme="minorHAnsi" w:cstheme="minorHAnsi"/>
          <w:bCs/>
        </w:rPr>
        <w:footnoteReference w:id="5"/>
      </w:r>
      <w:r w:rsidR="00FA28F0" w:rsidRPr="0015146F">
        <w:t xml:space="preserve"> These ‘grouped’ contraventions</w:t>
      </w:r>
      <w:r w:rsidR="002C7930">
        <w:t xml:space="preserve"> only attract a single penalty.</w:t>
      </w:r>
      <w:r w:rsidR="002C7930" w:rsidRPr="002C7930">
        <w:t xml:space="preserve"> </w:t>
      </w:r>
      <w:r w:rsidR="002C7930">
        <w:t>The courts can apply this requirement in multiple ways.</w:t>
      </w:r>
    </w:p>
    <w:p w14:paraId="687B6597" w14:textId="2C9B07A1" w:rsidR="00632753" w:rsidRDefault="00632753" w:rsidP="007853A8">
      <w:r>
        <w:t xml:space="preserve">For example, if a company </w:t>
      </w:r>
      <w:r w:rsidR="008A490D">
        <w:t xml:space="preserve">engages in a course of conduct that </w:t>
      </w:r>
      <w:r>
        <w:t>contravenes a single term of a modern award in respect of ten employees, the</w:t>
      </w:r>
      <w:r w:rsidR="008A490D">
        <w:t xml:space="preserve"> </w:t>
      </w:r>
      <w:r w:rsidR="00947BC8">
        <w:t>c</w:t>
      </w:r>
      <w:r w:rsidR="008A490D">
        <w:t>ourt can group the</w:t>
      </w:r>
      <w:r>
        <w:t xml:space="preserve">se ten contraventions </w:t>
      </w:r>
      <w:r w:rsidR="008A490D">
        <w:t xml:space="preserve">so as to attract </w:t>
      </w:r>
      <w:r>
        <w:t xml:space="preserve">a single </w:t>
      </w:r>
      <w:r w:rsidR="008A490D">
        <w:t>penalty</w:t>
      </w:r>
      <w:r>
        <w:t xml:space="preserve">. </w:t>
      </w:r>
      <w:r w:rsidR="002C7930">
        <w:t xml:space="preserve">The system effectively makes individual breaches concurrent, meaning that </w:t>
      </w:r>
      <w:r>
        <w:t>the maximum penalty that can be ordered against the company will be 300 penalty units (currently $63,000), rather th</w:t>
      </w:r>
      <w:r w:rsidR="001A0FF3">
        <w:t xml:space="preserve">an the 3000 penalty units </w:t>
      </w:r>
      <w:r w:rsidR="001A0FF3">
        <w:lastRenderedPageBreak/>
        <w:t>($630,</w:t>
      </w:r>
      <w:r>
        <w:t xml:space="preserve">000) that could have been awarded if the contraventions against each employee were </w:t>
      </w:r>
      <w:r w:rsidR="002C7930">
        <w:t>applied</w:t>
      </w:r>
      <w:r>
        <w:t xml:space="preserve"> separately.</w:t>
      </w:r>
    </w:p>
    <w:p w14:paraId="6C6A123E" w14:textId="77777777" w:rsidR="009D4796" w:rsidRDefault="006A2F11" w:rsidP="007853A8">
      <w:r w:rsidRPr="006A2F11">
        <w:t>Alternatively, if a company engages in a course of conduct that contravenes the same civil remedy provision ten times in respect of one employee, the court can also group these contraventions so as to attract a single penalty. The court may also apply the rule against civil double jeopardy in section 556 of the Fair Work Act.</w:t>
      </w:r>
    </w:p>
    <w:p w14:paraId="49312B4B" w14:textId="20B21F5E" w:rsidR="00E14F79" w:rsidRDefault="008A490D" w:rsidP="007853A8">
      <w:r>
        <w:t>As a matter of</w:t>
      </w:r>
      <w:r w:rsidR="00947BC8">
        <w:t xml:space="preserve"> process</w:t>
      </w:r>
      <w:r>
        <w:t>, c</w:t>
      </w:r>
      <w:r w:rsidR="00A22338" w:rsidRPr="00814DA5">
        <w:t>ivil penalties for contraventions of the Fair Work Act are determined at the court’s discretion, subject to the maximum amounts prescribed by the Fair Work Act</w:t>
      </w:r>
      <w:r w:rsidR="009C5829">
        <w:t xml:space="preserve"> and any grouping required under section 557</w:t>
      </w:r>
      <w:r w:rsidR="00A22338" w:rsidRPr="00814DA5">
        <w:t xml:space="preserve">. The </w:t>
      </w:r>
      <w:r w:rsidR="00D31990">
        <w:t>c</w:t>
      </w:r>
      <w:r w:rsidR="00A22338" w:rsidRPr="00814DA5">
        <w:t xml:space="preserve">ourt may take into account a very broad range of factors, including the wrongdoer’s capacity to pay the penalty. </w:t>
      </w:r>
      <w:r w:rsidR="00E642C7" w:rsidRPr="00814DA5">
        <w:t>For example, a</w:t>
      </w:r>
      <w:r w:rsidR="00A22338" w:rsidRPr="00814DA5">
        <w:t xml:space="preserve"> penalty order that</w:t>
      </w:r>
      <w:r w:rsidR="003B71C1">
        <w:t xml:space="preserve"> is so high that it leads to the company becoming</w:t>
      </w:r>
      <w:r w:rsidR="00A22338" w:rsidRPr="00814DA5">
        <w:t xml:space="preserve"> insolven</w:t>
      </w:r>
      <w:r w:rsidR="003B71C1">
        <w:t>t might mean that</w:t>
      </w:r>
      <w:r w:rsidR="00947BC8">
        <w:t xml:space="preserve"> </w:t>
      </w:r>
      <w:r w:rsidR="00E14F79">
        <w:t xml:space="preserve">underpaid </w:t>
      </w:r>
      <w:r w:rsidR="003B71C1">
        <w:t>employees</w:t>
      </w:r>
      <w:r>
        <w:t xml:space="preserve"> are not paid </w:t>
      </w:r>
      <w:r w:rsidR="00E14F79">
        <w:t xml:space="preserve">their entitlements, existing employees might lose their employment, and other creditors may suffer hardship. </w:t>
      </w:r>
    </w:p>
    <w:p w14:paraId="1E7621EA" w14:textId="19291CE3" w:rsidR="00AF3BE4" w:rsidRDefault="003B71C1" w:rsidP="007853A8">
      <w:r>
        <w:t>It is important to note</w:t>
      </w:r>
      <w:r w:rsidR="008F4869">
        <w:t xml:space="preserve"> that </w:t>
      </w:r>
      <w:r w:rsidR="00E14F79">
        <w:t>orders relating to employee entitlements will typically take priority over penalty orders. This means that</w:t>
      </w:r>
      <w:r w:rsidR="00E14F79">
        <w:rPr>
          <w:rStyle w:val="CommentReference"/>
        </w:rPr>
        <w:t xml:space="preserve"> </w:t>
      </w:r>
      <w:r w:rsidR="008F4869">
        <w:t>any civil penalty order would</w:t>
      </w:r>
      <w:r w:rsidR="00E14F79">
        <w:t xml:space="preserve"> usually</w:t>
      </w:r>
      <w:r w:rsidR="008F4869">
        <w:t xml:space="preserve"> </w:t>
      </w:r>
      <w:r>
        <w:t xml:space="preserve">be imposed in addition to an order </w:t>
      </w:r>
      <w:r w:rsidR="00AC0BF4">
        <w:t>relating to employee entitlements (for example, paying any unpaid wages)</w:t>
      </w:r>
      <w:r w:rsidR="008A490D">
        <w:t xml:space="preserve">. </w:t>
      </w:r>
    </w:p>
    <w:p w14:paraId="02C8E578" w14:textId="1011352F" w:rsidR="00B2269D" w:rsidRPr="005625AA" w:rsidRDefault="00B2269D" w:rsidP="005625AA">
      <w:pPr>
        <w:pStyle w:val="Heading4"/>
      </w:pPr>
      <w:r w:rsidRPr="005625AA">
        <w:t>Issues</w:t>
      </w:r>
    </w:p>
    <w:p w14:paraId="4D797E83" w14:textId="363E8CFD" w:rsidR="00C42CD3" w:rsidRDefault="007C7643" w:rsidP="00B2369A">
      <w:r>
        <w:t xml:space="preserve">The Migrant Workers’ Taskforce </w:t>
      </w:r>
      <w:r w:rsidR="007853A8">
        <w:t xml:space="preserve">report </w:t>
      </w:r>
      <w:r>
        <w:t>noted that u</w:t>
      </w:r>
      <w:r w:rsidR="004A5F64">
        <w:t xml:space="preserve">nderpayment of </w:t>
      </w:r>
      <w:r w:rsidR="00597A80">
        <w:t>employee</w:t>
      </w:r>
      <w:r w:rsidR="004A5F64">
        <w:t xml:space="preserve">s </w:t>
      </w:r>
      <w:r w:rsidR="008F4869">
        <w:t>(both mistaken and rectified under</w:t>
      </w:r>
      <w:r w:rsidR="008C2A1D">
        <w:t>payment</w:t>
      </w:r>
      <w:r w:rsidR="007F7531">
        <w:t>s</w:t>
      </w:r>
      <w:r w:rsidR="008C2A1D">
        <w:t xml:space="preserve">, and </w:t>
      </w:r>
      <w:r w:rsidR="007F7531">
        <w:t xml:space="preserve">those done </w:t>
      </w:r>
      <w:r w:rsidR="008C2A1D">
        <w:t>knowing</w:t>
      </w:r>
      <w:r w:rsidR="007F7531">
        <w:t>ly</w:t>
      </w:r>
      <w:r w:rsidR="008F4869">
        <w:t xml:space="preserve">) </w:t>
      </w:r>
      <w:r w:rsidR="004A5F64">
        <w:t>is not new</w:t>
      </w:r>
      <w:r>
        <w:t xml:space="preserve"> and </w:t>
      </w:r>
      <w:r w:rsidR="004A5F64">
        <w:t xml:space="preserve">has been </w:t>
      </w:r>
      <w:r w:rsidR="005625AA">
        <w:t xml:space="preserve">occurring over a number of years across </w:t>
      </w:r>
      <w:r w:rsidR="004A5F64">
        <w:t xml:space="preserve">sectors of the Australian labour market. </w:t>
      </w:r>
      <w:r w:rsidR="00597A80">
        <w:t>C</w:t>
      </w:r>
      <w:r w:rsidR="005625AA">
        <w:t xml:space="preserve">ase studies and inquiries undertaken by the FWO and others have increased awareness of the matter in recent times. </w:t>
      </w:r>
    </w:p>
    <w:p w14:paraId="2D2638D0" w14:textId="48F74BB2" w:rsidR="007C7643" w:rsidRDefault="005625AA" w:rsidP="00B2369A">
      <w:r>
        <w:t xml:space="preserve">The Migrant Workers’ Taskforce report </w:t>
      </w:r>
      <w:r w:rsidR="007C7643">
        <w:t>noted that</w:t>
      </w:r>
      <w:r>
        <w:t>,</w:t>
      </w:r>
      <w:r w:rsidR="007C7643">
        <w:t xml:space="preserve"> while it had considered the extent of exploitation of </w:t>
      </w:r>
      <w:r w:rsidR="004A5F64">
        <w:t>migrant workers</w:t>
      </w:r>
      <w:r w:rsidR="00D629DE">
        <w:t>:</w:t>
      </w:r>
      <w:r w:rsidR="004A5F64">
        <w:t xml:space="preserve"> </w:t>
      </w:r>
    </w:p>
    <w:p w14:paraId="4A9A2F22" w14:textId="399DAEC6" w:rsidR="00D31990" w:rsidRPr="00C05130" w:rsidRDefault="00AE4A24" w:rsidP="00D31990">
      <w:pPr>
        <w:pStyle w:val="NormalWeb"/>
        <w:spacing w:before="0" w:beforeAutospacing="0" w:after="200" w:afterAutospacing="0" w:line="276" w:lineRule="auto"/>
        <w:ind w:left="426" w:right="673"/>
        <w:rPr>
          <w:rFonts w:asciiTheme="minorHAnsi" w:hAnsiTheme="minorHAnsi" w:cstheme="minorHAnsi"/>
          <w:i/>
        </w:rPr>
      </w:pPr>
      <w:r>
        <w:rPr>
          <w:rFonts w:asciiTheme="minorHAnsi" w:hAnsiTheme="minorHAnsi" w:cstheme="minorHAnsi"/>
          <w:sz w:val="22"/>
          <w:szCs w:val="22"/>
        </w:rPr>
        <w:t>‘</w:t>
      </w:r>
      <w:r w:rsidRPr="00C05130">
        <w:rPr>
          <w:rFonts w:asciiTheme="minorHAnsi" w:hAnsiTheme="minorHAnsi" w:cstheme="minorHAnsi"/>
          <w:sz w:val="22"/>
          <w:szCs w:val="22"/>
        </w:rPr>
        <w:t>Given</w:t>
      </w:r>
      <w:r w:rsidR="004A5F64" w:rsidRPr="00C05130">
        <w:rPr>
          <w:rFonts w:asciiTheme="minorHAnsi" w:hAnsiTheme="minorHAnsi" w:cstheme="minorHAnsi"/>
          <w:sz w:val="22"/>
          <w:szCs w:val="22"/>
        </w:rPr>
        <w:t xml:space="preserve"> the hidden nature of the problem it is not possible to put a firm number on it. However, given the number of case studies and other pieces of information outlined in this chapter, it is clear that a significant proportion of </w:t>
      </w:r>
      <w:r w:rsidR="004A5F64" w:rsidRPr="006221A2">
        <w:rPr>
          <w:rFonts w:asciiTheme="minorHAnsi" w:hAnsiTheme="minorHAnsi" w:cstheme="minorHAnsi"/>
          <w:sz w:val="22"/>
          <w:szCs w:val="22"/>
        </w:rPr>
        <w:t>temporary visa holders</w:t>
      </w:r>
      <w:r w:rsidR="004A5F64" w:rsidRPr="00C05130">
        <w:rPr>
          <w:rFonts w:asciiTheme="minorHAnsi" w:hAnsiTheme="minorHAnsi" w:cstheme="minorHAnsi"/>
          <w:sz w:val="22"/>
          <w:szCs w:val="22"/>
        </w:rPr>
        <w:t xml:space="preserve"> in Australia are being exploited.</w:t>
      </w:r>
      <w:r>
        <w:rPr>
          <w:rFonts w:asciiTheme="minorHAnsi" w:hAnsiTheme="minorHAnsi" w:cstheme="minorHAnsi"/>
          <w:sz w:val="22"/>
          <w:szCs w:val="22"/>
        </w:rPr>
        <w:t>’</w:t>
      </w:r>
      <w:r w:rsidR="005625AA" w:rsidRPr="00C05130">
        <w:rPr>
          <w:rStyle w:val="FootnoteReference"/>
          <w:rFonts w:asciiTheme="minorHAnsi" w:hAnsiTheme="minorHAnsi" w:cstheme="minorHAnsi"/>
        </w:rPr>
        <w:footnoteReference w:id="6"/>
      </w:r>
    </w:p>
    <w:p w14:paraId="7457DAC4" w14:textId="6E8393DD" w:rsidR="0004611E" w:rsidRDefault="003C5DE0" w:rsidP="007853A8">
      <w:r w:rsidRPr="005625AA">
        <w:t xml:space="preserve">Although it does not provide a definitive figure for the extent of the problem, data presented by the FWO in its annual reports </w:t>
      </w:r>
      <w:r w:rsidR="00584803" w:rsidRPr="005625AA">
        <w:t>provides useful</w:t>
      </w:r>
      <w:r w:rsidRPr="005625AA">
        <w:t xml:space="preserve"> insight</w:t>
      </w:r>
      <w:r w:rsidR="00584803" w:rsidRPr="005625AA">
        <w:t>s</w:t>
      </w:r>
      <w:r w:rsidRPr="005625AA">
        <w:t xml:space="preserve"> into the </w:t>
      </w:r>
      <w:r w:rsidR="008F4869">
        <w:t xml:space="preserve">potential </w:t>
      </w:r>
      <w:r w:rsidR="00584803" w:rsidRPr="005625AA">
        <w:t>prevalence of the issue</w:t>
      </w:r>
      <w:r w:rsidRPr="005625AA">
        <w:t xml:space="preserve">. </w:t>
      </w:r>
      <w:r w:rsidR="001B0D3D" w:rsidRPr="005625AA">
        <w:t>In 2014</w:t>
      </w:r>
      <w:r w:rsidR="001B0D3D">
        <w:t>–</w:t>
      </w:r>
      <w:r w:rsidR="001B0D3D" w:rsidRPr="005625AA">
        <w:t>15</w:t>
      </w:r>
      <w:r w:rsidR="001B0D3D">
        <w:t>,</w:t>
      </w:r>
      <w:r w:rsidR="001B0D3D" w:rsidRPr="005625AA">
        <w:t xml:space="preserve"> the FWO reported i</w:t>
      </w:r>
      <w:r w:rsidR="001B0D3D">
        <w:t>t had recovered more than $22.3 </w:t>
      </w:r>
      <w:r w:rsidR="001B0D3D" w:rsidRPr="005625AA">
        <w:t xml:space="preserve">million for 11,613 workers. </w:t>
      </w:r>
      <w:r w:rsidR="00584803" w:rsidRPr="005625AA">
        <w:t>I</w:t>
      </w:r>
      <w:r w:rsidR="004A5F64" w:rsidRPr="005625AA">
        <w:t>n its 2017</w:t>
      </w:r>
      <w:r w:rsidR="00305FBE">
        <w:t>–</w:t>
      </w:r>
      <w:r w:rsidR="004A5F64" w:rsidRPr="005625AA">
        <w:t xml:space="preserve">18 annual report, the FWO reported it had recovered </w:t>
      </w:r>
      <w:r w:rsidR="00584803" w:rsidRPr="005625AA">
        <w:t>$29</w:t>
      </w:r>
      <w:r w:rsidR="005625AA" w:rsidRPr="005625AA">
        <w:t>.</w:t>
      </w:r>
      <w:r w:rsidR="00584803" w:rsidRPr="005625AA">
        <w:t>6</w:t>
      </w:r>
      <w:r w:rsidR="005625AA" w:rsidRPr="005625AA">
        <w:t xml:space="preserve"> million</w:t>
      </w:r>
      <w:r w:rsidR="005625AA">
        <w:t xml:space="preserve"> </w:t>
      </w:r>
      <w:r w:rsidR="004A5F64" w:rsidRPr="005625AA">
        <w:t xml:space="preserve">for 13,367 workers. </w:t>
      </w:r>
      <w:r w:rsidRPr="005625AA">
        <w:t>During the same period, i</w:t>
      </w:r>
      <w:r w:rsidR="004A5F64" w:rsidRPr="005625AA">
        <w:t>t completed 28,275 disputes,</w:t>
      </w:r>
      <w:r w:rsidR="007C7643" w:rsidRPr="005625AA">
        <w:t xml:space="preserve"> and filed 35 litigations. </w:t>
      </w:r>
      <w:r w:rsidR="00A84F5A">
        <w:t>R</w:t>
      </w:r>
      <w:r w:rsidR="005002D6">
        <w:t>ecent high profile example</w:t>
      </w:r>
      <w:r w:rsidR="001352B1">
        <w:t>s</w:t>
      </w:r>
      <w:r w:rsidR="005002D6">
        <w:t xml:space="preserve"> of underpayments</w:t>
      </w:r>
      <w:r w:rsidR="00A84F5A">
        <w:t xml:space="preserve"> suggest</w:t>
      </w:r>
      <w:r w:rsidR="002541EB" w:rsidRPr="005625AA">
        <w:t xml:space="preserve"> </w:t>
      </w:r>
      <w:r w:rsidR="00584803" w:rsidRPr="005625AA">
        <w:t>more could be done to identify and</w:t>
      </w:r>
      <w:r w:rsidR="002541EB" w:rsidRPr="005625AA">
        <w:t xml:space="preserve"> address non</w:t>
      </w:r>
      <w:r w:rsidR="00A84F5A">
        <w:noBreakHyphen/>
      </w:r>
      <w:r w:rsidR="002541EB" w:rsidRPr="005625AA">
        <w:t>compliance</w:t>
      </w:r>
      <w:r w:rsidR="00584803" w:rsidRPr="005625AA">
        <w:t xml:space="preserve"> with workplace laws</w:t>
      </w:r>
      <w:r w:rsidR="002541EB" w:rsidRPr="005625AA">
        <w:t>.</w:t>
      </w:r>
      <w:r w:rsidR="004A5F64" w:rsidRPr="005625AA">
        <w:t xml:space="preserve"> </w:t>
      </w:r>
    </w:p>
    <w:p w14:paraId="42CF9021" w14:textId="393F4243" w:rsidR="00226D60" w:rsidRDefault="00D058BB" w:rsidP="007853A8">
      <w:r>
        <w:t>I</w:t>
      </w:r>
      <w:r w:rsidR="008F4869">
        <w:t xml:space="preserve">n exercising its functions relating to the building and construction industry, the </w:t>
      </w:r>
      <w:r w:rsidR="00E14F79">
        <w:t xml:space="preserve">Australian Building and Construction Commission </w:t>
      </w:r>
      <w:r w:rsidR="007940F3">
        <w:t xml:space="preserve">have </w:t>
      </w:r>
      <w:r w:rsidR="006A2F11">
        <w:t>recovered</w:t>
      </w:r>
      <w:r w:rsidR="00E14F79">
        <w:t xml:space="preserve"> $1 million worth of wages for workers</w:t>
      </w:r>
      <w:r w:rsidR="008F4869">
        <w:t>.</w:t>
      </w:r>
    </w:p>
    <w:p w14:paraId="67D3CBED" w14:textId="5436DA9E" w:rsidR="00E14F79" w:rsidRDefault="00E14F79" w:rsidP="00E14F79">
      <w:r>
        <w:t>There is an obvious balance to be struck between recognising no underpayment is trivial and that all underpayments are serious, and not being crushingly punitive in cases of genuine mistakes leading to underpayment</w:t>
      </w:r>
      <w:r w:rsidR="00254A69">
        <w:t>,</w:t>
      </w:r>
      <w:r>
        <w:t xml:space="preserve"> to the extent that the penalties ruin businesses and ultimately hurt the employees they are designed to protect. </w:t>
      </w:r>
    </w:p>
    <w:p w14:paraId="0111D1B6" w14:textId="6F6A93EF" w:rsidR="006835F5" w:rsidRDefault="00E14F79" w:rsidP="007853A8">
      <w:r>
        <w:t>Similarly</w:t>
      </w:r>
      <w:r w:rsidR="00254A69">
        <w:t>,</w:t>
      </w:r>
      <w:r>
        <w:t xml:space="preserve"> there is </w:t>
      </w:r>
      <w:r w:rsidR="00254A69">
        <w:t xml:space="preserve">a </w:t>
      </w:r>
      <w:r>
        <w:t xml:space="preserve">line between serious underpayments that are still appropriately dealt with in a civil law context and those most serious matters that — because of the scale, or repetitious nature, or state of knowledge — are appropriately dealt with </w:t>
      </w:r>
      <w:r w:rsidR="00254A69">
        <w:t xml:space="preserve">in </w:t>
      </w:r>
      <w:r w:rsidR="00891262">
        <w:t>a criminal</w:t>
      </w:r>
      <w:r>
        <w:t xml:space="preserve"> </w:t>
      </w:r>
      <w:r w:rsidR="00254A69">
        <w:t>law context</w:t>
      </w:r>
      <w:r>
        <w:t>.</w:t>
      </w:r>
    </w:p>
    <w:p w14:paraId="70B50209" w14:textId="5E1E852E" w:rsidR="001618F7" w:rsidRPr="005625AA" w:rsidRDefault="003E6E36" w:rsidP="005625AA">
      <w:pPr>
        <w:pStyle w:val="Heading4"/>
      </w:pPr>
      <w:r w:rsidRPr="005625AA">
        <w:t>Reform Options</w:t>
      </w:r>
    </w:p>
    <w:p w14:paraId="433C94E9" w14:textId="29F527BB" w:rsidR="009277CF" w:rsidRPr="00B50297" w:rsidRDefault="009277CF" w:rsidP="009277CF">
      <w:r>
        <w:t>T</w:t>
      </w:r>
      <w:r w:rsidRPr="002E4AAF">
        <w:rPr>
          <w:bCs/>
        </w:rPr>
        <w:t>he Migrant Workers’ Taskforce recommended that ‘the general level of penalties for breaches of wage exploitation related provisions in the Fair Work Act be increased to be more in line with those in other business laws, especially consumer laws’</w:t>
      </w:r>
      <w:r>
        <w:rPr>
          <w:bCs/>
        </w:rPr>
        <w:t xml:space="preserve"> </w:t>
      </w:r>
      <w:r w:rsidRPr="00271ABF">
        <w:rPr>
          <w:b/>
        </w:rPr>
        <w:t>(</w:t>
      </w:r>
      <w:r w:rsidRPr="005E5EB8">
        <w:rPr>
          <w:b/>
        </w:rPr>
        <w:t>Recommendation 5</w:t>
      </w:r>
      <w:r w:rsidRPr="00271ABF">
        <w:rPr>
          <w:b/>
        </w:rPr>
        <w:t>)</w:t>
      </w:r>
      <w:r>
        <w:t xml:space="preserve">. </w:t>
      </w:r>
      <w:r w:rsidR="009F7AF9">
        <w:t>The Government</w:t>
      </w:r>
      <w:r w:rsidR="00B44D00">
        <w:t>’s March 2019 response to the Taskforce</w:t>
      </w:r>
      <w:r w:rsidR="002C0594">
        <w:t xml:space="preserve"> report</w:t>
      </w:r>
      <w:r w:rsidR="009F7AF9">
        <w:t xml:space="preserve"> accepted this recommendation in principle.</w:t>
      </w:r>
    </w:p>
    <w:p w14:paraId="02592BDD" w14:textId="77777777" w:rsidR="0004407D" w:rsidRDefault="007F5B61" w:rsidP="00555F41">
      <w:r>
        <w:t>Penalties for breaches of consumer and corporations laws have recently increased in response to stakeholder concerns</w:t>
      </w:r>
      <w:r w:rsidR="000E23ED">
        <w:t>.</w:t>
      </w:r>
      <w:r>
        <w:rPr>
          <w:rStyle w:val="FootnoteReference"/>
        </w:rPr>
        <w:footnoteReference w:id="7"/>
      </w:r>
      <w:r>
        <w:t xml:space="preserve"> </w:t>
      </w:r>
      <w:r w:rsidR="00B50297">
        <w:t xml:space="preserve">The Government introduced higher penalties for corporate and financial misconduct </w:t>
      </w:r>
      <w:r w:rsidR="0064621F">
        <w:t xml:space="preserve">in </w:t>
      </w:r>
      <w:r w:rsidR="00B50297">
        <w:t xml:space="preserve">the </w:t>
      </w:r>
      <w:r w:rsidR="00B50297" w:rsidRPr="00B00949">
        <w:rPr>
          <w:i/>
        </w:rPr>
        <w:t>Treasury Laws Amendment (Strengthening Corporate and Financial Sector Penalties) Act 2019</w:t>
      </w:r>
      <w:r w:rsidR="00A45959">
        <w:rPr>
          <w:i/>
        </w:rPr>
        <w:t xml:space="preserve"> </w:t>
      </w:r>
      <w:r w:rsidR="00A45959">
        <w:t>(</w:t>
      </w:r>
      <w:proofErr w:type="spellStart"/>
      <w:r w:rsidR="00A45959">
        <w:t>C</w:t>
      </w:r>
      <w:r w:rsidR="00A45959" w:rsidRPr="00A45959">
        <w:t>th</w:t>
      </w:r>
      <w:proofErr w:type="spellEnd"/>
      <w:r w:rsidR="00A45959" w:rsidRPr="00A45959">
        <w:t>)</w:t>
      </w:r>
      <w:r w:rsidR="00B50297">
        <w:rPr>
          <w:i/>
        </w:rPr>
        <w:t>.</w:t>
      </w:r>
      <w:r w:rsidR="00B50297">
        <w:rPr>
          <w:rStyle w:val="FootnoteReference"/>
        </w:rPr>
        <w:footnoteReference w:id="8"/>
      </w:r>
      <w:r w:rsidR="00B50297" w:rsidRPr="00B50297">
        <w:t xml:space="preserve"> </w:t>
      </w:r>
    </w:p>
    <w:p w14:paraId="34FFBEB6" w14:textId="2E260331" w:rsidR="00555F41" w:rsidRPr="00555F41" w:rsidRDefault="007853A8" w:rsidP="00555F41">
      <w:pPr>
        <w:rPr>
          <w:i/>
        </w:rPr>
      </w:pPr>
      <w:r>
        <w:t>The Australian </w:t>
      </w:r>
      <w:r w:rsidR="00555F41" w:rsidRPr="00555F41">
        <w:t>Consumer Law Review</w:t>
      </w:r>
      <w:r w:rsidR="00555F41" w:rsidRPr="00555F41">
        <w:rPr>
          <w:vertAlign w:val="superscript"/>
        </w:rPr>
        <w:footnoteReference w:id="9"/>
      </w:r>
      <w:r w:rsidR="00555F41" w:rsidRPr="00555F41">
        <w:t xml:space="preserve"> found that</w:t>
      </w:r>
      <w:r w:rsidR="0004407D">
        <w:t>, in the context</w:t>
      </w:r>
      <w:r w:rsidR="00254A69">
        <w:t xml:space="preserve"> of breaches of the Australian C</w:t>
      </w:r>
      <w:r w:rsidR="0004407D">
        <w:t>onsumer Law,</w:t>
      </w:r>
      <w:r w:rsidR="00555F41" w:rsidRPr="00555F41">
        <w:t xml:space="preserve"> the existing</w:t>
      </w:r>
      <w:r w:rsidR="0004407D">
        <w:t xml:space="preserve"> maximum penalties available </w:t>
      </w:r>
      <w:r w:rsidR="00555F41" w:rsidRPr="00555F41">
        <w:t xml:space="preserve">were insufficient to deter non-compliant conduct that can be </w:t>
      </w:r>
      <w:r w:rsidR="00555F41">
        <w:t>highly profitable. It found that some entities perceived</w:t>
      </w:r>
      <w:r w:rsidR="00555F41" w:rsidRPr="00555F41">
        <w:t xml:space="preserve"> existing penalties as ‘a cost of doing </w:t>
      </w:r>
      <w:proofErr w:type="gramStart"/>
      <w:r w:rsidR="00555F41" w:rsidRPr="00555F41">
        <w:t>business’</w:t>
      </w:r>
      <w:proofErr w:type="gramEnd"/>
      <w:r w:rsidR="00555F41" w:rsidRPr="00555F41">
        <w:t>. The judiciary had also suggested the previous maximum penalties were ‘arguabl</w:t>
      </w:r>
      <w:r w:rsidR="00555F41">
        <w:t>y</w:t>
      </w:r>
      <w:r w:rsidR="00555F41" w:rsidRPr="00555F41">
        <w:t xml:space="preserve"> inadequate’ for large-sized corporations.</w:t>
      </w:r>
      <w:r w:rsidR="00555F41" w:rsidRPr="00555F41">
        <w:rPr>
          <w:vertAlign w:val="superscript"/>
        </w:rPr>
        <w:footnoteReference w:id="10"/>
      </w:r>
    </w:p>
    <w:p w14:paraId="63394DE6" w14:textId="6AE26127" w:rsidR="00FB1AB0" w:rsidRDefault="00555F41" w:rsidP="0015146F">
      <w:r>
        <w:t>In 2018, t</w:t>
      </w:r>
      <w:r w:rsidR="00B50297">
        <w:t xml:space="preserve">he structure for determining penalties for contraventions </w:t>
      </w:r>
      <w:r w:rsidR="000A3890">
        <w:t xml:space="preserve">of consumer law </w:t>
      </w:r>
      <w:r w:rsidR="00B50297">
        <w:t>under</w:t>
      </w:r>
      <w:r>
        <w:t xml:space="preserve"> the</w:t>
      </w:r>
      <w:r w:rsidR="007853A8">
        <w:rPr>
          <w:i/>
          <w:iCs/>
        </w:rPr>
        <w:t xml:space="preserve"> Competition </w:t>
      </w:r>
      <w:r w:rsidR="007F5B61" w:rsidRPr="007F5B61">
        <w:rPr>
          <w:i/>
          <w:iCs/>
        </w:rPr>
        <w:t xml:space="preserve">and Consumer Act 2010 </w:t>
      </w:r>
      <w:r w:rsidR="007F5B61" w:rsidRPr="007F5B61">
        <w:t>(</w:t>
      </w:r>
      <w:proofErr w:type="spellStart"/>
      <w:r w:rsidR="007F5B61" w:rsidRPr="007F5B61">
        <w:t>Cth</w:t>
      </w:r>
      <w:proofErr w:type="spellEnd"/>
      <w:r w:rsidR="007F5B61" w:rsidRPr="007F5B61">
        <w:t>)</w:t>
      </w:r>
      <w:r w:rsidR="00BE2BC3">
        <w:t xml:space="preserve"> </w:t>
      </w:r>
      <w:r w:rsidR="00452A99">
        <w:t xml:space="preserve">(Competition and Consumer Act) </w:t>
      </w:r>
      <w:r w:rsidR="000A6DCE">
        <w:t>added options for calculating maximum penalty amounts</w:t>
      </w:r>
      <w:r w:rsidR="0032280E">
        <w:t>.</w:t>
      </w:r>
      <w:r w:rsidR="000A6DCE">
        <w:t xml:space="preserve"> </w:t>
      </w:r>
      <w:r w:rsidR="0032280E">
        <w:t>N</w:t>
      </w:r>
      <w:r w:rsidR="000A6DCE">
        <w:t>amely</w:t>
      </w:r>
      <w:r w:rsidR="0032280E">
        <w:t>,</w:t>
      </w:r>
      <w:r w:rsidR="000A6DCE">
        <w:t xml:space="preserve"> </w:t>
      </w:r>
      <w:r w:rsidR="00B50297">
        <w:t xml:space="preserve">three times the value of the </w:t>
      </w:r>
      <w:r w:rsidR="00B50297" w:rsidRPr="00CF49D9">
        <w:t>benefit obtained from the contravention</w:t>
      </w:r>
      <w:r w:rsidR="00B50297">
        <w:t xml:space="preserve"> (if it can be determined) or</w:t>
      </w:r>
      <w:r w:rsidR="000A6DCE">
        <w:t xml:space="preserve"> </w:t>
      </w:r>
      <w:r w:rsidR="00B50297">
        <w:t>10 per cent of annual turnover (if the value of the benefit cannot be determined)</w:t>
      </w:r>
      <w:r w:rsidR="00894460">
        <w:t>.</w:t>
      </w:r>
      <w:r w:rsidR="0064621F">
        <w:rPr>
          <w:rStyle w:val="FootnoteReference"/>
        </w:rPr>
        <w:footnoteReference w:id="11"/>
      </w:r>
    </w:p>
    <w:p w14:paraId="48989685" w14:textId="15A7F88D" w:rsidR="00EC757A" w:rsidRDefault="00A84F5A" w:rsidP="0015146F">
      <w:r>
        <w:t xml:space="preserve">Mr </w:t>
      </w:r>
      <w:r w:rsidR="00EC757A" w:rsidRPr="00452A99">
        <w:t xml:space="preserve">Rod Sims, Chair of the Australian Competition and Consumer Commission noted that </w:t>
      </w:r>
      <w:r w:rsidR="00EC757A" w:rsidRPr="003375E9">
        <w:t>the increase in penalties under the Competitio</w:t>
      </w:r>
      <w:r w:rsidR="00EC757A" w:rsidRPr="00C91E84">
        <w:t xml:space="preserve">n and Consumer </w:t>
      </w:r>
      <w:r w:rsidR="00EC757A">
        <w:t xml:space="preserve">Act </w:t>
      </w:r>
      <w:r w:rsidR="00EC757A" w:rsidRPr="00C91E84">
        <w:t>was ‘very important’ because</w:t>
      </w:r>
      <w:r w:rsidR="0004407D">
        <w:t>, in his words,</w:t>
      </w:r>
      <w:r w:rsidR="00EC757A" w:rsidRPr="00C91E84">
        <w:t xml:space="preserve"> the regulator ‘need[s] penalties that mean that when the penalty is announced, the share price takes a dip.’ While </w:t>
      </w:r>
      <w:r w:rsidR="00EC757A">
        <w:t xml:space="preserve">there may be </w:t>
      </w:r>
      <w:r w:rsidR="00EC757A" w:rsidRPr="00C91E84">
        <w:t>a case for inflicting ‘financial pain’ on non-compliant businesses under the Competition and Consumer Act</w:t>
      </w:r>
      <w:r w:rsidR="00EC757A" w:rsidRPr="008D0734">
        <w:rPr>
          <w:vertAlign w:val="superscript"/>
        </w:rPr>
        <w:footnoteReference w:id="12"/>
      </w:r>
      <w:r w:rsidR="00A651A5">
        <w:t>,</w:t>
      </w:r>
      <w:r w:rsidR="00EC757A" w:rsidRPr="00452A99">
        <w:t xml:space="preserve"> </w:t>
      </w:r>
      <w:r w:rsidR="002562C3">
        <w:t>it is also important to maintain the courts’ discretion to determine penalties that a</w:t>
      </w:r>
      <w:r w:rsidR="005002D6">
        <w:t>re proportionate to the offence. This includes gi</w:t>
      </w:r>
      <w:r w:rsidR="002562C3">
        <w:t xml:space="preserve">ving </w:t>
      </w:r>
      <w:r w:rsidR="005002D6">
        <w:t>consideration</w:t>
      </w:r>
      <w:r w:rsidR="002562C3">
        <w:t xml:space="preserve"> to the nature and extent of the wrongdoing, whether the party that committed the contraventions has exhibited contrition, and the impact that any penalties might have on the viability of the business</w:t>
      </w:r>
      <w:r w:rsidR="00EC757A">
        <w:t xml:space="preserve">. </w:t>
      </w:r>
    </w:p>
    <w:p w14:paraId="4FFB78FA" w14:textId="092DC797" w:rsidR="00EC757A" w:rsidRDefault="00452A99" w:rsidP="00BD63DE">
      <w:r w:rsidRPr="00452A99">
        <w:t xml:space="preserve">The </w:t>
      </w:r>
      <w:r w:rsidRPr="00452A99">
        <w:rPr>
          <w:i/>
        </w:rPr>
        <w:t>Taxation Administration Act 1953</w:t>
      </w:r>
      <w:r w:rsidRPr="00452A99">
        <w:t xml:space="preserve"> (</w:t>
      </w:r>
      <w:proofErr w:type="spellStart"/>
      <w:r w:rsidRPr="00452A99">
        <w:t>Cth</w:t>
      </w:r>
      <w:proofErr w:type="spellEnd"/>
      <w:r w:rsidRPr="00452A99">
        <w:t>) a</w:t>
      </w:r>
      <w:r w:rsidR="00B340E8">
        <w:t xml:space="preserve">dopts an alternative approach to calculating the </w:t>
      </w:r>
      <w:r w:rsidRPr="00452A99">
        <w:t>penalt</w:t>
      </w:r>
      <w:r w:rsidR="00B340E8">
        <w:t xml:space="preserve">ies to be </w:t>
      </w:r>
      <w:r w:rsidRPr="00452A99">
        <w:t xml:space="preserve">applied where a taxpayer makes a false or misleading statement in their tax return that results in a shortfall </w:t>
      </w:r>
      <w:r w:rsidR="00B340E8">
        <w:t>in</w:t>
      </w:r>
      <w:r w:rsidR="00C91E84">
        <w:t xml:space="preserve"> the tax paid</w:t>
      </w:r>
      <w:r w:rsidRPr="00452A99">
        <w:t>.</w:t>
      </w:r>
      <w:r w:rsidR="00123660">
        <w:t xml:space="preserve"> In addition to repaying the shortfall, </w:t>
      </w:r>
      <w:r w:rsidR="00B340E8">
        <w:t xml:space="preserve">the Australian Tax Office will levy </w:t>
      </w:r>
      <w:r w:rsidR="00123660">
        <w:t>a penalty calculated</w:t>
      </w:r>
      <w:r w:rsidRPr="00452A99">
        <w:t xml:space="preserve"> by reference to </w:t>
      </w:r>
      <w:r w:rsidR="005625AA" w:rsidRPr="00BA089A">
        <w:t>the degree of fault</w:t>
      </w:r>
      <w:r w:rsidR="005625AA">
        <w:t>,</w:t>
      </w:r>
      <w:r w:rsidR="00123660">
        <w:t xml:space="preserve"> ranging </w:t>
      </w:r>
      <w:r w:rsidRPr="00452A99">
        <w:t>from 25</w:t>
      </w:r>
      <w:r w:rsidR="00B340E8">
        <w:t xml:space="preserve"> per cent </w:t>
      </w:r>
      <w:r w:rsidR="00B340E8" w:rsidRPr="00452A99">
        <w:t>of the shortfall amount</w:t>
      </w:r>
      <w:r w:rsidR="00B340E8">
        <w:t xml:space="preserve"> (for example, failing to take reasonable care)</w:t>
      </w:r>
      <w:r w:rsidRPr="00452A99">
        <w:t xml:space="preserve"> to 75 per cent</w:t>
      </w:r>
      <w:r w:rsidR="00B340E8" w:rsidRPr="00B340E8">
        <w:t xml:space="preserve"> </w:t>
      </w:r>
      <w:r w:rsidR="00B340E8" w:rsidRPr="00452A99">
        <w:t>of the shortfall amount</w:t>
      </w:r>
      <w:r w:rsidRPr="00452A99">
        <w:t xml:space="preserve"> </w:t>
      </w:r>
      <w:r w:rsidR="00B340E8">
        <w:t>(for example, intentionally disregarding the law)</w:t>
      </w:r>
      <w:r w:rsidRPr="00452A99">
        <w:t xml:space="preserve">. </w:t>
      </w:r>
      <w:r w:rsidR="00BD63DE">
        <w:t xml:space="preserve">These penalties can be increased or reduced if there are aggravating or mitigating circumstances. </w:t>
      </w:r>
    </w:p>
    <w:p w14:paraId="236A2BCD" w14:textId="70FC159A" w:rsidR="00EC757A" w:rsidRDefault="00EC757A" w:rsidP="00BD63DE">
      <w:r>
        <w:t>These examples highlight that general c</w:t>
      </w:r>
      <w:r w:rsidRPr="00452A99">
        <w:t xml:space="preserve">omparisons between penalty regimes in the Fair Work Act and other legislation </w:t>
      </w:r>
      <w:r>
        <w:t>can be</w:t>
      </w:r>
      <w:r w:rsidRPr="00452A99">
        <w:t xml:space="preserve"> useful, </w:t>
      </w:r>
      <w:r>
        <w:t xml:space="preserve">but </w:t>
      </w:r>
      <w:r w:rsidRPr="00452A99">
        <w:t>th</w:t>
      </w:r>
      <w:r>
        <w:t xml:space="preserve">at the </w:t>
      </w:r>
      <w:r w:rsidRPr="00452A99">
        <w:t xml:space="preserve">objectives of the </w:t>
      </w:r>
      <w:r>
        <w:t>relevant legislation</w:t>
      </w:r>
      <w:r w:rsidRPr="00452A99">
        <w:t xml:space="preserve"> and </w:t>
      </w:r>
      <w:r>
        <w:t xml:space="preserve">the </w:t>
      </w:r>
      <w:r w:rsidR="00A84F5A">
        <w:t xml:space="preserve">kinds of </w:t>
      </w:r>
      <w:r w:rsidRPr="00452A99">
        <w:t>behaviours</w:t>
      </w:r>
      <w:r w:rsidR="00A84F5A">
        <w:t xml:space="preserve"> and businesses</w:t>
      </w:r>
      <w:r w:rsidRPr="00452A99">
        <w:t xml:space="preserve"> they regulate</w:t>
      </w:r>
      <w:r>
        <w:t xml:space="preserve"> can</w:t>
      </w:r>
      <w:r w:rsidR="007853A8">
        <w:t xml:space="preserve"> — and do —</w:t>
      </w:r>
      <w:r>
        <w:t xml:space="preserve"> vary significantly</w:t>
      </w:r>
      <w:r w:rsidRPr="00452A99">
        <w:t>.</w:t>
      </w:r>
    </w:p>
    <w:p w14:paraId="7859524F" w14:textId="4ADDE54C" w:rsidR="00BD63DE" w:rsidRPr="00452A99" w:rsidRDefault="00EC757A" w:rsidP="00452A99">
      <w:r>
        <w:t>In addition, i</w:t>
      </w:r>
      <w:r w:rsidR="00BD63DE" w:rsidRPr="00452A99">
        <w:t>t is</w:t>
      </w:r>
      <w:r w:rsidR="00BD63DE">
        <w:t xml:space="preserve"> </w:t>
      </w:r>
      <w:r w:rsidR="00BD63DE" w:rsidRPr="00452A99">
        <w:t xml:space="preserve">important to consider </w:t>
      </w:r>
      <w:r w:rsidR="00BD63DE">
        <w:t xml:space="preserve">other </w:t>
      </w:r>
      <w:r w:rsidR="00BD63DE" w:rsidRPr="00452A99">
        <w:t xml:space="preserve">unintended consequences of changing the penalty structure. For example, </w:t>
      </w:r>
      <w:r w:rsidR="00AE4A24" w:rsidRPr="00452A99">
        <w:t xml:space="preserve">overly prescriptive </w:t>
      </w:r>
      <w:r w:rsidR="00BD63DE" w:rsidRPr="00452A99">
        <w:t>calculation methods may limit the broad discretionary power</w:t>
      </w:r>
      <w:r w:rsidR="00BD63DE">
        <w:t>s conferred on the</w:t>
      </w:r>
      <w:r w:rsidR="00BD63DE" w:rsidRPr="00452A99">
        <w:t xml:space="preserve"> courts </w:t>
      </w:r>
      <w:r w:rsidR="00BD63DE">
        <w:t>by</w:t>
      </w:r>
      <w:r w:rsidR="00BD63DE" w:rsidRPr="00452A99">
        <w:t xml:space="preserve"> the Fair Work Act.</w:t>
      </w:r>
    </w:p>
    <w:p w14:paraId="7D814B84" w14:textId="77777777" w:rsidR="009047C8" w:rsidRPr="009B1CA7" w:rsidRDefault="009047C8" w:rsidP="009047C8">
      <w:pPr>
        <w:pStyle w:val="Heading4"/>
      </w:pPr>
      <w:r>
        <w:t>Discussion questions</w:t>
      </w:r>
    </w:p>
    <w:p w14:paraId="47B9796A" w14:textId="28BB21F6" w:rsidR="009047C8" w:rsidRDefault="00113BEC" w:rsidP="007853A8">
      <w:pPr>
        <w:pStyle w:val="ListParagraph"/>
        <w:numPr>
          <w:ilvl w:val="0"/>
          <w:numId w:val="7"/>
        </w:numPr>
      </w:pPr>
      <w:r>
        <w:t>What level of</w:t>
      </w:r>
      <w:r w:rsidR="00A366BF" w:rsidRPr="009B1CA7">
        <w:t xml:space="preserve"> </w:t>
      </w:r>
      <w:r w:rsidR="009047C8">
        <w:t>further increase to</w:t>
      </w:r>
      <w:r w:rsidR="009047C8" w:rsidRPr="009B1CA7">
        <w:t xml:space="preserve"> the existing civil penalty regime in the Fair Work Act </w:t>
      </w:r>
      <w:r w:rsidR="0004407D">
        <w:t>c</w:t>
      </w:r>
      <w:r>
        <w:t>ould best generate</w:t>
      </w:r>
      <w:r w:rsidR="009047C8" w:rsidRPr="009B1CA7">
        <w:t xml:space="preserve"> compliance with workplace laws?</w:t>
      </w:r>
      <w:r w:rsidR="009F7AF9">
        <w:t xml:space="preserve"> </w:t>
      </w:r>
    </w:p>
    <w:p w14:paraId="394911E3" w14:textId="1402A423" w:rsidR="00D97A27" w:rsidRPr="009047C8" w:rsidRDefault="00E36110" w:rsidP="007853A8">
      <w:pPr>
        <w:pStyle w:val="ListParagraph"/>
        <w:numPr>
          <w:ilvl w:val="0"/>
          <w:numId w:val="7"/>
        </w:numPr>
      </w:pPr>
      <w:r>
        <w:t xml:space="preserve">What are some </w:t>
      </w:r>
      <w:r w:rsidR="00D97A27">
        <w:t>alternat</w:t>
      </w:r>
      <w:r w:rsidR="003B71C1">
        <w:t>iv</w:t>
      </w:r>
      <w:r w:rsidR="00D97A27">
        <w:t>e ways to calculate maximum penalties?</w:t>
      </w:r>
      <w:r w:rsidR="000A7F5C">
        <w:t xml:space="preserve"> For example, by reference to business size o</w:t>
      </w:r>
      <w:r w:rsidR="00A604DC">
        <w:t>r</w:t>
      </w:r>
      <w:r w:rsidR="000A7F5C">
        <w:t xml:space="preserve"> the size of the underpayment</w:t>
      </w:r>
      <w:r w:rsidR="0004407D">
        <w:t xml:space="preserve"> or some measure of culpability or fault</w:t>
      </w:r>
      <w:r w:rsidR="000A7F5C">
        <w:t>.</w:t>
      </w:r>
    </w:p>
    <w:p w14:paraId="3173A762" w14:textId="53B78F43" w:rsidR="009047C8" w:rsidRDefault="009047C8" w:rsidP="007853A8">
      <w:pPr>
        <w:pStyle w:val="ListParagraph"/>
        <w:numPr>
          <w:ilvl w:val="0"/>
          <w:numId w:val="7"/>
        </w:numPr>
      </w:pPr>
      <w:r w:rsidRPr="009047C8">
        <w:t xml:space="preserve">Should penalties for multiple instances of underpayment across a workforce and over time continue to be ‘grouped’ </w:t>
      </w:r>
      <w:r w:rsidR="00A84F5A">
        <w:t>by ‘</w:t>
      </w:r>
      <w:r w:rsidR="000A7F5C">
        <w:t>civil penalty provision’</w:t>
      </w:r>
      <w:r w:rsidR="00A84F5A">
        <w:t>, rather than by reference to the number of affected employees, period of the underpayments, or some other measure</w:t>
      </w:r>
      <w:r w:rsidRPr="009047C8">
        <w:t>?</w:t>
      </w:r>
    </w:p>
    <w:p w14:paraId="576B7D4B" w14:textId="77777777" w:rsidR="00E96973" w:rsidRPr="00EA0679" w:rsidRDefault="00E96973" w:rsidP="00E96973">
      <w:pPr>
        <w:pStyle w:val="Heading3"/>
        <w:rPr>
          <w:i/>
        </w:rPr>
      </w:pPr>
      <w:r w:rsidRPr="00EA0679">
        <w:rPr>
          <w:i/>
        </w:rPr>
        <w:t>Fair Work Amendment (Protecting Vulnerable Workers) Act 2017</w:t>
      </w:r>
    </w:p>
    <w:p w14:paraId="51B28F5F" w14:textId="594FEE61" w:rsidR="001C58CE" w:rsidRPr="001C58CE" w:rsidRDefault="00FE6F4E" w:rsidP="001C58CE">
      <w:pPr>
        <w:spacing w:before="120" w:after="120"/>
        <w:rPr>
          <w:rFonts w:eastAsia="Times New Roman"/>
          <w:bCs/>
          <w:lang w:eastAsia="en-AU"/>
        </w:rPr>
      </w:pPr>
      <w:r>
        <w:rPr>
          <w:rFonts w:eastAsia="Times New Roman"/>
          <w:bCs/>
          <w:lang w:eastAsia="en-AU"/>
        </w:rPr>
        <w:t>As noted above, t</w:t>
      </w:r>
      <w:r w:rsidR="009014E0">
        <w:rPr>
          <w:rFonts w:eastAsia="Times New Roman"/>
          <w:bCs/>
          <w:lang w:eastAsia="en-AU"/>
        </w:rPr>
        <w:t xml:space="preserve">he </w:t>
      </w:r>
      <w:r w:rsidRPr="006210DD">
        <w:t>Protecting Vulnerable Workers</w:t>
      </w:r>
      <w:r w:rsidRPr="006210DD">
        <w:rPr>
          <w:bCs/>
        </w:rPr>
        <w:t xml:space="preserve"> A</w:t>
      </w:r>
      <w:r>
        <w:rPr>
          <w:bCs/>
        </w:rPr>
        <w:t>ct</w:t>
      </w:r>
      <w:r w:rsidR="00EA0679">
        <w:rPr>
          <w:rFonts w:eastAsia="Times New Roman"/>
          <w:bCs/>
          <w:lang w:eastAsia="en-AU"/>
        </w:rPr>
        <w:t xml:space="preserve"> introduced a higher scale of penalties for ‘serious contravention</w:t>
      </w:r>
      <w:r w:rsidR="00867CCD">
        <w:rPr>
          <w:rFonts w:eastAsia="Times New Roman"/>
          <w:bCs/>
          <w:lang w:eastAsia="en-AU"/>
        </w:rPr>
        <w:t>s’ of prescribed workplace laws. Deliberate and</w:t>
      </w:r>
      <w:r w:rsidR="001C58CE" w:rsidRPr="001C58CE">
        <w:rPr>
          <w:rFonts w:eastAsia="Times New Roman"/>
          <w:bCs/>
          <w:lang w:eastAsia="en-AU"/>
        </w:rPr>
        <w:t xml:space="preserve"> systematic co</w:t>
      </w:r>
      <w:r w:rsidR="001C58CE">
        <w:rPr>
          <w:rFonts w:eastAsia="Times New Roman"/>
          <w:bCs/>
          <w:lang w:eastAsia="en-AU"/>
        </w:rPr>
        <w:t xml:space="preserve">ntraventions of </w:t>
      </w:r>
      <w:r w:rsidR="00BF08D7">
        <w:rPr>
          <w:rFonts w:eastAsia="Times New Roman"/>
          <w:bCs/>
          <w:lang w:eastAsia="en-AU"/>
        </w:rPr>
        <w:t xml:space="preserve">these </w:t>
      </w:r>
      <w:r w:rsidR="001C58CE">
        <w:rPr>
          <w:rFonts w:eastAsia="Times New Roman"/>
          <w:bCs/>
          <w:lang w:eastAsia="en-AU"/>
        </w:rPr>
        <w:t>workplace laws</w:t>
      </w:r>
      <w:r w:rsidR="001C58CE" w:rsidRPr="001C58CE">
        <w:rPr>
          <w:rFonts w:eastAsia="Times New Roman"/>
          <w:bCs/>
          <w:lang w:eastAsia="en-AU"/>
        </w:rPr>
        <w:t xml:space="preserve"> now </w:t>
      </w:r>
      <w:r w:rsidR="001C58CE">
        <w:rPr>
          <w:rFonts w:eastAsia="Times New Roman"/>
          <w:bCs/>
          <w:lang w:eastAsia="en-AU"/>
        </w:rPr>
        <w:t xml:space="preserve">carry a penalty of </w:t>
      </w:r>
      <w:r w:rsidR="001C58CE" w:rsidRPr="001C58CE">
        <w:rPr>
          <w:rFonts w:eastAsia="Times New Roman"/>
          <w:bCs/>
          <w:lang w:eastAsia="en-AU"/>
        </w:rPr>
        <w:t xml:space="preserve">up to $630,000 </w:t>
      </w:r>
      <w:r w:rsidR="00A84F5A">
        <w:rPr>
          <w:rFonts w:eastAsia="Times New Roman"/>
          <w:bCs/>
          <w:lang w:eastAsia="en-AU"/>
        </w:rPr>
        <w:t xml:space="preserve">per contravention </w:t>
      </w:r>
      <w:r w:rsidR="001C58CE" w:rsidRPr="001C58CE">
        <w:rPr>
          <w:rFonts w:eastAsia="Times New Roman"/>
          <w:bCs/>
          <w:lang w:eastAsia="en-AU"/>
        </w:rPr>
        <w:t>for compani</w:t>
      </w:r>
      <w:r w:rsidR="001C58CE">
        <w:rPr>
          <w:rFonts w:eastAsia="Times New Roman"/>
          <w:bCs/>
          <w:lang w:eastAsia="en-AU"/>
        </w:rPr>
        <w:t xml:space="preserve">es and $126,000 </w:t>
      </w:r>
      <w:r w:rsidR="00A84F5A">
        <w:rPr>
          <w:rFonts w:eastAsia="Times New Roman"/>
          <w:bCs/>
          <w:lang w:eastAsia="en-AU"/>
        </w:rPr>
        <w:t>per contravention</w:t>
      </w:r>
      <w:r w:rsidR="001C58CE">
        <w:rPr>
          <w:rFonts w:eastAsia="Times New Roman"/>
          <w:bCs/>
          <w:lang w:eastAsia="en-AU"/>
        </w:rPr>
        <w:t xml:space="preserve"> for individuals</w:t>
      </w:r>
      <w:r w:rsidR="00BF08D7">
        <w:rPr>
          <w:rFonts w:eastAsia="Times New Roman"/>
          <w:bCs/>
          <w:lang w:eastAsia="en-AU"/>
        </w:rPr>
        <w:t xml:space="preserve">, a </w:t>
      </w:r>
      <w:r w:rsidR="00BF08D7" w:rsidRPr="00B03ED3">
        <w:rPr>
          <w:rFonts w:eastAsia="Times New Roman"/>
          <w:bCs/>
          <w:lang w:eastAsia="en-AU"/>
        </w:rPr>
        <w:t>ten</w:t>
      </w:r>
      <w:r w:rsidR="005D2830" w:rsidRPr="00B03ED3">
        <w:rPr>
          <w:rFonts w:eastAsia="Times New Roman"/>
          <w:bCs/>
          <w:lang w:eastAsia="en-AU"/>
        </w:rPr>
        <w:t>-</w:t>
      </w:r>
      <w:r w:rsidR="00BF08D7" w:rsidRPr="00B03ED3">
        <w:rPr>
          <w:rFonts w:eastAsia="Times New Roman"/>
          <w:bCs/>
          <w:lang w:eastAsia="en-AU"/>
        </w:rPr>
        <w:t>fold increase on the previous maximum penalty</w:t>
      </w:r>
      <w:r w:rsidR="001C58CE">
        <w:rPr>
          <w:rFonts w:eastAsia="Times New Roman"/>
          <w:bCs/>
          <w:lang w:eastAsia="en-AU"/>
        </w:rPr>
        <w:t xml:space="preserve">. </w:t>
      </w:r>
      <w:r w:rsidR="00867CCD">
        <w:rPr>
          <w:rFonts w:eastAsia="Times New Roman"/>
          <w:bCs/>
          <w:lang w:eastAsia="en-AU"/>
        </w:rPr>
        <w:t>Additional measures</w:t>
      </w:r>
      <w:r w:rsidR="0004407D">
        <w:rPr>
          <w:rFonts w:eastAsia="Times New Roman"/>
          <w:bCs/>
          <w:lang w:eastAsia="en-AU"/>
        </w:rPr>
        <w:t xml:space="preserve"> introduced </w:t>
      </w:r>
      <w:r w:rsidR="001267B3">
        <w:rPr>
          <w:rFonts w:eastAsia="Times New Roman"/>
          <w:bCs/>
          <w:lang w:eastAsia="en-AU"/>
        </w:rPr>
        <w:t xml:space="preserve">through the Protecting Vulnerable Workers Act </w:t>
      </w:r>
      <w:r w:rsidR="001C58CE">
        <w:rPr>
          <w:rFonts w:eastAsia="Times New Roman"/>
          <w:bCs/>
          <w:lang w:eastAsia="en-AU"/>
        </w:rPr>
        <w:t>include:</w:t>
      </w:r>
    </w:p>
    <w:p w14:paraId="4A330348" w14:textId="0FDBC510" w:rsidR="00B720BA" w:rsidRDefault="001C58CE" w:rsidP="00B720BA">
      <w:pPr>
        <w:pStyle w:val="ListParagraph"/>
        <w:numPr>
          <w:ilvl w:val="0"/>
          <w:numId w:val="7"/>
        </w:numPr>
        <w:spacing w:before="120" w:after="120"/>
        <w:rPr>
          <w:rFonts w:eastAsia="Times New Roman"/>
          <w:bCs/>
          <w:lang w:eastAsia="en-AU"/>
        </w:rPr>
      </w:pPr>
      <w:r w:rsidRPr="00B720BA">
        <w:rPr>
          <w:rFonts w:eastAsia="Times New Roman"/>
          <w:bCs/>
          <w:lang w:eastAsia="en-AU"/>
        </w:rPr>
        <w:t>doubling of penalties for record-keeping and pay slip breaches</w:t>
      </w:r>
    </w:p>
    <w:p w14:paraId="2211BDD8" w14:textId="479C6735" w:rsidR="00B720BA" w:rsidRDefault="001C58CE" w:rsidP="00B720BA">
      <w:pPr>
        <w:pStyle w:val="ListParagraph"/>
        <w:numPr>
          <w:ilvl w:val="0"/>
          <w:numId w:val="7"/>
        </w:numPr>
        <w:spacing w:before="120" w:after="120"/>
        <w:rPr>
          <w:rFonts w:eastAsia="Times New Roman"/>
          <w:bCs/>
          <w:lang w:eastAsia="en-AU"/>
        </w:rPr>
      </w:pPr>
      <w:r w:rsidRPr="00B720BA">
        <w:rPr>
          <w:rFonts w:eastAsia="Times New Roman"/>
          <w:bCs/>
          <w:lang w:eastAsia="en-AU"/>
        </w:rPr>
        <w:t>extending liability to franchisors and holding companies for breaches by their networks where they knew or could reasonably be expected to have known of contraventions, and failed to take reasonable steps to address them</w:t>
      </w:r>
    </w:p>
    <w:p w14:paraId="1DACD566" w14:textId="540F6820" w:rsidR="00B720BA" w:rsidRDefault="001C58CE" w:rsidP="00B720BA">
      <w:pPr>
        <w:pStyle w:val="ListParagraph"/>
        <w:numPr>
          <w:ilvl w:val="0"/>
          <w:numId w:val="7"/>
        </w:numPr>
        <w:spacing w:before="120" w:after="120"/>
        <w:rPr>
          <w:rFonts w:eastAsia="Times New Roman"/>
          <w:bCs/>
          <w:lang w:eastAsia="en-AU"/>
        </w:rPr>
      </w:pPr>
      <w:r w:rsidRPr="00B720BA">
        <w:rPr>
          <w:rFonts w:eastAsia="Times New Roman"/>
          <w:bCs/>
          <w:lang w:eastAsia="en-AU"/>
        </w:rPr>
        <w:t>additional evidence gathering powers for the FWO, including the power to compel witnesses to provide evidence or attend an interview</w:t>
      </w:r>
    </w:p>
    <w:p w14:paraId="0A8359F0" w14:textId="39326E1B" w:rsidR="00B720BA" w:rsidRDefault="001C58CE" w:rsidP="00B720BA">
      <w:pPr>
        <w:pStyle w:val="ListParagraph"/>
        <w:numPr>
          <w:ilvl w:val="0"/>
          <w:numId w:val="7"/>
        </w:numPr>
        <w:spacing w:before="120" w:after="120"/>
        <w:rPr>
          <w:rFonts w:eastAsia="Times New Roman"/>
          <w:bCs/>
          <w:lang w:eastAsia="en-AU"/>
        </w:rPr>
      </w:pPr>
      <w:r w:rsidRPr="00B720BA">
        <w:rPr>
          <w:rFonts w:eastAsia="Times New Roman"/>
          <w:bCs/>
          <w:lang w:eastAsia="en-AU"/>
        </w:rPr>
        <w:t>outlawing cash</w:t>
      </w:r>
      <w:r w:rsidR="007853A8">
        <w:rPr>
          <w:rFonts w:eastAsia="Times New Roman"/>
          <w:bCs/>
          <w:lang w:eastAsia="en-AU"/>
        </w:rPr>
        <w:t xml:space="preserve">back arrangements </w:t>
      </w:r>
      <w:r w:rsidR="007853A8">
        <w:t>—</w:t>
      </w:r>
      <w:r w:rsidR="00867CCD" w:rsidRPr="00B720BA">
        <w:rPr>
          <w:rFonts w:eastAsia="Times New Roman"/>
          <w:bCs/>
          <w:lang w:eastAsia="en-AU"/>
        </w:rPr>
        <w:t xml:space="preserve"> making it unlawfu</w:t>
      </w:r>
      <w:r w:rsidRPr="00B720BA">
        <w:rPr>
          <w:rFonts w:eastAsia="Times New Roman"/>
          <w:bCs/>
          <w:lang w:eastAsia="en-AU"/>
        </w:rPr>
        <w:t>l for an employer to pay an employee and then make them give some, or all, of it back</w:t>
      </w:r>
    </w:p>
    <w:p w14:paraId="6C1E0249" w14:textId="6B3C2C4B" w:rsidR="00B720BA" w:rsidRDefault="001C58CE" w:rsidP="00B720BA">
      <w:pPr>
        <w:pStyle w:val="ListParagraph"/>
        <w:numPr>
          <w:ilvl w:val="0"/>
          <w:numId w:val="7"/>
        </w:numPr>
        <w:spacing w:before="120" w:after="120"/>
        <w:rPr>
          <w:rFonts w:eastAsia="Times New Roman"/>
          <w:bCs/>
          <w:lang w:eastAsia="en-AU"/>
        </w:rPr>
      </w:pPr>
      <w:r w:rsidRPr="00B720BA">
        <w:rPr>
          <w:rFonts w:eastAsia="Times New Roman"/>
          <w:bCs/>
          <w:lang w:eastAsia="en-AU"/>
        </w:rPr>
        <w:t>new provisions and penalties for hindering an investigation, or providing false or misleading information, documents or employment records</w:t>
      </w:r>
    </w:p>
    <w:p w14:paraId="564A89E7" w14:textId="77777777" w:rsidR="001C58CE" w:rsidRDefault="00867CCD" w:rsidP="00B720BA">
      <w:pPr>
        <w:pStyle w:val="ListParagraph"/>
        <w:numPr>
          <w:ilvl w:val="0"/>
          <w:numId w:val="7"/>
        </w:numPr>
        <w:spacing w:before="120" w:after="120"/>
        <w:rPr>
          <w:rFonts w:eastAsia="Times New Roman"/>
          <w:bCs/>
          <w:lang w:eastAsia="en-AU"/>
        </w:rPr>
      </w:pPr>
      <w:proofErr w:type="gramStart"/>
      <w:r w:rsidRPr="00B720BA">
        <w:rPr>
          <w:rFonts w:eastAsia="Times New Roman"/>
          <w:bCs/>
          <w:lang w:eastAsia="en-AU"/>
        </w:rPr>
        <w:t>a</w:t>
      </w:r>
      <w:proofErr w:type="gramEnd"/>
      <w:r w:rsidRPr="00B720BA">
        <w:rPr>
          <w:rFonts w:eastAsia="Times New Roman"/>
          <w:bCs/>
          <w:lang w:eastAsia="en-AU"/>
        </w:rPr>
        <w:t xml:space="preserve"> reverse</w:t>
      </w:r>
      <w:r w:rsidR="001C58CE" w:rsidRPr="00B720BA">
        <w:rPr>
          <w:rFonts w:eastAsia="Times New Roman"/>
          <w:bCs/>
          <w:lang w:eastAsia="en-AU"/>
        </w:rPr>
        <w:t xml:space="preserve"> onus of proof in</w:t>
      </w:r>
      <w:r w:rsidRPr="00B720BA">
        <w:rPr>
          <w:rFonts w:eastAsia="Times New Roman"/>
          <w:bCs/>
          <w:lang w:eastAsia="en-AU"/>
        </w:rPr>
        <w:t xml:space="preserve"> underpayment cases</w:t>
      </w:r>
      <w:r w:rsidR="001C58CE" w:rsidRPr="00B720BA">
        <w:rPr>
          <w:rFonts w:eastAsia="Times New Roman"/>
          <w:bCs/>
          <w:lang w:eastAsia="en-AU"/>
        </w:rPr>
        <w:t>, so employers that fail to keep records or issue pay slips have to disprove an allegation of underpayment.</w:t>
      </w:r>
    </w:p>
    <w:p w14:paraId="05271F98" w14:textId="44A01CBE" w:rsidR="00F01E57" w:rsidRPr="00BD63DE" w:rsidRDefault="00F01E57" w:rsidP="00BD63DE">
      <w:pPr>
        <w:pStyle w:val="Heading4"/>
      </w:pPr>
      <w:r w:rsidRPr="00BD63DE">
        <w:t>Issues</w:t>
      </w:r>
    </w:p>
    <w:p w14:paraId="6E749107" w14:textId="7830ECB0" w:rsidR="00F01E57" w:rsidRDefault="00A22338" w:rsidP="00A22338">
      <w:pPr>
        <w:spacing w:before="120" w:after="120"/>
        <w:rPr>
          <w:lang w:eastAsia="en-AU"/>
        </w:rPr>
      </w:pPr>
      <w:r>
        <w:rPr>
          <w:lang w:eastAsia="en-AU"/>
        </w:rPr>
        <w:t>Although the FWO has commenced court action alleging contraventions of some of these new provisions, the provisions remain relatively untested</w:t>
      </w:r>
      <w:r w:rsidR="00BD63DE">
        <w:rPr>
          <w:lang w:eastAsia="en-AU"/>
        </w:rPr>
        <w:t>. T</w:t>
      </w:r>
      <w:r w:rsidR="000E1BCD" w:rsidRPr="000E1BCD">
        <w:rPr>
          <w:lang w:eastAsia="en-AU"/>
        </w:rPr>
        <w:t xml:space="preserve">he first decision in </w:t>
      </w:r>
      <w:r w:rsidR="000E1BCD">
        <w:rPr>
          <w:lang w:eastAsia="en-AU"/>
        </w:rPr>
        <w:t xml:space="preserve">one of these </w:t>
      </w:r>
      <w:r w:rsidR="000E1BCD" w:rsidRPr="000E1BCD">
        <w:rPr>
          <w:lang w:eastAsia="en-AU"/>
        </w:rPr>
        <w:t>matter</w:t>
      </w:r>
      <w:r w:rsidR="000E1BCD">
        <w:rPr>
          <w:lang w:eastAsia="en-AU"/>
        </w:rPr>
        <w:t>s</w:t>
      </w:r>
      <w:r w:rsidR="000E1BCD" w:rsidRPr="000E1BCD">
        <w:rPr>
          <w:lang w:eastAsia="en-AU"/>
        </w:rPr>
        <w:t xml:space="preserve"> </w:t>
      </w:r>
      <w:r w:rsidR="000E1BCD">
        <w:rPr>
          <w:lang w:eastAsia="en-AU"/>
        </w:rPr>
        <w:t xml:space="preserve">was </w:t>
      </w:r>
      <w:r w:rsidR="00BD63DE">
        <w:rPr>
          <w:lang w:eastAsia="en-AU"/>
        </w:rPr>
        <w:t>finalised</w:t>
      </w:r>
      <w:r w:rsidR="000E1BCD">
        <w:rPr>
          <w:lang w:eastAsia="en-AU"/>
        </w:rPr>
        <w:t xml:space="preserve"> in August 2019. The court awarded penalties </w:t>
      </w:r>
      <w:r w:rsidR="000E1BCD" w:rsidRPr="000E1BCD">
        <w:rPr>
          <w:lang w:eastAsia="en-AU"/>
        </w:rPr>
        <w:t>of $125,700 against the operators of two sushi outlets in Queensland</w:t>
      </w:r>
      <w:r w:rsidR="00BD63DE">
        <w:rPr>
          <w:lang w:eastAsia="en-AU"/>
        </w:rPr>
        <w:t xml:space="preserve"> for underpaying </w:t>
      </w:r>
      <w:r w:rsidR="00A84F5A">
        <w:rPr>
          <w:lang w:eastAsia="en-AU"/>
        </w:rPr>
        <w:t>employee</w:t>
      </w:r>
      <w:r w:rsidR="00BD63DE">
        <w:rPr>
          <w:lang w:eastAsia="en-AU"/>
        </w:rPr>
        <w:t>s, and failing to make and keep accurate employment records</w:t>
      </w:r>
      <w:r>
        <w:rPr>
          <w:lang w:eastAsia="en-AU"/>
        </w:rPr>
        <w:t>.</w:t>
      </w:r>
      <w:r w:rsidR="000E1BCD">
        <w:rPr>
          <w:rStyle w:val="FootnoteReference"/>
          <w:lang w:eastAsia="en-AU"/>
        </w:rPr>
        <w:footnoteReference w:id="13"/>
      </w:r>
      <w:r>
        <w:rPr>
          <w:lang w:eastAsia="en-AU"/>
        </w:rPr>
        <w:t xml:space="preserve"> </w:t>
      </w:r>
    </w:p>
    <w:p w14:paraId="4D7B9018" w14:textId="01BF605C" w:rsidR="00F01E57" w:rsidRPr="00BD63DE" w:rsidRDefault="00F01E57" w:rsidP="00BD63DE">
      <w:pPr>
        <w:pStyle w:val="Heading4"/>
      </w:pPr>
      <w:r w:rsidRPr="00BD63DE">
        <w:t xml:space="preserve">Reform </w:t>
      </w:r>
      <w:r w:rsidR="0073777E">
        <w:t>o</w:t>
      </w:r>
      <w:r w:rsidRPr="00BD63DE">
        <w:t>ptions</w:t>
      </w:r>
    </w:p>
    <w:p w14:paraId="0499459A" w14:textId="18F8D060" w:rsidR="00A22338" w:rsidRPr="00A22338" w:rsidRDefault="00A23CF5" w:rsidP="00A22338">
      <w:pPr>
        <w:spacing w:before="120" w:after="120"/>
        <w:rPr>
          <w:rFonts w:eastAsia="Times New Roman"/>
          <w:bCs/>
          <w:lang w:eastAsia="en-AU"/>
        </w:rPr>
      </w:pPr>
      <w:r>
        <w:rPr>
          <w:lang w:eastAsia="en-AU"/>
        </w:rPr>
        <w:t xml:space="preserve">The </w:t>
      </w:r>
      <w:r w:rsidR="00A22338">
        <w:rPr>
          <w:lang w:eastAsia="en-AU"/>
        </w:rPr>
        <w:t xml:space="preserve">Government welcomes feedback on whether, and to what extent, the 2017 amendments have </w:t>
      </w:r>
      <w:r w:rsidR="00EB27C5">
        <w:rPr>
          <w:lang w:eastAsia="en-AU"/>
        </w:rPr>
        <w:t xml:space="preserve">had an effect on </w:t>
      </w:r>
      <w:r w:rsidR="00A22338">
        <w:rPr>
          <w:lang w:eastAsia="en-AU"/>
        </w:rPr>
        <w:t>behaviour</w:t>
      </w:r>
      <w:r w:rsidR="007518DF">
        <w:rPr>
          <w:lang w:eastAsia="en-AU"/>
        </w:rPr>
        <w:t>,</w:t>
      </w:r>
      <w:r w:rsidR="00F01E57">
        <w:rPr>
          <w:lang w:eastAsia="en-AU"/>
        </w:rPr>
        <w:t xml:space="preserve"> or </w:t>
      </w:r>
      <w:r w:rsidR="007518DF">
        <w:rPr>
          <w:lang w:eastAsia="en-AU"/>
        </w:rPr>
        <w:t xml:space="preserve">if the amendments </w:t>
      </w:r>
      <w:r w:rsidR="00F01E57">
        <w:rPr>
          <w:lang w:eastAsia="en-AU"/>
        </w:rPr>
        <w:t xml:space="preserve">require </w:t>
      </w:r>
      <w:r w:rsidR="007518DF">
        <w:rPr>
          <w:lang w:eastAsia="en-AU"/>
        </w:rPr>
        <w:t xml:space="preserve">further </w:t>
      </w:r>
      <w:r w:rsidR="00F01E57">
        <w:rPr>
          <w:lang w:eastAsia="en-AU"/>
        </w:rPr>
        <w:t>modification</w:t>
      </w:r>
      <w:r w:rsidR="007518DF">
        <w:rPr>
          <w:lang w:eastAsia="en-AU"/>
        </w:rPr>
        <w:t xml:space="preserve"> or more time to properly monitor their impact</w:t>
      </w:r>
      <w:r w:rsidR="00A22338">
        <w:rPr>
          <w:lang w:eastAsia="en-AU"/>
        </w:rPr>
        <w:t>.</w:t>
      </w:r>
    </w:p>
    <w:p w14:paraId="070FE0E4" w14:textId="77777777" w:rsidR="00E96973" w:rsidRDefault="00E96973" w:rsidP="00E96973">
      <w:pPr>
        <w:pStyle w:val="Heading4"/>
      </w:pPr>
      <w:r>
        <w:t>Discussion questions</w:t>
      </w:r>
    </w:p>
    <w:p w14:paraId="07334A4C" w14:textId="610D0F16" w:rsidR="00EF5B62" w:rsidRPr="00EF5B62" w:rsidRDefault="00EF5B62" w:rsidP="00EF5B62">
      <w:pPr>
        <w:pStyle w:val="NormalWeb"/>
        <w:numPr>
          <w:ilvl w:val="0"/>
          <w:numId w:val="7"/>
        </w:numPr>
        <w:spacing w:before="0" w:beforeAutospacing="0" w:after="200" w:afterAutospacing="0" w:line="276" w:lineRule="auto"/>
        <w:ind w:left="714" w:hanging="357"/>
        <w:contextualSpacing/>
        <w:rPr>
          <w:rFonts w:asciiTheme="minorHAnsi" w:hAnsiTheme="minorHAnsi" w:cstheme="minorHAnsi"/>
          <w:bCs/>
          <w:sz w:val="22"/>
          <w:szCs w:val="22"/>
        </w:rPr>
      </w:pPr>
      <w:r w:rsidRPr="00EF5B62">
        <w:rPr>
          <w:rFonts w:asciiTheme="minorHAnsi" w:hAnsiTheme="minorHAnsi" w:cstheme="minorHAnsi"/>
          <w:bCs/>
          <w:sz w:val="22"/>
          <w:szCs w:val="22"/>
        </w:rPr>
        <w:t>Have the amendments</w:t>
      </w:r>
      <w:r w:rsidR="0004407D">
        <w:rPr>
          <w:rFonts w:asciiTheme="minorHAnsi" w:hAnsiTheme="minorHAnsi" w:cstheme="minorHAnsi"/>
          <w:bCs/>
          <w:sz w:val="22"/>
          <w:szCs w:val="22"/>
        </w:rPr>
        <w:t xml:space="preserve"> effect</w:t>
      </w:r>
      <w:r w:rsidR="0032280E">
        <w:rPr>
          <w:rFonts w:asciiTheme="minorHAnsi" w:hAnsiTheme="minorHAnsi" w:cstheme="minorHAnsi"/>
          <w:bCs/>
          <w:sz w:val="22"/>
          <w:szCs w:val="22"/>
        </w:rPr>
        <w:t>ed</w:t>
      </w:r>
      <w:r w:rsidR="0004407D">
        <w:rPr>
          <w:rFonts w:asciiTheme="minorHAnsi" w:hAnsiTheme="minorHAnsi" w:cstheme="minorHAnsi"/>
          <w:bCs/>
          <w:sz w:val="22"/>
          <w:szCs w:val="22"/>
        </w:rPr>
        <w:t xml:space="preserve"> by the Protecting Vulnerable Workers Act</w:t>
      </w:r>
      <w:r w:rsidRPr="00EF5B62">
        <w:rPr>
          <w:rFonts w:asciiTheme="minorHAnsi" w:hAnsiTheme="minorHAnsi" w:cstheme="minorHAnsi"/>
          <w:bCs/>
          <w:sz w:val="22"/>
          <w:szCs w:val="22"/>
        </w:rPr>
        <w:t xml:space="preserve">, </w:t>
      </w:r>
      <w:r w:rsidR="000A7F5C">
        <w:rPr>
          <w:rFonts w:asciiTheme="minorHAnsi" w:hAnsiTheme="minorHAnsi" w:cstheme="minorHAnsi"/>
          <w:bCs/>
          <w:sz w:val="22"/>
          <w:szCs w:val="22"/>
        </w:rPr>
        <w:t xml:space="preserve">coupled with </w:t>
      </w:r>
      <w:r w:rsidRPr="00EF5B62">
        <w:rPr>
          <w:rFonts w:asciiTheme="minorHAnsi" w:hAnsiTheme="minorHAnsi" w:cstheme="minorHAnsi"/>
          <w:bCs/>
          <w:sz w:val="22"/>
          <w:szCs w:val="22"/>
        </w:rPr>
        <w:t xml:space="preserve">the FWO’s </w:t>
      </w:r>
      <w:r w:rsidR="000A7F5C">
        <w:rPr>
          <w:rFonts w:asciiTheme="minorHAnsi" w:hAnsiTheme="minorHAnsi" w:cstheme="minorHAnsi"/>
          <w:bCs/>
          <w:sz w:val="22"/>
          <w:szCs w:val="22"/>
        </w:rPr>
        <w:t xml:space="preserve">education, compliance and </w:t>
      </w:r>
      <w:r w:rsidRPr="00EF5B62">
        <w:rPr>
          <w:rFonts w:asciiTheme="minorHAnsi" w:hAnsiTheme="minorHAnsi" w:cstheme="minorHAnsi"/>
          <w:bCs/>
          <w:sz w:val="22"/>
          <w:szCs w:val="22"/>
        </w:rPr>
        <w:t xml:space="preserve">enforcement activities, </w:t>
      </w:r>
      <w:proofErr w:type="gramStart"/>
      <w:r w:rsidRPr="00EF5B62">
        <w:rPr>
          <w:rFonts w:asciiTheme="minorHAnsi" w:hAnsiTheme="minorHAnsi" w:cstheme="minorHAnsi"/>
          <w:bCs/>
          <w:sz w:val="22"/>
          <w:szCs w:val="22"/>
        </w:rPr>
        <w:t>influenced</w:t>
      </w:r>
      <w:proofErr w:type="gramEnd"/>
      <w:r w:rsidRPr="00EF5B62">
        <w:rPr>
          <w:rFonts w:asciiTheme="minorHAnsi" w:hAnsiTheme="minorHAnsi" w:cstheme="minorHAnsi"/>
          <w:bCs/>
          <w:sz w:val="22"/>
          <w:szCs w:val="22"/>
        </w:rPr>
        <w:t xml:space="preserve"> </w:t>
      </w:r>
      <w:r w:rsidR="000A6DCE">
        <w:rPr>
          <w:rFonts w:asciiTheme="minorHAnsi" w:hAnsiTheme="minorHAnsi" w:cstheme="minorHAnsi"/>
          <w:bCs/>
          <w:sz w:val="22"/>
          <w:szCs w:val="22"/>
        </w:rPr>
        <w:t xml:space="preserve">employer </w:t>
      </w:r>
      <w:r w:rsidRPr="00EF5B62">
        <w:rPr>
          <w:rFonts w:asciiTheme="minorHAnsi" w:hAnsiTheme="minorHAnsi" w:cstheme="minorHAnsi"/>
          <w:bCs/>
          <w:sz w:val="22"/>
          <w:szCs w:val="22"/>
        </w:rPr>
        <w:t>behaviour? In what way?</w:t>
      </w:r>
    </w:p>
    <w:p w14:paraId="55B5F351" w14:textId="5F3E7A07" w:rsidR="00EF5B62" w:rsidRPr="00EF5B62" w:rsidRDefault="00E96973" w:rsidP="00EF5B62">
      <w:pPr>
        <w:pStyle w:val="NormalWeb"/>
        <w:numPr>
          <w:ilvl w:val="0"/>
          <w:numId w:val="7"/>
        </w:numPr>
        <w:spacing w:before="0" w:beforeAutospacing="0" w:after="200" w:afterAutospacing="0" w:line="276" w:lineRule="auto"/>
        <w:ind w:left="714" w:hanging="357"/>
        <w:contextualSpacing/>
        <w:rPr>
          <w:rFonts w:asciiTheme="minorHAnsi" w:hAnsiTheme="minorHAnsi" w:cstheme="minorHAnsi"/>
          <w:bCs/>
          <w:sz w:val="22"/>
          <w:szCs w:val="22"/>
        </w:rPr>
      </w:pPr>
      <w:r w:rsidRPr="00EF5B62">
        <w:rPr>
          <w:rFonts w:asciiTheme="minorHAnsi" w:hAnsiTheme="minorHAnsi" w:cstheme="minorHAnsi"/>
          <w:bCs/>
          <w:sz w:val="22"/>
          <w:szCs w:val="22"/>
        </w:rPr>
        <w:t>Has the new ‘serious contravention’ category in the Fair Work Act had</w:t>
      </w:r>
      <w:r w:rsidR="0004407D">
        <w:rPr>
          <w:rFonts w:asciiTheme="minorHAnsi" w:hAnsiTheme="minorHAnsi" w:cstheme="minorHAnsi"/>
          <w:bCs/>
          <w:sz w:val="22"/>
          <w:szCs w:val="22"/>
        </w:rPr>
        <w:t>, or is</w:t>
      </w:r>
      <w:r w:rsidR="0032280E">
        <w:rPr>
          <w:rFonts w:asciiTheme="minorHAnsi" w:hAnsiTheme="minorHAnsi" w:cstheme="minorHAnsi"/>
          <w:bCs/>
          <w:sz w:val="22"/>
          <w:szCs w:val="22"/>
        </w:rPr>
        <w:t xml:space="preserve"> it</w:t>
      </w:r>
      <w:r w:rsidR="0004407D">
        <w:rPr>
          <w:rFonts w:asciiTheme="minorHAnsi" w:hAnsiTheme="minorHAnsi" w:cstheme="minorHAnsi"/>
          <w:bCs/>
          <w:sz w:val="22"/>
          <w:szCs w:val="22"/>
        </w:rPr>
        <w:t xml:space="preserve"> likely to have,</w:t>
      </w:r>
      <w:r w:rsidRPr="00EF5B62">
        <w:rPr>
          <w:rFonts w:asciiTheme="minorHAnsi" w:hAnsiTheme="minorHAnsi" w:cstheme="minorHAnsi"/>
          <w:bCs/>
          <w:sz w:val="22"/>
          <w:szCs w:val="22"/>
        </w:rPr>
        <w:t xml:space="preserve"> a sufficient deterrent effect?</w:t>
      </w:r>
    </w:p>
    <w:p w14:paraId="14D68392" w14:textId="77777777" w:rsidR="007D5217" w:rsidRDefault="00FC09CF" w:rsidP="00DE1D22">
      <w:pPr>
        <w:pStyle w:val="Heading3"/>
        <w:keepLines/>
        <w:spacing w:before="40" w:after="0" w:line="259" w:lineRule="auto"/>
      </w:pPr>
      <w:bookmarkStart w:id="1" w:name="_Toc13646986"/>
      <w:r>
        <w:t xml:space="preserve">Extending </w:t>
      </w:r>
      <w:r w:rsidR="006210DD">
        <w:t>liability</w:t>
      </w:r>
    </w:p>
    <w:p w14:paraId="690C8877" w14:textId="2D0609E2" w:rsidR="006F43C2" w:rsidRDefault="006F43C2" w:rsidP="001267B3">
      <w:r>
        <w:t>As a general legal concept,</w:t>
      </w:r>
      <w:r w:rsidRPr="006F43C2">
        <w:t xml:space="preserve"> </w:t>
      </w:r>
      <w:r>
        <w:t xml:space="preserve">a person is an accessory to </w:t>
      </w:r>
      <w:r w:rsidR="0032280E">
        <w:t>an</w:t>
      </w:r>
      <w:r>
        <w:t xml:space="preserve"> unlawful act (or omission) of another person where</w:t>
      </w:r>
      <w:r w:rsidR="001267B3" w:rsidRPr="001267B3">
        <w:t xml:space="preserve"> </w:t>
      </w:r>
      <w:r w:rsidR="001267B3">
        <w:t>they participated in</w:t>
      </w:r>
      <w:r w:rsidR="00203413">
        <w:t xml:space="preserve">, but did not </w:t>
      </w:r>
      <w:r w:rsidR="0038663F">
        <w:t xml:space="preserve">directly </w:t>
      </w:r>
      <w:r w:rsidR="00203413">
        <w:t>commit,</w:t>
      </w:r>
      <w:r w:rsidR="001267B3">
        <w:t xml:space="preserve"> the unlawful act </w:t>
      </w:r>
      <w:r w:rsidR="0004611E">
        <w:t>(</w:t>
      </w:r>
      <w:r w:rsidR="001267B3">
        <w:t>or omission</w:t>
      </w:r>
      <w:r w:rsidR="0004611E">
        <w:t>)</w:t>
      </w:r>
      <w:r w:rsidR="001267B3">
        <w:t xml:space="preserve"> to such an extent that it would be appropriate to hold that person liable</w:t>
      </w:r>
      <w:r w:rsidR="006835F5">
        <w:t>.</w:t>
      </w:r>
      <w:r>
        <w:t xml:space="preserve">  </w:t>
      </w:r>
    </w:p>
    <w:p w14:paraId="0482296C" w14:textId="06BB5EC2" w:rsidR="002160FD" w:rsidRDefault="002160FD" w:rsidP="00314DEB">
      <w:pPr>
        <w:keepLines/>
      </w:pPr>
      <w:r>
        <w:t xml:space="preserve">The Fair Work Act </w:t>
      </w:r>
      <w:r w:rsidR="006F43C2">
        <w:t xml:space="preserve">presently </w:t>
      </w:r>
      <w:r>
        <w:t>extends accessorial liability for contraventions of workplace laws in circumstances where a person or company is involved in that contravention</w:t>
      </w:r>
      <w:r w:rsidR="006F43C2">
        <w:t xml:space="preserve"> but is not the princip</w:t>
      </w:r>
      <w:r w:rsidR="006554D8">
        <w:t>al</w:t>
      </w:r>
      <w:r w:rsidR="006F43C2">
        <w:t xml:space="preserve"> person or company responsible for the contravention</w:t>
      </w:r>
      <w:r>
        <w:t xml:space="preserve">. </w:t>
      </w:r>
      <w:r w:rsidR="006A6684">
        <w:t>This might occur in where</w:t>
      </w:r>
      <w:r>
        <w:t xml:space="preserve"> they have aided, abetted, counselled or procured the contravention; induced the contravention; were knowingly concerned in the contravention or conspired</w:t>
      </w:r>
      <w:r w:rsidR="006A6684">
        <w:t xml:space="preserve"> with others to effect the contravention</w:t>
      </w:r>
      <w:r>
        <w:t>.</w:t>
      </w:r>
      <w:r>
        <w:rPr>
          <w:rStyle w:val="FootnoteReference"/>
        </w:rPr>
        <w:footnoteReference w:id="14"/>
      </w:r>
      <w:r w:rsidR="00B74D59">
        <w:t xml:space="preserve"> An ‘involved’ person</w:t>
      </w:r>
      <w:r w:rsidR="006A6684">
        <w:t xml:space="preserve"> can be liable for penalties</w:t>
      </w:r>
      <w:r>
        <w:t xml:space="preserve"> for their involvement in the contravention</w:t>
      </w:r>
      <w:r w:rsidR="00A84F5A">
        <w:t xml:space="preserve"> and, in some circumstances,</w:t>
      </w:r>
      <w:r w:rsidR="00D16480">
        <w:t xml:space="preserve"> for any</w:t>
      </w:r>
      <w:r w:rsidR="006A6684">
        <w:t xml:space="preserve"> unp</w:t>
      </w:r>
      <w:r w:rsidR="00A84F5A">
        <w:t>aid employment entitlements</w:t>
      </w:r>
      <w:r>
        <w:t>.</w:t>
      </w:r>
    </w:p>
    <w:p w14:paraId="107BBC40" w14:textId="38561BE8" w:rsidR="002160FD" w:rsidRDefault="00FE6F4E" w:rsidP="007D5217">
      <w:r>
        <w:rPr>
          <w:rFonts w:eastAsia="Times New Roman"/>
          <w:bCs/>
          <w:lang w:eastAsia="en-AU"/>
        </w:rPr>
        <w:t>T</w:t>
      </w:r>
      <w:r w:rsidR="002160FD">
        <w:rPr>
          <w:rFonts w:eastAsia="Times New Roman"/>
          <w:bCs/>
          <w:lang w:eastAsia="en-AU"/>
        </w:rPr>
        <w:t xml:space="preserve">he </w:t>
      </w:r>
      <w:r w:rsidR="002160FD" w:rsidRPr="006210DD">
        <w:t>Protecting Vulnerable Workers</w:t>
      </w:r>
      <w:r w:rsidR="006210DD" w:rsidRPr="006210DD">
        <w:rPr>
          <w:bCs/>
        </w:rPr>
        <w:t xml:space="preserve"> A</w:t>
      </w:r>
      <w:r w:rsidR="00A72030">
        <w:rPr>
          <w:bCs/>
        </w:rPr>
        <w:t>ct</w:t>
      </w:r>
      <w:r w:rsidR="006210DD">
        <w:rPr>
          <w:rFonts w:eastAsia="Times New Roman"/>
          <w:bCs/>
          <w:lang w:eastAsia="en-AU"/>
        </w:rPr>
        <w:t xml:space="preserve"> introduced new</w:t>
      </w:r>
      <w:r w:rsidR="002160FD" w:rsidDel="004B1434">
        <w:rPr>
          <w:rFonts w:eastAsia="Times New Roman"/>
          <w:bCs/>
          <w:lang w:eastAsia="en-AU"/>
        </w:rPr>
        <w:t xml:space="preserve"> provisions </w:t>
      </w:r>
      <w:r w:rsidR="002160FD">
        <w:rPr>
          <w:rFonts w:eastAsia="Times New Roman"/>
          <w:bCs/>
          <w:lang w:eastAsia="en-AU"/>
        </w:rPr>
        <w:t xml:space="preserve">to </w:t>
      </w:r>
      <w:r w:rsidR="006210DD">
        <w:rPr>
          <w:rFonts w:eastAsia="Times New Roman"/>
          <w:bCs/>
          <w:lang w:eastAsia="en-AU"/>
        </w:rPr>
        <w:t>hold</w:t>
      </w:r>
      <w:r w:rsidR="004B1434">
        <w:rPr>
          <w:rFonts w:eastAsia="Times New Roman"/>
          <w:bCs/>
          <w:lang w:eastAsia="en-AU"/>
        </w:rPr>
        <w:t xml:space="preserve"> </w:t>
      </w:r>
      <w:r w:rsidR="002160FD">
        <w:rPr>
          <w:rFonts w:eastAsia="Times New Roman"/>
          <w:bCs/>
          <w:lang w:eastAsia="en-AU"/>
        </w:rPr>
        <w:t xml:space="preserve">franchisors and holding companies </w:t>
      </w:r>
      <w:r w:rsidR="004B1434">
        <w:rPr>
          <w:rFonts w:eastAsia="Times New Roman"/>
          <w:bCs/>
          <w:lang w:eastAsia="en-AU"/>
        </w:rPr>
        <w:t xml:space="preserve">liable </w:t>
      </w:r>
      <w:r w:rsidR="002160FD">
        <w:rPr>
          <w:rFonts w:eastAsia="Times New Roman"/>
          <w:bCs/>
          <w:lang w:eastAsia="en-AU"/>
        </w:rPr>
        <w:t xml:space="preserve">for breaches of workplace laws in their networks </w:t>
      </w:r>
      <w:r w:rsidR="00D16480">
        <w:rPr>
          <w:rFonts w:eastAsia="Times New Roman"/>
          <w:bCs/>
          <w:lang w:eastAsia="en-AU"/>
        </w:rPr>
        <w:t xml:space="preserve">unless </w:t>
      </w:r>
      <w:r w:rsidR="00C8185A" w:rsidRPr="004A352D">
        <w:t>they can show they took reasonable steps to prevent the contraventions.</w:t>
      </w:r>
      <w:r w:rsidR="00D16480">
        <w:rPr>
          <w:rStyle w:val="FootnoteReference"/>
          <w:rFonts w:eastAsia="Times New Roman"/>
          <w:bCs/>
          <w:lang w:eastAsia="en-AU"/>
        </w:rPr>
        <w:footnoteReference w:id="15"/>
      </w:r>
    </w:p>
    <w:p w14:paraId="1EDCE196" w14:textId="2ED97BCF" w:rsidR="00153F51" w:rsidRPr="00BD63DE" w:rsidRDefault="00153F51" w:rsidP="00BD63DE">
      <w:pPr>
        <w:pStyle w:val="Heading4"/>
      </w:pPr>
      <w:r w:rsidRPr="00BD63DE">
        <w:t>Issues</w:t>
      </w:r>
    </w:p>
    <w:p w14:paraId="2609BE5D" w14:textId="1904C1BE" w:rsidR="00153F51" w:rsidRDefault="00153F51" w:rsidP="007D5217">
      <w:r>
        <w:t>The Migrant Workers’ Taskforce argued that complex subcontracting, outsourcing, labour hire, and franchising arrangements create enforcemen</w:t>
      </w:r>
      <w:r w:rsidR="001352B1">
        <w:t>t challenges, and that changes to the</w:t>
      </w:r>
      <w:r>
        <w:t xml:space="preserve"> ac</w:t>
      </w:r>
      <w:r w:rsidR="001352B1">
        <w:t>cessorial liability provisions c</w:t>
      </w:r>
      <w:r>
        <w:t>ould strengthen the FWO’s ability to enforce these standards through the supply chain.</w:t>
      </w:r>
    </w:p>
    <w:p w14:paraId="00B360CA" w14:textId="1E2C52D2" w:rsidR="00944797" w:rsidRDefault="00E7307D" w:rsidP="007D5217">
      <w:r w:rsidRPr="00E7307D">
        <w:t xml:space="preserve">The FWO has observed that ‘the most serious examples of exploitation often involve vulnerable migrant workers employed </w:t>
      </w:r>
      <w:r w:rsidR="006A2F11">
        <w:t>by</w:t>
      </w:r>
      <w:r w:rsidR="006A2F11" w:rsidRPr="00E7307D">
        <w:t xml:space="preserve"> </w:t>
      </w:r>
      <w:r w:rsidRPr="00E7307D">
        <w:t>an operator who is part of a much bigger supply chain or network’.</w:t>
      </w:r>
      <w:r w:rsidRPr="00E7307D">
        <w:rPr>
          <w:rStyle w:val="FootnoteReference"/>
        </w:rPr>
        <w:footnoteReference w:id="16"/>
      </w:r>
      <w:r w:rsidRPr="00E7307D">
        <w:t xml:space="preserve"> </w:t>
      </w:r>
      <w:r w:rsidR="006F43C2">
        <w:t xml:space="preserve">Several </w:t>
      </w:r>
      <w:r w:rsidR="006538F3" w:rsidRPr="00E7307D">
        <w:t xml:space="preserve">FWO inquiries </w:t>
      </w:r>
      <w:r w:rsidR="006835F5">
        <w:t xml:space="preserve">to date </w:t>
      </w:r>
      <w:r w:rsidR="006538F3" w:rsidRPr="00E7307D">
        <w:t xml:space="preserve">have uncovered serious cases of </w:t>
      </w:r>
      <w:r w:rsidR="00A84F5A">
        <w:t>employee</w:t>
      </w:r>
      <w:r w:rsidR="00867B55" w:rsidRPr="00E7307D">
        <w:t xml:space="preserve"> exploitation</w:t>
      </w:r>
      <w:r w:rsidR="006538F3" w:rsidRPr="00E7307D">
        <w:t xml:space="preserve"> </w:t>
      </w:r>
      <w:r w:rsidR="003F36AE" w:rsidRPr="00E7307D">
        <w:t xml:space="preserve">where corporate </w:t>
      </w:r>
      <w:r>
        <w:t xml:space="preserve">structures are fragmented into </w:t>
      </w:r>
      <w:r w:rsidR="003F36AE" w:rsidRPr="00E7307D">
        <w:t>loosely connected networks that blur responsibility for ensuring workplace compliance</w:t>
      </w:r>
      <w:r w:rsidR="00867B55" w:rsidRPr="00E7307D">
        <w:t>.</w:t>
      </w:r>
      <w:r w:rsidR="003F36AE" w:rsidRPr="00E7307D">
        <w:rPr>
          <w:rStyle w:val="FootnoteReference"/>
        </w:rPr>
        <w:footnoteReference w:id="17"/>
      </w:r>
      <w:r w:rsidR="003F36AE" w:rsidRPr="00E7307D">
        <w:t xml:space="preserve"> </w:t>
      </w:r>
    </w:p>
    <w:p w14:paraId="687D8240" w14:textId="78EC223E" w:rsidR="00944797" w:rsidRPr="00E7307D" w:rsidRDefault="00467295" w:rsidP="007D5217">
      <w:r>
        <w:t>A number of cases have highlighted that the</w:t>
      </w:r>
      <w:r w:rsidR="00944797">
        <w:t xml:space="preserve"> accessorial liability provisions in the Fair Work Act </w:t>
      </w:r>
      <w:r w:rsidR="007C4DC0">
        <w:t xml:space="preserve">set </w:t>
      </w:r>
      <w:r>
        <w:t>a</w:t>
      </w:r>
      <w:r w:rsidR="006835F5">
        <w:t xml:space="preserve"> very</w:t>
      </w:r>
      <w:r>
        <w:t xml:space="preserve"> </w:t>
      </w:r>
      <w:r w:rsidR="007C4DC0">
        <w:t>high bar to prove accessory involvement. For example,</w:t>
      </w:r>
      <w:r w:rsidR="001267B3">
        <w:t xml:space="preserve"> </w:t>
      </w:r>
      <w:r w:rsidR="001267B3" w:rsidRPr="00E01196">
        <w:t xml:space="preserve">the courts have interpreted the current formulation as requiring a person to </w:t>
      </w:r>
      <w:r w:rsidR="007C4DC0" w:rsidRPr="00E01196">
        <w:t xml:space="preserve">have engaged in conduct that involves them in the contravention and have actual knowledge of </w:t>
      </w:r>
      <w:r w:rsidR="00A84F5A" w:rsidRPr="00E01196">
        <w:t>the essential elements</w:t>
      </w:r>
      <w:r w:rsidR="007C4DC0" w:rsidRPr="00E01196">
        <w:t xml:space="preserve"> of the contravention</w:t>
      </w:r>
      <w:r w:rsidR="001267B3" w:rsidRPr="00E01196">
        <w:t xml:space="preserve"> before accessorial liability will be extended</w:t>
      </w:r>
      <w:r w:rsidR="007C4DC0" w:rsidRPr="00E01196">
        <w:t>.</w:t>
      </w:r>
      <w:r w:rsidR="007C4DC0" w:rsidRPr="00E01196">
        <w:rPr>
          <w:rStyle w:val="FootnoteReference"/>
        </w:rPr>
        <w:footnoteReference w:id="18"/>
      </w:r>
    </w:p>
    <w:p w14:paraId="1F670396" w14:textId="51301DF3" w:rsidR="00153F51" w:rsidRPr="00BD63DE" w:rsidRDefault="00153F51" w:rsidP="00BD63DE">
      <w:pPr>
        <w:pStyle w:val="Heading4"/>
      </w:pPr>
      <w:r w:rsidRPr="00BD63DE">
        <w:t xml:space="preserve">Reform </w:t>
      </w:r>
      <w:r w:rsidR="0073777E">
        <w:t>o</w:t>
      </w:r>
      <w:r w:rsidRPr="00BD63DE">
        <w:t>ptions</w:t>
      </w:r>
    </w:p>
    <w:p w14:paraId="75F19693" w14:textId="342687B5" w:rsidR="002160FD" w:rsidRPr="002160FD" w:rsidRDefault="002160FD" w:rsidP="002160FD">
      <w:pPr>
        <w:rPr>
          <w:rFonts w:eastAsia="Times New Roman"/>
          <w:bCs/>
          <w:lang w:eastAsia="en-AU"/>
        </w:rPr>
      </w:pPr>
      <w:r>
        <w:rPr>
          <w:rFonts w:eastAsia="Times New Roman"/>
          <w:bCs/>
          <w:lang w:eastAsia="en-AU"/>
        </w:rPr>
        <w:t xml:space="preserve">The Migrant Workers’ Taskforce recommended </w:t>
      </w:r>
      <w:r w:rsidR="00FE6F4E">
        <w:rPr>
          <w:rFonts w:eastAsia="Times New Roman"/>
          <w:bCs/>
          <w:lang w:eastAsia="en-AU"/>
        </w:rPr>
        <w:t xml:space="preserve">that the Government consider additional avenues to hold individuals and businesses to account for their involvement in breaches of workplace laws, with specific reference to </w:t>
      </w:r>
      <w:r>
        <w:rPr>
          <w:rFonts w:eastAsia="Times New Roman"/>
          <w:bCs/>
          <w:lang w:eastAsia="en-AU"/>
        </w:rPr>
        <w:t xml:space="preserve">further </w:t>
      </w:r>
      <w:r w:rsidRPr="002160FD">
        <w:rPr>
          <w:rFonts w:eastAsia="Times New Roman"/>
          <w:bCs/>
          <w:lang w:eastAsia="en-AU"/>
        </w:rPr>
        <w:t>extending</w:t>
      </w:r>
      <w:r>
        <w:rPr>
          <w:rFonts w:eastAsia="Times New Roman"/>
          <w:bCs/>
          <w:lang w:eastAsia="en-AU"/>
        </w:rPr>
        <w:t xml:space="preserve"> these</w:t>
      </w:r>
      <w:r w:rsidRPr="002160FD">
        <w:rPr>
          <w:rFonts w:eastAsia="Times New Roman"/>
          <w:bCs/>
          <w:lang w:eastAsia="en-AU"/>
        </w:rPr>
        <w:t xml:space="preserve"> </w:t>
      </w:r>
      <w:r>
        <w:rPr>
          <w:rFonts w:eastAsia="Times New Roman"/>
          <w:bCs/>
          <w:lang w:eastAsia="en-AU"/>
        </w:rPr>
        <w:t>provisions to</w:t>
      </w:r>
      <w:r w:rsidRPr="002160FD">
        <w:rPr>
          <w:rFonts w:eastAsia="Times New Roman"/>
          <w:bCs/>
          <w:lang w:eastAsia="en-AU"/>
        </w:rPr>
        <w:t xml:space="preserve"> cover</w:t>
      </w:r>
      <w:r>
        <w:rPr>
          <w:rFonts w:eastAsia="Times New Roman"/>
          <w:bCs/>
          <w:lang w:eastAsia="en-AU"/>
        </w:rPr>
        <w:t xml:space="preserve"> a broader range of business models, including </w:t>
      </w:r>
      <w:r w:rsidRPr="002160FD">
        <w:rPr>
          <w:rFonts w:eastAsia="Times New Roman"/>
          <w:bCs/>
          <w:lang w:eastAsia="en-AU"/>
        </w:rPr>
        <w:t>where businesses co</w:t>
      </w:r>
      <w:r>
        <w:rPr>
          <w:rFonts w:eastAsia="Times New Roman"/>
          <w:bCs/>
          <w:lang w:eastAsia="en-AU"/>
        </w:rPr>
        <w:t xml:space="preserve">ntract out services to persons </w:t>
      </w:r>
      <w:r w:rsidRPr="00807158">
        <w:rPr>
          <w:rFonts w:eastAsia="Times New Roman"/>
          <w:b/>
          <w:bCs/>
          <w:lang w:eastAsia="en-AU"/>
        </w:rPr>
        <w:t>(Recommendation 11)</w:t>
      </w:r>
      <w:r>
        <w:rPr>
          <w:rFonts w:eastAsia="Times New Roman"/>
          <w:bCs/>
          <w:lang w:eastAsia="en-AU"/>
        </w:rPr>
        <w:t xml:space="preserve">. </w:t>
      </w:r>
      <w:r w:rsidR="003A6610" w:rsidRPr="003A6610">
        <w:rPr>
          <w:rFonts w:eastAsia="Times New Roman"/>
          <w:bCs/>
          <w:lang w:eastAsia="en-AU"/>
        </w:rPr>
        <w:t>The Government’s March 2019 response to the Taskforce report accepted this recommendation in principle</w:t>
      </w:r>
      <w:r w:rsidR="00B94029">
        <w:rPr>
          <w:rFonts w:eastAsia="Times New Roman"/>
          <w:bCs/>
          <w:lang w:eastAsia="en-AU"/>
        </w:rPr>
        <w:t xml:space="preserve">. </w:t>
      </w:r>
    </w:p>
    <w:p w14:paraId="502A6F80" w14:textId="77777777" w:rsidR="006A6684" w:rsidRDefault="006A6684" w:rsidP="006A6684">
      <w:pPr>
        <w:pStyle w:val="Heading4"/>
      </w:pPr>
      <w:r>
        <w:t>Discussion questions</w:t>
      </w:r>
    </w:p>
    <w:p w14:paraId="07046323" w14:textId="7F877EFD" w:rsidR="00B74D59" w:rsidRDefault="00B74D59" w:rsidP="00C8185A">
      <w:pPr>
        <w:pStyle w:val="ListParagraph"/>
        <w:numPr>
          <w:ilvl w:val="0"/>
          <w:numId w:val="7"/>
        </w:numPr>
        <w:spacing w:after="160" w:line="259" w:lineRule="auto"/>
      </w:pPr>
      <w:r>
        <w:t xml:space="preserve">Do the existing arrangements adequately </w:t>
      </w:r>
      <w:r w:rsidR="00A84F5A">
        <w:t>regulate</w:t>
      </w:r>
      <w:r w:rsidR="009047C8">
        <w:t xml:space="preserve"> the behaviour </w:t>
      </w:r>
      <w:r w:rsidR="0021037B">
        <w:t>of</w:t>
      </w:r>
      <w:r w:rsidR="009047C8">
        <w:t xml:space="preserve"> lead firms/head contractors </w:t>
      </w:r>
      <w:r w:rsidR="0021037B">
        <w:t xml:space="preserve">in relation </w:t>
      </w:r>
      <w:r w:rsidR="009047C8">
        <w:t xml:space="preserve">to </w:t>
      </w:r>
      <w:r w:rsidR="0021037B">
        <w:t>employees in their immediate supply chains</w:t>
      </w:r>
      <w:r>
        <w:t>?</w:t>
      </w:r>
    </w:p>
    <w:p w14:paraId="0C1FB091" w14:textId="34C22918" w:rsidR="000A7F5C" w:rsidRDefault="000A7F5C" w:rsidP="00C8185A">
      <w:pPr>
        <w:pStyle w:val="ListParagraph"/>
        <w:numPr>
          <w:ilvl w:val="0"/>
          <w:numId w:val="7"/>
        </w:numPr>
        <w:spacing w:after="160" w:line="259" w:lineRule="auto"/>
      </w:pPr>
      <w:r>
        <w:t xml:space="preserve">Should actual knowledge of, or knowing involvement in, a contravention of a workplace law be the decisive factor in determining whether to extend liability to </w:t>
      </w:r>
      <w:r w:rsidR="007E2CB8">
        <w:t>another person or company? If not, what level of knowledge or involvement would be appropriate?</w:t>
      </w:r>
      <w:r>
        <w:t xml:space="preserve"> </w:t>
      </w:r>
      <w:r w:rsidR="006835F5">
        <w:t xml:space="preserve">Would recklessness constitute a </w:t>
      </w:r>
      <w:r w:rsidR="008C2A1D">
        <w:t>fair</w:t>
      </w:r>
      <w:r w:rsidR="006835F5">
        <w:t xml:space="preserve"> element to an offence of this type?</w:t>
      </w:r>
    </w:p>
    <w:p w14:paraId="4E5BDCD4" w14:textId="552019D1" w:rsidR="00BE2BC3" w:rsidRDefault="00BE2BC3" w:rsidP="00C8185A">
      <w:pPr>
        <w:pStyle w:val="ListParagraph"/>
        <w:numPr>
          <w:ilvl w:val="0"/>
          <w:numId w:val="7"/>
        </w:numPr>
        <w:spacing w:after="160" w:line="259" w:lineRule="auto"/>
      </w:pPr>
      <w:r>
        <w:t xml:space="preserve">What degree of </w:t>
      </w:r>
      <w:r w:rsidR="007A1D03">
        <w:t>control over which</w:t>
      </w:r>
      <w:r>
        <w:t xml:space="preserve"> aspects of a business is required before a business owner should be e</w:t>
      </w:r>
      <w:r w:rsidR="001352B1">
        <w:t>xpected</w:t>
      </w:r>
      <w:r>
        <w:t xml:space="preserve"> to check the compliance of contractors further down the supply chain? </w:t>
      </w:r>
    </w:p>
    <w:p w14:paraId="353383D0" w14:textId="761A929A" w:rsidR="00BE2BC3" w:rsidRDefault="00BE2BC3" w:rsidP="00C8185A">
      <w:pPr>
        <w:pStyle w:val="ListParagraph"/>
        <w:numPr>
          <w:ilvl w:val="0"/>
          <w:numId w:val="7"/>
        </w:numPr>
        <w:spacing w:after="160" w:line="259" w:lineRule="auto"/>
      </w:pPr>
      <w:r>
        <w:t xml:space="preserve">What are the risks </w:t>
      </w:r>
      <w:r w:rsidR="007E2CB8">
        <w:t xml:space="preserve">and/or benefits </w:t>
      </w:r>
      <w:r>
        <w:t xml:space="preserve">of further extending the accessorial liability provisions to a broader range of business models, including </w:t>
      </w:r>
      <w:r w:rsidRPr="00BE2BC3">
        <w:rPr>
          <w:rFonts w:eastAsia="Times New Roman"/>
          <w:bCs/>
          <w:lang w:eastAsia="en-AU"/>
        </w:rPr>
        <w:t>where businesses contract out services</w:t>
      </w:r>
      <w:r>
        <w:rPr>
          <w:rFonts w:eastAsia="Times New Roman"/>
          <w:bCs/>
          <w:lang w:eastAsia="en-AU"/>
        </w:rPr>
        <w:t>?</w:t>
      </w:r>
    </w:p>
    <w:bookmarkEnd w:id="1"/>
    <w:p w14:paraId="14549164" w14:textId="77777777" w:rsidR="0011624E" w:rsidRPr="003C547C" w:rsidRDefault="0011624E" w:rsidP="0011624E">
      <w:pPr>
        <w:pStyle w:val="Heading3"/>
      </w:pPr>
      <w:r w:rsidRPr="003C547C">
        <w:t xml:space="preserve">Sham contracting </w:t>
      </w:r>
    </w:p>
    <w:p w14:paraId="0B5A601B" w14:textId="5591D2EA" w:rsidR="0011624E" w:rsidRPr="003C547C" w:rsidRDefault="0011624E" w:rsidP="0011624E">
      <w:r w:rsidRPr="003C547C">
        <w:t xml:space="preserve">Sham contracting </w:t>
      </w:r>
      <w:r w:rsidR="00C043A3">
        <w:t xml:space="preserve">generally </w:t>
      </w:r>
      <w:r w:rsidRPr="003C547C">
        <w:t xml:space="preserve">refers to the unlawful practice of an employer </w:t>
      </w:r>
      <w:r w:rsidR="00DB7D3C">
        <w:t xml:space="preserve">wrongly </w:t>
      </w:r>
      <w:r w:rsidR="00C043A3">
        <w:t xml:space="preserve">treating someone whose relationship with the employer should properly be characterised as an employee (whether full- or part-time) as an independent contractor. The motivation for such </w:t>
      </w:r>
      <w:r w:rsidR="00793C8C">
        <w:t xml:space="preserve">conduct </w:t>
      </w:r>
      <w:r w:rsidR="00C043A3">
        <w:t>would usually be</w:t>
      </w:r>
      <w:r w:rsidR="001267B3">
        <w:t xml:space="preserve"> </w:t>
      </w:r>
      <w:r w:rsidR="00C043A3">
        <w:t>t</w:t>
      </w:r>
      <w:r w:rsidR="00A72030">
        <w:t>o avoid</w:t>
      </w:r>
      <w:r w:rsidRPr="003C547C">
        <w:t xml:space="preserve"> paying employee entitlements such as minimum wage, paid leave</w:t>
      </w:r>
      <w:r w:rsidR="00CA00C8">
        <w:t>,</w:t>
      </w:r>
      <w:r w:rsidRPr="003C547C">
        <w:t xml:space="preserve"> an</w:t>
      </w:r>
      <w:r w:rsidR="00A72030">
        <w:t xml:space="preserve">d superannuation contributions. </w:t>
      </w:r>
      <w:r w:rsidR="00DB7D3C">
        <w:t>E</w:t>
      </w:r>
      <w:r w:rsidRPr="003C547C">
        <w:t xml:space="preserve">mployers found to have engaged in sham contracting </w:t>
      </w:r>
      <w:r w:rsidR="00DB7D3C">
        <w:t>may be penalised separately for the sham contracting and underpayment contraventions.</w:t>
      </w:r>
    </w:p>
    <w:p w14:paraId="252596D2" w14:textId="554ACCF3" w:rsidR="00374195" w:rsidRDefault="0011624E" w:rsidP="00CA00C8">
      <w:r w:rsidRPr="003C547C">
        <w:t xml:space="preserve">The sham arrangements provisions of the Fair Work Act </w:t>
      </w:r>
      <w:r w:rsidR="00C043A3">
        <w:t xml:space="preserve">presently </w:t>
      </w:r>
      <w:r w:rsidRPr="003C547C">
        <w:t>provide civil pena</w:t>
      </w:r>
      <w:r w:rsidR="00CA00C8">
        <w:t xml:space="preserve">lties for conduct including: </w:t>
      </w:r>
    </w:p>
    <w:p w14:paraId="2E17B3CE" w14:textId="1EBCCFB1" w:rsidR="00374195" w:rsidRDefault="0011624E" w:rsidP="00FC09CF">
      <w:pPr>
        <w:pStyle w:val="ListParagraph"/>
        <w:numPr>
          <w:ilvl w:val="0"/>
          <w:numId w:val="20"/>
        </w:numPr>
      </w:pPr>
      <w:r w:rsidRPr="003C547C">
        <w:t>misrepresenting an employment relationship as an inde</w:t>
      </w:r>
      <w:r w:rsidR="00DB7D3C">
        <w:t xml:space="preserve">pendent contracting arrangement, </w:t>
      </w:r>
      <w:r w:rsidRPr="003C547C">
        <w:t>with a defence for those who can show that they did not know, and were not reckless about wheth</w:t>
      </w:r>
      <w:r w:rsidR="00DB7D3C">
        <w:t xml:space="preserve">er, the </w:t>
      </w:r>
      <w:r w:rsidR="0021037B">
        <w:t>individual</w:t>
      </w:r>
      <w:r w:rsidR="00DB7D3C">
        <w:t xml:space="preserve"> was an employee</w:t>
      </w:r>
      <w:r w:rsidR="00A72030">
        <w:rPr>
          <w:rStyle w:val="FootnoteReference"/>
        </w:rPr>
        <w:footnoteReference w:id="19"/>
      </w:r>
    </w:p>
    <w:p w14:paraId="5E59C48B" w14:textId="0B2951D1" w:rsidR="00374195" w:rsidRDefault="0011624E" w:rsidP="00FC09CF">
      <w:pPr>
        <w:pStyle w:val="ListParagraph"/>
        <w:numPr>
          <w:ilvl w:val="0"/>
          <w:numId w:val="20"/>
        </w:numPr>
      </w:pPr>
      <w:r w:rsidRPr="003C547C">
        <w:t>dismissing or threatening to dismiss an employee to engage them as an inde</w:t>
      </w:r>
      <w:r w:rsidR="00DB7D3C">
        <w:t>pendent contractor</w:t>
      </w:r>
      <w:r w:rsidR="00A72030">
        <w:rPr>
          <w:rStyle w:val="FootnoteReference"/>
        </w:rPr>
        <w:footnoteReference w:id="20"/>
      </w:r>
    </w:p>
    <w:p w14:paraId="34D5F91D" w14:textId="77777777" w:rsidR="0011624E" w:rsidRPr="003C547C" w:rsidRDefault="0011624E" w:rsidP="00FC09CF">
      <w:pPr>
        <w:pStyle w:val="ListParagraph"/>
        <w:numPr>
          <w:ilvl w:val="0"/>
          <w:numId w:val="20"/>
        </w:numPr>
      </w:pPr>
      <w:proofErr w:type="gramStart"/>
      <w:r w:rsidRPr="003C547C">
        <w:t>knowingly</w:t>
      </w:r>
      <w:proofErr w:type="gramEnd"/>
      <w:r w:rsidRPr="003C547C">
        <w:t xml:space="preserve"> making a false statement to influence an employee to become an inde</w:t>
      </w:r>
      <w:r w:rsidR="00DB7D3C">
        <w:t>pendent contractor.</w:t>
      </w:r>
      <w:r w:rsidR="00CA00C8">
        <w:rPr>
          <w:rStyle w:val="FootnoteReference"/>
        </w:rPr>
        <w:footnoteReference w:id="21"/>
      </w:r>
    </w:p>
    <w:p w14:paraId="0FC2A79A" w14:textId="77777777" w:rsidR="0011624E" w:rsidRPr="003C547C" w:rsidRDefault="0011624E" w:rsidP="0011624E">
      <w:r w:rsidRPr="003C547C">
        <w:t>Each of these provisions attract a maximum civil</w:t>
      </w:r>
      <w:r w:rsidR="00DB7D3C">
        <w:t xml:space="preserve"> penalty of 60 penalty units (currently</w:t>
      </w:r>
      <w:r w:rsidRPr="003C547C">
        <w:t xml:space="preserve"> $12,600) for an indiv</w:t>
      </w:r>
      <w:r w:rsidR="00DB7D3C">
        <w:t xml:space="preserve">idual and 300 penalty units (currently </w:t>
      </w:r>
      <w:r w:rsidRPr="003C547C">
        <w:t>$63,000) for a body corporate. These</w:t>
      </w:r>
      <w:r w:rsidR="00DB7D3C">
        <w:t xml:space="preserve"> maximum penalties</w:t>
      </w:r>
      <w:r w:rsidRPr="003C547C">
        <w:t xml:space="preserve"> are consistent with other civil penalties in the Fair Work Act. </w:t>
      </w:r>
    </w:p>
    <w:p w14:paraId="6AA14BC6" w14:textId="7CAABFF7" w:rsidR="00AE0A1D" w:rsidRPr="00BB3D29" w:rsidRDefault="00AE0A1D" w:rsidP="00BB3D29">
      <w:pPr>
        <w:pStyle w:val="Heading4"/>
      </w:pPr>
      <w:r w:rsidRPr="00BB3D29">
        <w:t>Issues</w:t>
      </w:r>
    </w:p>
    <w:p w14:paraId="39A47F29" w14:textId="5F25058C" w:rsidR="00CA00C8" w:rsidRDefault="0011624E" w:rsidP="0011624E">
      <w:r w:rsidRPr="003C547C">
        <w:t xml:space="preserve">The 2017 Black Economy Taskforce Final Report </w:t>
      </w:r>
      <w:r w:rsidR="00C043A3">
        <w:t>noted th</w:t>
      </w:r>
      <w:r w:rsidR="0015149F">
        <w:t xml:space="preserve">at sham </w:t>
      </w:r>
      <w:r w:rsidR="006A2F11">
        <w:t xml:space="preserve">contracting arrangements </w:t>
      </w:r>
      <w:r w:rsidR="0015149F">
        <w:t xml:space="preserve">are </w:t>
      </w:r>
      <w:r w:rsidR="00C043A3">
        <w:t xml:space="preserve">not only unfair </w:t>
      </w:r>
      <w:r w:rsidR="008C2A1D">
        <w:t>to employees, but</w:t>
      </w:r>
      <w:r w:rsidR="0015149F">
        <w:t xml:space="preserve"> they </w:t>
      </w:r>
      <w:r w:rsidR="008C2A1D">
        <w:t xml:space="preserve">also </w:t>
      </w:r>
      <w:r w:rsidR="0015149F">
        <w:t>penalise employers who abide by the law (through the persistence of uneven commercial</w:t>
      </w:r>
      <w:r w:rsidR="008C2A1D">
        <w:t xml:space="preserve"> playing fields). On this point</w:t>
      </w:r>
      <w:r w:rsidR="0015149F">
        <w:t xml:space="preserve"> the Report stated that</w:t>
      </w:r>
      <w:r w:rsidR="00374195">
        <w:t>:</w:t>
      </w:r>
      <w:r w:rsidRPr="003C547C">
        <w:t xml:space="preserve"> </w:t>
      </w:r>
    </w:p>
    <w:p w14:paraId="76AF14EB" w14:textId="20ACD5BF" w:rsidR="0011624E" w:rsidRPr="00314DEB" w:rsidRDefault="00D64634" w:rsidP="00CA00C8">
      <w:pPr>
        <w:ind w:left="284" w:right="284"/>
        <w:rPr>
          <w:sz w:val="20"/>
        </w:rPr>
      </w:pPr>
      <w:r w:rsidRPr="00314DEB">
        <w:rPr>
          <w:sz w:val="20"/>
        </w:rPr>
        <w:t xml:space="preserve">The capacity for people to abuse the system by engaging in sham contracting is unambiguously contributing to the black economy. Unscrupulous </w:t>
      </w:r>
      <w:r w:rsidR="0011624E" w:rsidRPr="00314DEB">
        <w:rPr>
          <w:sz w:val="20"/>
        </w:rPr>
        <w:t>employers engaged in this practice get an unfair commercial advantage through reduced labour costs, both over law-abiding employers and those engaged in genuine independent contracting arrangements. In some circumstances, they exploit workers who have very little bargaining power, denying them their lawful workplace entitlements. More broadly, society is affected because sham arrangements facilitate tax avoidance by both employers and workers, and subvert the policy settings u</w:t>
      </w:r>
      <w:r w:rsidR="00314DEB" w:rsidRPr="00314DEB">
        <w:rPr>
          <w:sz w:val="20"/>
        </w:rPr>
        <w:t>nderpinning retirement savings.</w:t>
      </w:r>
      <w:r w:rsidR="0011624E" w:rsidRPr="00314DEB">
        <w:rPr>
          <w:rStyle w:val="FootnoteReference"/>
          <w:sz w:val="20"/>
        </w:rPr>
        <w:footnoteReference w:id="22"/>
      </w:r>
    </w:p>
    <w:p w14:paraId="5781D4E5" w14:textId="25EB5F47" w:rsidR="00D64634" w:rsidRPr="00D64634" w:rsidRDefault="00D64634" w:rsidP="00D64634">
      <w:pPr>
        <w:spacing w:before="120" w:after="120"/>
      </w:pPr>
      <w:r w:rsidRPr="00D64634">
        <w:t>The incidence of sham contracting is difficult to estimate</w:t>
      </w:r>
      <w:r w:rsidR="00E718A1">
        <w:t xml:space="preserve">, given the likelihood that </w:t>
      </w:r>
      <w:r w:rsidR="0015149F">
        <w:t xml:space="preserve">significant numbers of </w:t>
      </w:r>
      <w:r w:rsidR="00E718A1">
        <w:t>cases go unreported</w:t>
      </w:r>
      <w:r w:rsidRPr="00D64634">
        <w:t>. The</w:t>
      </w:r>
      <w:r w:rsidR="00AB48CD">
        <w:t xml:space="preserve"> Black Economy</w:t>
      </w:r>
      <w:r w:rsidRPr="00D64634">
        <w:t xml:space="preserve"> Taskforce went on to state that, while it did not have specific estimates on the size of the sham contracting problem: </w:t>
      </w:r>
    </w:p>
    <w:p w14:paraId="2AD12B83" w14:textId="7E0AD546" w:rsidR="00D64634" w:rsidRPr="00314DEB" w:rsidRDefault="00314DEB" w:rsidP="00D64634">
      <w:pPr>
        <w:spacing w:before="120" w:after="120"/>
        <w:ind w:left="720"/>
        <w:rPr>
          <w:b/>
          <w:sz w:val="20"/>
          <w:szCs w:val="20"/>
          <w:lang w:eastAsia="en-AU"/>
        </w:rPr>
      </w:pPr>
      <w:r w:rsidRPr="00314DEB">
        <w:rPr>
          <w:sz w:val="20"/>
          <w:szCs w:val="20"/>
        </w:rPr>
        <w:t>…</w:t>
      </w:r>
      <w:r w:rsidR="00D64634" w:rsidRPr="00314DEB">
        <w:rPr>
          <w:sz w:val="20"/>
          <w:szCs w:val="20"/>
        </w:rPr>
        <w:t>our consultations suggest it may be growing and numerous examples have been brought to our attention in sectors such as IT, labour hire, courier, beauty and hairdressing, and even executive assistants, but this is an area whic</w:t>
      </w:r>
      <w:r w:rsidRPr="00314DEB">
        <w:rPr>
          <w:sz w:val="20"/>
          <w:szCs w:val="20"/>
        </w:rPr>
        <w:t>h requires further examination.</w:t>
      </w:r>
      <w:r w:rsidR="00D64634" w:rsidRPr="00314DEB">
        <w:rPr>
          <w:rStyle w:val="FootnoteReference"/>
          <w:sz w:val="20"/>
          <w:szCs w:val="20"/>
        </w:rPr>
        <w:footnoteReference w:id="23"/>
      </w:r>
    </w:p>
    <w:p w14:paraId="3A91110B" w14:textId="7EF1599F" w:rsidR="00AE0A1D" w:rsidRPr="00BB3D29" w:rsidRDefault="00AE0A1D" w:rsidP="00BB3D29">
      <w:pPr>
        <w:pStyle w:val="Heading4"/>
      </w:pPr>
      <w:r w:rsidRPr="00BB3D29">
        <w:t xml:space="preserve">Reform </w:t>
      </w:r>
      <w:r w:rsidR="0073777E">
        <w:t>o</w:t>
      </w:r>
      <w:r w:rsidRPr="00BB3D29">
        <w:t>ptions</w:t>
      </w:r>
    </w:p>
    <w:p w14:paraId="35C27116" w14:textId="7D6ACD1A" w:rsidR="0011624E" w:rsidRPr="003C547C" w:rsidRDefault="0011624E" w:rsidP="00314DEB">
      <w:r w:rsidRPr="003C547C">
        <w:t xml:space="preserve">To respond to sham contracting, the </w:t>
      </w:r>
      <w:r w:rsidR="00DB7D3C">
        <w:t>Black Economy Taskforce</w:t>
      </w:r>
      <w:r w:rsidRPr="003C547C">
        <w:t xml:space="preserve"> recommended ‘tougher and more visible enforcement’, including ‘new and strengthened penalties’.</w:t>
      </w:r>
      <w:r w:rsidR="00DB2631">
        <w:rPr>
          <w:rStyle w:val="FootnoteReference"/>
        </w:rPr>
        <w:footnoteReference w:id="24"/>
      </w:r>
      <w:r w:rsidR="00DA6DDF">
        <w:t xml:space="preserve"> The Government</w:t>
      </w:r>
      <w:r w:rsidR="001A1F6A">
        <w:t xml:space="preserve">’s </w:t>
      </w:r>
      <w:r w:rsidR="002C123E">
        <w:t>May</w:t>
      </w:r>
      <w:r w:rsidR="00A76D19">
        <w:t xml:space="preserve"> 2018 response to the taskforce</w:t>
      </w:r>
      <w:r w:rsidR="00DA6DDF">
        <w:t xml:space="preserve"> a</w:t>
      </w:r>
      <w:r w:rsidR="006A1758">
        <w:t>greed with</w:t>
      </w:r>
      <w:r w:rsidR="00DA6DDF">
        <w:t xml:space="preserve"> this recommendation in principle</w:t>
      </w:r>
      <w:r w:rsidR="00BE1A44">
        <w:t>. The Government</w:t>
      </w:r>
      <w:r w:rsidR="00E24C43">
        <w:t xml:space="preserve"> subsequently</w:t>
      </w:r>
      <w:r w:rsidR="00DA6DDF">
        <w:t xml:space="preserve"> </w:t>
      </w:r>
      <w:r w:rsidR="005F0003">
        <w:t>provided</w:t>
      </w:r>
      <w:r w:rsidR="00DA6DDF">
        <w:t xml:space="preserve"> a</w:t>
      </w:r>
      <w:r w:rsidR="000271CC">
        <w:t xml:space="preserve">dditional funding </w:t>
      </w:r>
      <w:r w:rsidR="00AB48CD">
        <w:t>in the 2019</w:t>
      </w:r>
      <w:r w:rsidR="00305FBE">
        <w:t>–</w:t>
      </w:r>
      <w:r w:rsidR="00AB48CD">
        <w:t xml:space="preserve">20 Budget </w:t>
      </w:r>
      <w:r w:rsidR="000271CC">
        <w:t xml:space="preserve">for the FWO to establish a dedicated sham contracting unit </w:t>
      </w:r>
      <w:r w:rsidR="00AB48CD">
        <w:t xml:space="preserve">to help educate </w:t>
      </w:r>
      <w:r w:rsidR="0021037B">
        <w:t>individuals</w:t>
      </w:r>
      <w:r w:rsidR="00AB48CD">
        <w:t xml:space="preserve"> about their rights and crackdown on the practice. The Government also</w:t>
      </w:r>
      <w:r w:rsidR="000271CC">
        <w:t xml:space="preserve"> a</w:t>
      </w:r>
      <w:r w:rsidR="001C0F70">
        <w:t>nnounced a</w:t>
      </w:r>
      <w:r w:rsidR="00DA6DDF">
        <w:t xml:space="preserve"> commitment to in</w:t>
      </w:r>
      <w:r w:rsidR="00460DA1">
        <w:t xml:space="preserve">troduce tougher </w:t>
      </w:r>
      <w:r w:rsidR="00DA6DDF">
        <w:t xml:space="preserve">penalties </w:t>
      </w:r>
      <w:r w:rsidR="00460DA1">
        <w:t>for</w:t>
      </w:r>
      <w:r w:rsidR="00DA6DDF">
        <w:t xml:space="preserve"> sham contracting </w:t>
      </w:r>
      <w:r w:rsidR="0021037B">
        <w:t>contraventions</w:t>
      </w:r>
      <w:r w:rsidR="00DA6DDF">
        <w:t>.</w:t>
      </w:r>
    </w:p>
    <w:p w14:paraId="7F791A40" w14:textId="7479F55B" w:rsidR="0011624E" w:rsidRPr="003C547C" w:rsidRDefault="0011624E" w:rsidP="00314DEB">
      <w:r w:rsidRPr="003C547C">
        <w:t xml:space="preserve">In order to increase the deterrent effect of the sham arrangements provisions, the Black Economy Taskforce and other </w:t>
      </w:r>
      <w:r w:rsidR="00DB7D3C">
        <w:t xml:space="preserve">reviews </w:t>
      </w:r>
      <w:r w:rsidRPr="003C547C">
        <w:t xml:space="preserve">recommended amendments to the </w:t>
      </w:r>
      <w:r w:rsidR="007A1D03">
        <w:t xml:space="preserve">recklessness </w:t>
      </w:r>
      <w:r w:rsidRPr="003C547C">
        <w:t xml:space="preserve">defence in section 357 of the </w:t>
      </w:r>
      <w:r w:rsidR="00A72030">
        <w:t xml:space="preserve">Fair Work </w:t>
      </w:r>
      <w:r w:rsidR="00267270">
        <w:t xml:space="preserve">Act. This provision </w:t>
      </w:r>
      <w:r w:rsidR="00A72030">
        <w:t>enables</w:t>
      </w:r>
      <w:r w:rsidRPr="003C547C">
        <w:t xml:space="preserve"> employers to avoid liability </w:t>
      </w:r>
      <w:r w:rsidR="000B5D40">
        <w:t xml:space="preserve">under that provision </w:t>
      </w:r>
      <w:r w:rsidRPr="003C547C">
        <w:t>if they can prove that they did not know a</w:t>
      </w:r>
      <w:r w:rsidR="0021037B">
        <w:t>n individual</w:t>
      </w:r>
      <w:r w:rsidRPr="003C547C">
        <w:t xml:space="preserve"> was an employee and </w:t>
      </w:r>
      <w:r w:rsidRPr="003C547C">
        <w:rPr>
          <w:i/>
        </w:rPr>
        <w:t>were not reckless</w:t>
      </w:r>
      <w:r w:rsidR="00DB7D3C">
        <w:t xml:space="preserve"> about this. </w:t>
      </w:r>
      <w:r w:rsidR="000B5D40">
        <w:t xml:space="preserve">It has been </w:t>
      </w:r>
      <w:r w:rsidR="00267270">
        <w:t>suggested</w:t>
      </w:r>
      <w:r w:rsidR="00A439F0">
        <w:t xml:space="preserve"> that</w:t>
      </w:r>
      <w:r w:rsidRPr="003C547C">
        <w:t xml:space="preserve"> employers should instead be required to prove that they did not know, and </w:t>
      </w:r>
      <w:r w:rsidRPr="003C547C">
        <w:rPr>
          <w:i/>
        </w:rPr>
        <w:t>could not reasonably be expected to know</w:t>
      </w:r>
      <w:r w:rsidRPr="003C547C">
        <w:t xml:space="preserve">, the </w:t>
      </w:r>
      <w:r w:rsidR="0021037B">
        <w:t>individual</w:t>
      </w:r>
      <w:r w:rsidRPr="003C547C">
        <w:t xml:space="preserve"> was an employee. </w:t>
      </w:r>
    </w:p>
    <w:p w14:paraId="63F11178" w14:textId="77777777" w:rsidR="0011624E" w:rsidRPr="003C547C" w:rsidRDefault="0011624E" w:rsidP="0011624E">
      <w:pPr>
        <w:pStyle w:val="Heading4"/>
      </w:pPr>
      <w:r w:rsidRPr="003C547C">
        <w:t>Discussion questions</w:t>
      </w:r>
    </w:p>
    <w:p w14:paraId="2B0F9EFF" w14:textId="77021B6B" w:rsidR="0011624E" w:rsidRPr="003C547C" w:rsidRDefault="00DB7D3C" w:rsidP="006A6684">
      <w:pPr>
        <w:pStyle w:val="ListParagraph"/>
        <w:numPr>
          <w:ilvl w:val="0"/>
          <w:numId w:val="7"/>
        </w:numPr>
        <w:rPr>
          <w:i/>
        </w:rPr>
      </w:pPr>
      <w:r>
        <w:t>Should there be a separate contravention for more serious or systemic cases of sham contracting that attracts higher penalties? If so, what should this look like?</w:t>
      </w:r>
    </w:p>
    <w:p w14:paraId="11536459" w14:textId="3C0935D2" w:rsidR="004A3A9D" w:rsidRDefault="0011624E" w:rsidP="004A3A9D">
      <w:pPr>
        <w:pStyle w:val="ListParagraph"/>
        <w:numPr>
          <w:ilvl w:val="0"/>
          <w:numId w:val="7"/>
        </w:numPr>
        <w:rPr>
          <w:w w:val="100"/>
          <w:kern w:val="0"/>
          <w:sz w:val="20"/>
          <w:szCs w:val="20"/>
        </w:rPr>
      </w:pPr>
      <w:r w:rsidRPr="003C547C">
        <w:t>Should the</w:t>
      </w:r>
      <w:r w:rsidR="00D50CC9">
        <w:t xml:space="preserve"> reckless</w:t>
      </w:r>
      <w:r w:rsidR="00A72030">
        <w:t>ness</w:t>
      </w:r>
      <w:r w:rsidRPr="003C547C">
        <w:t xml:space="preserve"> defence in </w:t>
      </w:r>
      <w:r w:rsidR="000B5D40">
        <w:t>sub</w:t>
      </w:r>
      <w:r w:rsidR="00D50CC9" w:rsidRPr="003C547C">
        <w:t>s</w:t>
      </w:r>
      <w:r w:rsidR="00D50CC9">
        <w:t>ection</w:t>
      </w:r>
      <w:r w:rsidR="00D50CC9" w:rsidRPr="003C547C">
        <w:t xml:space="preserve"> </w:t>
      </w:r>
      <w:r w:rsidR="00A72030">
        <w:t>357</w:t>
      </w:r>
      <w:r w:rsidR="000B5D40">
        <w:t>(2)</w:t>
      </w:r>
      <w:r w:rsidRPr="003C547C">
        <w:t xml:space="preserve"> of the Fair Work Act be amended</w:t>
      </w:r>
      <w:r w:rsidR="0021037B">
        <w:t>? I</w:t>
      </w:r>
      <w:r w:rsidR="002E0321">
        <w:t xml:space="preserve">f </w:t>
      </w:r>
      <w:r w:rsidR="004A3A9D">
        <w:t>so</w:t>
      </w:r>
      <w:r w:rsidR="002E0321">
        <w:t>, how</w:t>
      </w:r>
      <w:r w:rsidR="004A3A9D">
        <w:t xml:space="preserve">? </w:t>
      </w:r>
    </w:p>
    <w:p w14:paraId="473D574A" w14:textId="6E114F3D" w:rsidR="003A6168" w:rsidRDefault="0097724E" w:rsidP="008C307A">
      <w:pPr>
        <w:pStyle w:val="Heading2"/>
      </w:pPr>
      <w:r>
        <w:t xml:space="preserve">Part II: </w:t>
      </w:r>
      <w:r w:rsidR="00BD5118">
        <w:t xml:space="preserve">Criminal </w:t>
      </w:r>
      <w:r w:rsidR="0073777E">
        <w:t>s</w:t>
      </w:r>
      <w:r w:rsidR="00695C61">
        <w:t>anctions</w:t>
      </w:r>
    </w:p>
    <w:p w14:paraId="42E2FC97" w14:textId="056374BA" w:rsidR="00CB777B" w:rsidRDefault="00CB777B" w:rsidP="00314DEB">
      <w:r>
        <w:t>Australian law draws a</w:t>
      </w:r>
      <w:r w:rsidRPr="00CE3DC6">
        <w:t xml:space="preserve"> distinction between criminal and civil liability. Criminal sanctions </w:t>
      </w:r>
      <w:r>
        <w:t>are</w:t>
      </w:r>
      <w:r w:rsidRPr="00CE3DC6">
        <w:t xml:space="preserve"> generally </w:t>
      </w:r>
      <w:r>
        <w:t>reserved</w:t>
      </w:r>
      <w:r w:rsidRPr="00CE3DC6">
        <w:t xml:space="preserve"> </w:t>
      </w:r>
      <w:r>
        <w:t xml:space="preserve">for the most serious </w:t>
      </w:r>
      <w:r w:rsidR="000A6DCE">
        <w:t>misconduct</w:t>
      </w:r>
      <w:r>
        <w:t>, with the intention of ensuring just punishment for the misconduct, protecting the communit</w:t>
      </w:r>
      <w:r w:rsidR="001352B1">
        <w:t>y by denouncing such conduct,</w:t>
      </w:r>
      <w:r w:rsidR="0015149F">
        <w:t xml:space="preserve"> specifically </w:t>
      </w:r>
      <w:r>
        <w:t xml:space="preserve">deterring the offender </w:t>
      </w:r>
      <w:r w:rsidR="0015149F">
        <w:t>from ever repeating the conduct and generally deterring others from potentially</w:t>
      </w:r>
      <w:r>
        <w:t xml:space="preserve"> engaging in such conduct, and promoting rehabilitation of the offender.</w:t>
      </w:r>
      <w:r>
        <w:rPr>
          <w:rStyle w:val="FootnoteReference"/>
        </w:rPr>
        <w:footnoteReference w:id="25"/>
      </w:r>
      <w:r>
        <w:t xml:space="preserve"> </w:t>
      </w:r>
      <w:r w:rsidRPr="006E3482">
        <w:t xml:space="preserve">Central to the concept of criminality are the notions of </w:t>
      </w:r>
      <w:r w:rsidR="0015149F">
        <w:t>identifying the most serious types of wrongdoing</w:t>
      </w:r>
      <w:r w:rsidR="0032280E">
        <w:t>,</w:t>
      </w:r>
      <w:r w:rsidR="0015149F">
        <w:t xml:space="preserve"> where the</w:t>
      </w:r>
      <w:r w:rsidR="0032280E">
        <w:t>re can be demonstrated</w:t>
      </w:r>
      <w:r w:rsidR="0015149F">
        <w:t xml:space="preserve"> individual culpability and</w:t>
      </w:r>
      <w:r w:rsidR="00850678">
        <w:t xml:space="preserve"> </w:t>
      </w:r>
      <w:r w:rsidR="008C2A1D">
        <w:t xml:space="preserve">the </w:t>
      </w:r>
      <w:r w:rsidR="00850678">
        <w:t xml:space="preserve">criminal intention for </w:t>
      </w:r>
      <w:r w:rsidR="0032280E">
        <w:t xml:space="preserve">the </w:t>
      </w:r>
      <w:r w:rsidR="00850678">
        <w:t>wrongful</w:t>
      </w:r>
      <w:r w:rsidRPr="006E3482">
        <w:t xml:space="preserve"> actions</w:t>
      </w:r>
      <w:r>
        <w:t>.</w:t>
      </w:r>
    </w:p>
    <w:p w14:paraId="357F5242" w14:textId="79847AA2" w:rsidR="00EF5D48" w:rsidRDefault="00CB777B" w:rsidP="00314DEB">
      <w:r>
        <w:t xml:space="preserve">A criminal offence is the ultimate sanction for breaching the law. Where criminal offences form part of a suite of enforcement options available to a regulator, they </w:t>
      </w:r>
      <w:r w:rsidR="000A6DCE">
        <w:t xml:space="preserve">are </w:t>
      </w:r>
      <w:r>
        <w:t xml:space="preserve">reserved for </w:t>
      </w:r>
      <w:r w:rsidR="00314DEB">
        <w:t xml:space="preserve">the most </w:t>
      </w:r>
      <w:r w:rsidR="001267B3">
        <w:t xml:space="preserve">serious and culpable </w:t>
      </w:r>
      <w:r w:rsidR="00314DEB">
        <w:t>cases of non</w:t>
      </w:r>
      <w:r w:rsidR="00314DEB">
        <w:noBreakHyphen/>
      </w:r>
      <w:r>
        <w:t xml:space="preserve">compliance, consistent with theories of </w:t>
      </w:r>
      <w:r>
        <w:rPr>
          <w:bCs/>
        </w:rPr>
        <w:t>responsive regulation and the ‘regulatory pyramid’</w:t>
      </w:r>
      <w:r>
        <w:t>.</w:t>
      </w:r>
      <w:r w:rsidR="001349C6">
        <w:t xml:space="preserve"> </w:t>
      </w:r>
    </w:p>
    <w:p w14:paraId="6C5513B2" w14:textId="7B063CAC" w:rsidR="004C2D11" w:rsidRPr="004C2D11" w:rsidRDefault="00AB48CD" w:rsidP="004C2D11">
      <w:pPr>
        <w:pStyle w:val="Heading3"/>
      </w:pPr>
      <w:r>
        <w:t>Current approach to</w:t>
      </w:r>
      <w:r w:rsidR="004C2D11">
        <w:t xml:space="preserve"> criminal sanctions </w:t>
      </w:r>
      <w:r>
        <w:t xml:space="preserve">as part of </w:t>
      </w:r>
      <w:r w:rsidR="004C2D11">
        <w:t>the enforcement framework</w:t>
      </w:r>
    </w:p>
    <w:p w14:paraId="59871405" w14:textId="4EB8A705" w:rsidR="00481107" w:rsidRDefault="00F46090" w:rsidP="00314DEB">
      <w:r w:rsidRPr="00C85684">
        <w:t xml:space="preserve">The federal workplace relations system </w:t>
      </w:r>
      <w:r w:rsidR="00467295">
        <w:t>sets out a range of</w:t>
      </w:r>
      <w:r w:rsidRPr="00C85684">
        <w:t xml:space="preserve"> civil remedies for breaches of employment standards. </w:t>
      </w:r>
      <w:r w:rsidR="006A2F11">
        <w:t>Some</w:t>
      </w:r>
      <w:r w:rsidR="00481107">
        <w:t xml:space="preserve"> civil penalties set out in</w:t>
      </w:r>
      <w:r w:rsidR="00850678">
        <w:t xml:space="preserve"> the Fair Work Act have </w:t>
      </w:r>
      <w:r w:rsidR="00481107">
        <w:t xml:space="preserve">sought to </w:t>
      </w:r>
      <w:r w:rsidR="00481107" w:rsidRPr="00CE3DC6">
        <w:t>capture the deterrent and punishment objectives</w:t>
      </w:r>
      <w:r w:rsidR="00481107">
        <w:t xml:space="preserve"> </w:t>
      </w:r>
      <w:r w:rsidR="007E2CB8">
        <w:t xml:space="preserve">that have historically been </w:t>
      </w:r>
      <w:r w:rsidR="00481107">
        <w:t>reserved for</w:t>
      </w:r>
      <w:r w:rsidR="00481107" w:rsidRPr="00CE3DC6">
        <w:t xml:space="preserve"> criminal sanctions</w:t>
      </w:r>
      <w:r w:rsidR="00314DEB">
        <w:t>. For example, the ‘serious </w:t>
      </w:r>
      <w:r w:rsidR="00481107">
        <w:t xml:space="preserve">contraventions’ category in the Protecting Vulnerable Workers </w:t>
      </w:r>
      <w:r w:rsidR="00481107" w:rsidRPr="006210DD">
        <w:rPr>
          <w:bCs/>
        </w:rPr>
        <w:t>A</w:t>
      </w:r>
      <w:r w:rsidR="00481107">
        <w:rPr>
          <w:bCs/>
        </w:rPr>
        <w:t>ct</w:t>
      </w:r>
      <w:r w:rsidR="00481107">
        <w:t xml:space="preserve"> raised</w:t>
      </w:r>
      <w:r w:rsidR="00314DEB">
        <w:t xml:space="preserve"> maximum penalty amounts to 600 </w:t>
      </w:r>
      <w:r w:rsidR="00481107">
        <w:t xml:space="preserve">penalty units for individuals ($126,000) and 3000 penalty units for bodies corporate ($630,000). </w:t>
      </w:r>
    </w:p>
    <w:p w14:paraId="2E17FC14" w14:textId="7C8C5785" w:rsidR="00EB27C5" w:rsidRPr="00EF5B62" w:rsidRDefault="00F46090" w:rsidP="00314DEB">
      <w:r w:rsidRPr="00C85684">
        <w:t xml:space="preserve">A small number of criminal offences are </w:t>
      </w:r>
      <w:r w:rsidR="00850678">
        <w:t xml:space="preserve">already </w:t>
      </w:r>
      <w:r w:rsidRPr="00C85684">
        <w:t>included</w:t>
      </w:r>
      <w:r w:rsidR="00481107">
        <w:t xml:space="preserve"> in the Fair Work Act</w:t>
      </w:r>
      <w:r w:rsidRPr="00C85684">
        <w:t xml:space="preserve"> </w:t>
      </w:r>
      <w:r>
        <w:t>but these are limited to</w:t>
      </w:r>
      <w:r w:rsidRPr="00C85684">
        <w:t xml:space="preserve"> matters such as contempt of court, and provisions which make it</w:t>
      </w:r>
      <w:r w:rsidR="00467295">
        <w:t xml:space="preserve"> an offence to give, receive or solicit a corrupting benefit (for example, a bribe)</w:t>
      </w:r>
      <w:r w:rsidRPr="00C85684">
        <w:t>.</w:t>
      </w:r>
      <w:r>
        <w:rPr>
          <w:rStyle w:val="FootnoteReference"/>
          <w:rFonts w:asciiTheme="minorHAnsi" w:eastAsia="SimSun" w:hAnsiTheme="minorHAnsi" w:cstheme="minorHAnsi"/>
        </w:rPr>
        <w:footnoteReference w:id="26"/>
      </w:r>
      <w:r>
        <w:rPr>
          <w:rFonts w:asciiTheme="minorHAnsi" w:hAnsiTheme="minorHAnsi" w:cstheme="minorHAnsi"/>
        </w:rPr>
        <w:t xml:space="preserve"> </w:t>
      </w:r>
      <w:r w:rsidR="00EB27C5" w:rsidRPr="00EF5B62">
        <w:t>T</w:t>
      </w:r>
      <w:r w:rsidR="008F23ED" w:rsidRPr="00EF5B62">
        <w:t xml:space="preserve">here are </w:t>
      </w:r>
      <w:r w:rsidR="001349C6" w:rsidRPr="00EF5B62">
        <w:t xml:space="preserve">also </w:t>
      </w:r>
      <w:r w:rsidR="0031547A" w:rsidRPr="00EF5B62">
        <w:t>criminal penalties</w:t>
      </w:r>
      <w:r w:rsidR="00850678">
        <w:t xml:space="preserve"> in other </w:t>
      </w:r>
      <w:r w:rsidR="008C2A1D">
        <w:t>legislation</w:t>
      </w:r>
      <w:r w:rsidR="0032280E">
        <w:t>,</w:t>
      </w:r>
      <w:r w:rsidR="00850678">
        <w:t xml:space="preserve"> whose subject matter relates to ‘work’,</w:t>
      </w:r>
      <w:r w:rsidR="0031547A" w:rsidRPr="00EF5B62">
        <w:t xml:space="preserve"> for instances of slavery, servitude, forced labour, deceptive recruiting and debt bondage in the</w:t>
      </w:r>
      <w:r w:rsidR="00A45959">
        <w:t xml:space="preserve"> Criminal Code, which is contained in the Schedule of the </w:t>
      </w:r>
      <w:r w:rsidR="0031547A" w:rsidRPr="00EF5B62">
        <w:rPr>
          <w:i/>
        </w:rPr>
        <w:t>Criminal Code Act 1995</w:t>
      </w:r>
      <w:r w:rsidR="00A45959">
        <w:rPr>
          <w:i/>
        </w:rPr>
        <w:t xml:space="preserve"> </w:t>
      </w:r>
      <w:r w:rsidR="00A45959">
        <w:t>(</w:t>
      </w:r>
      <w:proofErr w:type="spellStart"/>
      <w:r w:rsidR="00A45959">
        <w:t>Cth</w:t>
      </w:r>
      <w:proofErr w:type="spellEnd"/>
      <w:r w:rsidR="00A45959">
        <w:t>)</w:t>
      </w:r>
      <w:r w:rsidR="0031547A" w:rsidRPr="00EF5B62">
        <w:t>.</w:t>
      </w:r>
      <w:r w:rsidR="001349C6" w:rsidRPr="00EF5B62">
        <w:t xml:space="preserve"> </w:t>
      </w:r>
    </w:p>
    <w:p w14:paraId="3E4FD8C6" w14:textId="12D51899" w:rsidR="00EF5D48" w:rsidRPr="00AE0A1D" w:rsidRDefault="00EF5D48" w:rsidP="00EF5D48">
      <w:pPr>
        <w:pStyle w:val="Heading3"/>
        <w:rPr>
          <w:b w:val="0"/>
          <w:sz w:val="28"/>
          <w:lang w:eastAsia="en-AU"/>
        </w:rPr>
      </w:pPr>
      <w:r w:rsidRPr="00F01E57">
        <w:rPr>
          <w:sz w:val="28"/>
          <w:lang w:eastAsia="en-AU"/>
        </w:rPr>
        <w:t xml:space="preserve">Reform </w:t>
      </w:r>
      <w:r w:rsidR="0073777E">
        <w:rPr>
          <w:sz w:val="28"/>
          <w:lang w:eastAsia="en-AU"/>
        </w:rPr>
        <w:t>o</w:t>
      </w:r>
      <w:r w:rsidRPr="00F01E57">
        <w:rPr>
          <w:sz w:val="28"/>
          <w:lang w:eastAsia="en-AU"/>
        </w:rPr>
        <w:t>ption</w:t>
      </w:r>
    </w:p>
    <w:p w14:paraId="103B52CB" w14:textId="785E7DA0" w:rsidR="002D40F4" w:rsidRDefault="00AB48CD" w:rsidP="00314DEB">
      <w:r w:rsidDel="00D22228">
        <w:t>T</w:t>
      </w:r>
      <w:r w:rsidRPr="00C85684" w:rsidDel="00D22228">
        <w:t xml:space="preserve">he Migrant Workers’ Taskforce report recommended that criminal sanctions be introduced for the </w:t>
      </w:r>
      <w:r w:rsidDel="00D22228">
        <w:t>‘</w:t>
      </w:r>
      <w:r w:rsidRPr="00C85684" w:rsidDel="00D22228">
        <w:t xml:space="preserve">most serious forms of exploitative conduct, such as where that conduct is </w:t>
      </w:r>
      <w:r w:rsidR="00810069">
        <w:t>‘</w:t>
      </w:r>
      <w:r w:rsidRPr="00C85684" w:rsidDel="00D22228">
        <w:t>clear, deliberate and systemic</w:t>
      </w:r>
      <w:r w:rsidDel="00D22228">
        <w:t>’</w:t>
      </w:r>
      <w:r w:rsidRPr="00C85684" w:rsidDel="00D22228">
        <w:t xml:space="preserve"> </w:t>
      </w:r>
      <w:r w:rsidRPr="00C85684" w:rsidDel="00D22228">
        <w:rPr>
          <w:b/>
        </w:rPr>
        <w:t>(Recommendation 6)</w:t>
      </w:r>
      <w:r w:rsidDel="00D22228">
        <w:t xml:space="preserve">. </w:t>
      </w:r>
      <w:r w:rsidRPr="00F66637" w:rsidDel="00D22228">
        <w:t>The Government’s March 2019 response to the Taskforce report accepted this recommendation in principle</w:t>
      </w:r>
      <w:r w:rsidR="002D40F4">
        <w:t>.</w:t>
      </w:r>
    </w:p>
    <w:p w14:paraId="254496B5" w14:textId="52DC2785" w:rsidR="00AB48CD" w:rsidRDefault="00850678" w:rsidP="00314DEB">
      <w:r>
        <w:t>In response to the recommendation</w:t>
      </w:r>
      <w:r w:rsidR="008F65A7">
        <w:t xml:space="preserve"> </w:t>
      </w:r>
      <w:r>
        <w:t>t</w:t>
      </w:r>
      <w:r w:rsidR="00E718A1">
        <w:t xml:space="preserve">he Government has commenced </w:t>
      </w:r>
      <w:r w:rsidR="000617F3">
        <w:t>work</w:t>
      </w:r>
      <w:r w:rsidR="00E718A1">
        <w:t xml:space="preserve"> </w:t>
      </w:r>
      <w:r w:rsidR="002D40F4">
        <w:t>on drafting legislation to criminalise the underpayment of employees</w:t>
      </w:r>
      <w:r w:rsidR="00AB48CD">
        <w:t>.</w:t>
      </w:r>
    </w:p>
    <w:p w14:paraId="692E5332" w14:textId="27D99BDE" w:rsidR="00C85684" w:rsidRDefault="00DC4678" w:rsidP="00314DEB">
      <w:r>
        <w:t>A</w:t>
      </w:r>
      <w:r w:rsidR="00634826">
        <w:t>dding criminal sanctions to the suite of penalties available to regulators w</w:t>
      </w:r>
      <w:r w:rsidR="000617F3">
        <w:t>ill</w:t>
      </w:r>
      <w:r w:rsidR="00634826">
        <w:t xml:space="preserve"> </w:t>
      </w:r>
      <w:r w:rsidR="00B21046">
        <w:t xml:space="preserve">provide the </w:t>
      </w:r>
      <w:r w:rsidR="003C6F5F">
        <w:t xml:space="preserve">regulators </w:t>
      </w:r>
      <w:r w:rsidR="00B21046">
        <w:t xml:space="preserve">and the courts with the appropriate tools to address serious contraventions of the Fair Work Act, and </w:t>
      </w:r>
      <w:r w:rsidR="00634826">
        <w:t xml:space="preserve">send a strong and unambiguous message to employers that they cannot get away with exploiting vulnerable </w:t>
      </w:r>
      <w:r w:rsidR="0021037B">
        <w:t>employee</w:t>
      </w:r>
      <w:r w:rsidR="00634826">
        <w:t xml:space="preserve">s. </w:t>
      </w:r>
      <w:r w:rsidR="000A6DCE">
        <w:t>It is equally clear that s</w:t>
      </w:r>
      <w:r w:rsidR="00634826">
        <w:t xml:space="preserve">uch sanctions </w:t>
      </w:r>
      <w:r w:rsidR="00271ABF">
        <w:t>should be</w:t>
      </w:r>
      <w:r w:rsidR="00850678">
        <w:t xml:space="preserve"> reserved for the most ser</w:t>
      </w:r>
      <w:r w:rsidR="00634826">
        <w:t>ious</w:t>
      </w:r>
      <w:r w:rsidR="00850678">
        <w:t xml:space="preserve"> and culpable</w:t>
      </w:r>
      <w:r w:rsidR="00634826">
        <w:t xml:space="preserve"> forms of workplace </w:t>
      </w:r>
      <w:r w:rsidR="0021037B">
        <w:t>mis</w:t>
      </w:r>
      <w:r w:rsidR="00634826">
        <w:t>conduct</w:t>
      </w:r>
      <w:r w:rsidR="001457DE">
        <w:t xml:space="preserve"> </w:t>
      </w:r>
      <w:r w:rsidR="00850678">
        <w:t>and would not be designed to</w:t>
      </w:r>
      <w:r w:rsidR="001457DE">
        <w:t xml:space="preserve"> capture employers who have made </w:t>
      </w:r>
      <w:r w:rsidR="005A1133">
        <w:t>inadvertent</w:t>
      </w:r>
      <w:r w:rsidR="001457DE">
        <w:t xml:space="preserve"> mistakes leading to underpayment</w:t>
      </w:r>
      <w:r w:rsidR="00634826">
        <w:t>.</w:t>
      </w:r>
    </w:p>
    <w:p w14:paraId="7730AE17" w14:textId="221C1F3B" w:rsidR="00EF5D48" w:rsidRDefault="00D052C0" w:rsidP="00314DEB">
      <w:r>
        <w:t>T</w:t>
      </w:r>
      <w:r w:rsidR="00224864">
        <w:t xml:space="preserve">he </w:t>
      </w:r>
      <w:r w:rsidR="000A6DCE">
        <w:t xml:space="preserve">potential </w:t>
      </w:r>
      <w:r w:rsidR="00224864">
        <w:t xml:space="preserve">of </w:t>
      </w:r>
      <w:r w:rsidR="00634826" w:rsidRPr="00CE3DC6">
        <w:t xml:space="preserve">criminal </w:t>
      </w:r>
      <w:r w:rsidR="0061347B">
        <w:t xml:space="preserve">penalties for wage underpayment and </w:t>
      </w:r>
      <w:r w:rsidR="0021037B">
        <w:t>employee</w:t>
      </w:r>
      <w:r w:rsidR="0061347B">
        <w:t xml:space="preserve"> exploitation</w:t>
      </w:r>
      <w:r w:rsidR="00634826" w:rsidRPr="00CE3DC6">
        <w:t xml:space="preserve"> </w:t>
      </w:r>
      <w:r w:rsidR="0071772D">
        <w:t xml:space="preserve">is expected to </w:t>
      </w:r>
      <w:r w:rsidR="00634826">
        <w:t>enhance</w:t>
      </w:r>
      <w:r w:rsidR="00850678">
        <w:t xml:space="preserve"> specific and general</w:t>
      </w:r>
      <w:r w:rsidR="00634826">
        <w:t xml:space="preserve"> deterrence and</w:t>
      </w:r>
      <w:r w:rsidR="00634826" w:rsidRPr="00CE3DC6">
        <w:t xml:space="preserve"> </w:t>
      </w:r>
      <w:r w:rsidR="000A6DCE">
        <w:t xml:space="preserve">reduce </w:t>
      </w:r>
      <w:r w:rsidR="00634826" w:rsidRPr="00CE3DC6">
        <w:t>the harmful effects of</w:t>
      </w:r>
      <w:r w:rsidR="0061347B">
        <w:t xml:space="preserve"> this</w:t>
      </w:r>
      <w:r w:rsidR="00634826" w:rsidRPr="00CE3DC6">
        <w:t xml:space="preserve"> </w:t>
      </w:r>
      <w:r w:rsidR="0061347B">
        <w:t>unlawful conduct</w:t>
      </w:r>
      <w:r w:rsidR="00634826">
        <w:t>.</w:t>
      </w:r>
      <w:r w:rsidR="003C31DC">
        <w:t xml:space="preserve"> </w:t>
      </w:r>
    </w:p>
    <w:p w14:paraId="3946686C" w14:textId="6743A839" w:rsidR="00D22228" w:rsidRDefault="00D22228" w:rsidP="00634826">
      <w:pPr>
        <w:pStyle w:val="Heading3"/>
      </w:pPr>
      <w:r>
        <w:t>Issues</w:t>
      </w:r>
    </w:p>
    <w:p w14:paraId="6E3F6162" w14:textId="35BAEBCA" w:rsidR="003C31DC" w:rsidRPr="003C31DC" w:rsidRDefault="003C31DC" w:rsidP="00314DEB">
      <w:r>
        <w:t>The Government welcomes stakeholders’ views on the following</w:t>
      </w:r>
      <w:r w:rsidR="00850678">
        <w:t xml:space="preserve"> general issues and specific discussion points</w:t>
      </w:r>
      <w:r>
        <w:t xml:space="preserve">, and any other, aspects of the criminal sanctions regime </w:t>
      </w:r>
      <w:r w:rsidR="002A3326">
        <w:t xml:space="preserve">that should be </w:t>
      </w:r>
      <w:r>
        <w:t>consider</w:t>
      </w:r>
      <w:r w:rsidR="002A3326">
        <w:t>ed</w:t>
      </w:r>
      <w:r>
        <w:t xml:space="preserve"> </w:t>
      </w:r>
      <w:r w:rsidR="00E718A1">
        <w:t>as part of the</w:t>
      </w:r>
      <w:r>
        <w:t xml:space="preserve"> d</w:t>
      </w:r>
      <w:r w:rsidR="0021037B">
        <w:t>evelop</w:t>
      </w:r>
      <w:r w:rsidR="00E718A1">
        <w:t>ment of the Government’s</w:t>
      </w:r>
      <w:r>
        <w:t xml:space="preserve"> legislation giving effect to this commitment.</w:t>
      </w:r>
    </w:p>
    <w:p w14:paraId="06D865D2" w14:textId="201E01FD" w:rsidR="000617F3" w:rsidRDefault="000617F3" w:rsidP="00D22228">
      <w:pPr>
        <w:pStyle w:val="Heading4"/>
      </w:pPr>
      <w:r>
        <w:t>Fault elements</w:t>
      </w:r>
    </w:p>
    <w:p w14:paraId="65DAC6D3" w14:textId="5C8BF84F" w:rsidR="0063159C" w:rsidRDefault="0063159C" w:rsidP="00314DEB">
      <w:r w:rsidRPr="00C85684">
        <w:t xml:space="preserve">A key </w:t>
      </w:r>
      <w:r>
        <w:t>consideration for</w:t>
      </w:r>
      <w:r w:rsidRPr="00C85684">
        <w:t xml:space="preserve"> introducing criminal sanctions is determining the precise level at which criminal, rather than civ</w:t>
      </w:r>
      <w:r>
        <w:t>il, penalties are appropriate. Relevant c</w:t>
      </w:r>
      <w:r w:rsidRPr="00C85684">
        <w:t xml:space="preserve">riteria </w:t>
      </w:r>
      <w:r>
        <w:t>might include</w:t>
      </w:r>
      <w:r w:rsidRPr="00C85684">
        <w:t xml:space="preserve"> the </w:t>
      </w:r>
      <w:r w:rsidR="001267B3">
        <w:t xml:space="preserve">nature </w:t>
      </w:r>
      <w:r w:rsidR="00850678">
        <w:t xml:space="preserve">of the conduct, the </w:t>
      </w:r>
      <w:r w:rsidR="00FC24EF">
        <w:t xml:space="preserve">deliberateness of the conduct, </w:t>
      </w:r>
      <w:r w:rsidRPr="00C85684">
        <w:t>the period of time over which it occurred, and whether there h</w:t>
      </w:r>
      <w:r w:rsidR="00FC24EF">
        <w:t>as</w:t>
      </w:r>
      <w:r w:rsidRPr="00C85684">
        <w:t xml:space="preserve"> been </w:t>
      </w:r>
      <w:r w:rsidR="00FC24EF">
        <w:t>any dishonesty</w:t>
      </w:r>
      <w:r w:rsidRPr="00C85684">
        <w:t>.</w:t>
      </w:r>
    </w:p>
    <w:p w14:paraId="7739A770" w14:textId="27779D18" w:rsidR="00FB5E26" w:rsidRDefault="00FB5E26" w:rsidP="00314DEB">
      <w:r>
        <w:t>Commonwealth criminal offences are generally comprised of physical elements and fault elements. The Crown is required to prove both elements in order to establish guilt for the offence.</w:t>
      </w:r>
    </w:p>
    <w:p w14:paraId="32D26262" w14:textId="64DFD7AF" w:rsidR="00FB5E26" w:rsidRDefault="00FB5E26" w:rsidP="00314DEB">
      <w:r>
        <w:t>The physical element of an underpayment offence could, for example, relate to withholding full payment of wages that are due to an employee. The mental element of an underpayment offence could take multiple different forms. For example, liability could be attached to payments that were withheld intentionally, but could also be attached</w:t>
      </w:r>
      <w:r w:rsidR="004467D6">
        <w:t xml:space="preserve"> to payments that were withheld </w:t>
      </w:r>
      <w:r>
        <w:t>recklessly</w:t>
      </w:r>
      <w:r w:rsidR="004467D6">
        <w:t>,</w:t>
      </w:r>
      <w:r>
        <w:t xml:space="preserve"> or negligently.</w:t>
      </w:r>
    </w:p>
    <w:p w14:paraId="6185D0C9" w14:textId="3F6F27C6" w:rsidR="00FB5E26" w:rsidRDefault="00FB5E26" w:rsidP="00314DEB">
      <w:r>
        <w:t>The physical act of under</w:t>
      </w:r>
      <w:r w:rsidR="00850678">
        <w:t>payment could be relatively straightforward</w:t>
      </w:r>
      <w:r>
        <w:t xml:space="preserve"> to establish because it can be tested against the appropriate rate of payment </w:t>
      </w:r>
      <w:r w:rsidR="004467D6">
        <w:t>set out in a modern award or</w:t>
      </w:r>
      <w:r w:rsidR="00850678">
        <w:t xml:space="preserve"> other industrial instrument. Essentially, w</w:t>
      </w:r>
      <w:r w:rsidR="004467D6">
        <w:t>hat would need to be established is that the worker was paid less than that rate. Proving the applicable fault element (intention, knowledge, recklessness or negligence), however, could be more complex.</w:t>
      </w:r>
    </w:p>
    <w:p w14:paraId="6F425CBB" w14:textId="0A3D3ADD" w:rsidR="00857D9D" w:rsidRPr="000617F3" w:rsidRDefault="00857D9D" w:rsidP="00314DEB">
      <w:r w:rsidRPr="00B5058D">
        <w:rPr>
          <w:rFonts w:eastAsia="Times New Roman"/>
          <w:bCs/>
          <w:lang w:eastAsia="en-AU"/>
        </w:rPr>
        <w:t xml:space="preserve">Any </w:t>
      </w:r>
      <w:r>
        <w:rPr>
          <w:rFonts w:eastAsia="Times New Roman"/>
          <w:bCs/>
          <w:lang w:eastAsia="en-AU"/>
        </w:rPr>
        <w:t>new offence would need to be carefully framed to target only the mos</w:t>
      </w:r>
      <w:r w:rsidR="003E2FDC">
        <w:rPr>
          <w:rFonts w:eastAsia="Times New Roman"/>
          <w:bCs/>
          <w:lang w:eastAsia="en-AU"/>
        </w:rPr>
        <w:t xml:space="preserve">t </w:t>
      </w:r>
      <w:r w:rsidR="00850678">
        <w:rPr>
          <w:rFonts w:eastAsia="Times New Roman"/>
          <w:bCs/>
          <w:lang w:eastAsia="en-AU"/>
        </w:rPr>
        <w:t>serious and culpable</w:t>
      </w:r>
      <w:r w:rsidR="003E2FDC">
        <w:rPr>
          <w:rFonts w:eastAsia="Times New Roman"/>
          <w:bCs/>
          <w:lang w:eastAsia="en-AU"/>
        </w:rPr>
        <w:t xml:space="preserve"> underpayment cases </w:t>
      </w:r>
      <w:r w:rsidR="003E2FDC">
        <w:t>—</w:t>
      </w:r>
      <w:r w:rsidR="00850678">
        <w:rPr>
          <w:rFonts w:eastAsia="Times New Roman"/>
          <w:bCs/>
          <w:lang w:eastAsia="en-AU"/>
        </w:rPr>
        <w:t xml:space="preserve"> rather than</w:t>
      </w:r>
      <w:r>
        <w:rPr>
          <w:rFonts w:eastAsia="Times New Roman"/>
          <w:bCs/>
          <w:lang w:eastAsia="en-AU"/>
        </w:rPr>
        <w:t xml:space="preserve"> unintentional mistakes or miscalculations.</w:t>
      </w:r>
    </w:p>
    <w:p w14:paraId="2E4F0235" w14:textId="76466D34" w:rsidR="00634826" w:rsidRDefault="00634826" w:rsidP="00D22228">
      <w:pPr>
        <w:pStyle w:val="Heading4"/>
      </w:pPr>
      <w:r>
        <w:t>Attributing criminal liability</w:t>
      </w:r>
    </w:p>
    <w:p w14:paraId="3E6BF851" w14:textId="26E7774B" w:rsidR="00BC7247" w:rsidRDefault="004467D6" w:rsidP="00314DEB">
      <w:r>
        <w:t>Attributing criminal liability to a corporation can be difficult, particularly in cases involving large organisations with complex corporate structures, geographically dispersed operations and diffuse management chains. It may be difficult to trace fault back to a particular individual, or leadership cohort, in such businesses.</w:t>
      </w:r>
      <w:r w:rsidDel="004467D6">
        <w:t xml:space="preserve"> </w:t>
      </w:r>
    </w:p>
    <w:p w14:paraId="3E5A1348" w14:textId="17068CAF" w:rsidR="00BC7247" w:rsidRDefault="00BC7247" w:rsidP="00314DEB">
      <w:r w:rsidRPr="00BC7247">
        <w:rPr>
          <w:rFonts w:asciiTheme="minorHAnsi" w:eastAsia="Times New Roman" w:hAnsiTheme="minorHAnsi" w:cs="Times New Roman"/>
          <w:w w:val="100"/>
          <w:kern w:val="0"/>
        </w:rPr>
        <w:t xml:space="preserve">Part 2.5 of the </w:t>
      </w:r>
      <w:r>
        <w:rPr>
          <w:rFonts w:asciiTheme="minorHAnsi" w:eastAsia="Times New Roman" w:hAnsiTheme="minorHAnsi" w:cs="Times New Roman"/>
          <w:w w:val="100"/>
          <w:kern w:val="0"/>
        </w:rPr>
        <w:t>Criminal Code</w:t>
      </w:r>
      <w:r w:rsidR="00857D9D">
        <w:rPr>
          <w:rFonts w:asciiTheme="minorHAnsi" w:eastAsia="Times New Roman" w:hAnsiTheme="minorHAnsi" w:cs="Times New Roman"/>
          <w:w w:val="100"/>
          <w:kern w:val="0"/>
        </w:rPr>
        <w:t xml:space="preserve"> </w:t>
      </w:r>
      <w:r w:rsidRPr="00BC7247">
        <w:rPr>
          <w:rFonts w:asciiTheme="minorHAnsi" w:eastAsia="Times New Roman" w:hAnsiTheme="minorHAnsi" w:cs="Times New Roman"/>
          <w:w w:val="100"/>
          <w:kern w:val="0"/>
        </w:rPr>
        <w:t>seeks to address this</w:t>
      </w:r>
      <w:r w:rsidR="004467D6">
        <w:rPr>
          <w:rFonts w:asciiTheme="minorHAnsi" w:eastAsia="Times New Roman" w:hAnsiTheme="minorHAnsi" w:cs="Times New Roman"/>
          <w:w w:val="100"/>
          <w:kern w:val="0"/>
        </w:rPr>
        <w:t xml:space="preserve"> difficulty. Under Part 2.5, where the relevant fault element is intention, knowl</w:t>
      </w:r>
      <w:r w:rsidR="00A45959">
        <w:rPr>
          <w:rFonts w:asciiTheme="minorHAnsi" w:eastAsia="Times New Roman" w:hAnsiTheme="minorHAnsi" w:cs="Times New Roman"/>
          <w:w w:val="100"/>
          <w:kern w:val="0"/>
        </w:rPr>
        <w:t>edge or recklessness, fault</w:t>
      </w:r>
      <w:r w:rsidR="004467D6">
        <w:rPr>
          <w:rFonts w:asciiTheme="minorHAnsi" w:eastAsia="Times New Roman" w:hAnsiTheme="minorHAnsi" w:cs="Times New Roman"/>
          <w:w w:val="100"/>
          <w:kern w:val="0"/>
        </w:rPr>
        <w:t xml:space="preserve"> can be attributed to the company not only on the basis of the conduct of the company’s leadership, but also by reference to the company’s corporate culture. Intention, knowledge or reckless can be attributed to a company, for example, where the company failed to create and maintain a corporate culture that required compliance with the provision in question. Further, where the fault element is negligence, Part 2.5 allows this to be made out by aggregating the conduct of any number of the company’s employees, agents or officers</w:t>
      </w:r>
      <w:r w:rsidR="003E66EB">
        <w:t>.</w:t>
      </w:r>
      <w:r w:rsidR="000A6DCE">
        <w:rPr>
          <w:rStyle w:val="FootnoteReference"/>
        </w:rPr>
        <w:footnoteReference w:id="27"/>
      </w:r>
    </w:p>
    <w:p w14:paraId="4A8EC4A5" w14:textId="7E51B836" w:rsidR="0063159C" w:rsidRDefault="00A318B7" w:rsidP="00D22228">
      <w:pPr>
        <w:pStyle w:val="Heading4"/>
      </w:pPr>
      <w:r>
        <w:t>Maximum</w:t>
      </w:r>
      <w:r w:rsidR="0063159C">
        <w:t xml:space="preserve"> criminal penalties</w:t>
      </w:r>
    </w:p>
    <w:p w14:paraId="73C54B88" w14:textId="2CC2D733" w:rsidR="00A318B7" w:rsidRDefault="00A318B7" w:rsidP="00314DEB">
      <w:r w:rsidRPr="003E2266">
        <w:t>Any punishme</w:t>
      </w:r>
      <w:r>
        <w:t xml:space="preserve">nt should be proportionate, </w:t>
      </w:r>
      <w:r w:rsidRPr="003E2266">
        <w:t>reflect</w:t>
      </w:r>
      <w:r>
        <w:t>ing</w:t>
      </w:r>
      <w:r w:rsidRPr="003E2266">
        <w:t xml:space="preserve"> the </w:t>
      </w:r>
      <w:r w:rsidR="001267B3">
        <w:t xml:space="preserve">seriousness </w:t>
      </w:r>
      <w:r w:rsidR="001346DB">
        <w:t xml:space="preserve">of the offending and the </w:t>
      </w:r>
      <w:r w:rsidRPr="003E2266">
        <w:t>culpability of the offender</w:t>
      </w:r>
      <w:r w:rsidR="00A45959">
        <w:t xml:space="preserve">, and </w:t>
      </w:r>
      <w:r w:rsidR="001346DB">
        <w:t xml:space="preserve">punishment should be </w:t>
      </w:r>
      <w:r w:rsidR="00A45959">
        <w:t>commensurate to criminal</w:t>
      </w:r>
      <w:r>
        <w:t xml:space="preserve"> sanctions penalising other </w:t>
      </w:r>
      <w:r w:rsidR="001267B3">
        <w:t xml:space="preserve">comparable </w:t>
      </w:r>
      <w:r>
        <w:t>forms of wrongdoing</w:t>
      </w:r>
      <w:r w:rsidRPr="003E2266">
        <w:t>.</w:t>
      </w:r>
      <w:r>
        <w:t xml:space="preserve"> </w:t>
      </w:r>
      <w:r w:rsidR="003C6F5F">
        <w:t>For example</w:t>
      </w:r>
      <w:r>
        <w:t>:</w:t>
      </w:r>
    </w:p>
    <w:p w14:paraId="2BCFCE0B" w14:textId="3B9F3250" w:rsidR="00A318B7" w:rsidRDefault="00A318B7" w:rsidP="00A318B7">
      <w:pPr>
        <w:pStyle w:val="ListParagraph"/>
        <w:numPr>
          <w:ilvl w:val="0"/>
          <w:numId w:val="7"/>
        </w:numPr>
      </w:pPr>
      <w:r>
        <w:t>the ‘corrupting benefits’ provisions under the Fair Work Act</w:t>
      </w:r>
      <w:r w:rsidR="00FC24EF">
        <w:t>, which</w:t>
      </w:r>
      <w:r>
        <w:t xml:space="preserve"> attract criminal penalties of 10</w:t>
      </w:r>
      <w:r w:rsidR="00FC24EF">
        <w:t> </w:t>
      </w:r>
      <w:r>
        <w:t>years imprisonment or 5000 penalty units, or both for individuals, or</w:t>
      </w:r>
      <w:r w:rsidR="0069087D">
        <w:t xml:space="preserve"> </w:t>
      </w:r>
      <w:r>
        <w:t>25,000 penalty units</w:t>
      </w:r>
      <w:r w:rsidRPr="00A318B7">
        <w:t xml:space="preserve"> </w:t>
      </w:r>
      <w:r>
        <w:t>for a body corporate</w:t>
      </w:r>
    </w:p>
    <w:p w14:paraId="7FCF9B4E" w14:textId="73467818" w:rsidR="00A318B7" w:rsidRDefault="0069087D" w:rsidP="00857D9D">
      <w:pPr>
        <w:pStyle w:val="ListParagraph"/>
        <w:numPr>
          <w:ilvl w:val="0"/>
          <w:numId w:val="7"/>
        </w:numPr>
      </w:pPr>
      <w:r>
        <w:t>t</w:t>
      </w:r>
      <w:r w:rsidR="00CE5235">
        <w:t>he model</w:t>
      </w:r>
      <w:r w:rsidR="00857D9D">
        <w:t xml:space="preserve"> work health and safety laws</w:t>
      </w:r>
      <w:r w:rsidR="00FC24EF">
        <w:t>, which</w:t>
      </w:r>
      <w:r w:rsidR="00857D9D">
        <w:t xml:space="preserve"> attract </w:t>
      </w:r>
      <w:r w:rsidR="006A2F11">
        <w:t xml:space="preserve">a fine and/or </w:t>
      </w:r>
      <w:r w:rsidR="002A3326">
        <w:t xml:space="preserve">criminal penalties of </w:t>
      </w:r>
      <w:r w:rsidR="00CE1D9B">
        <w:t xml:space="preserve">up to </w:t>
      </w:r>
      <w:r w:rsidR="00D83AF0">
        <w:t>five</w:t>
      </w:r>
      <w:r w:rsidR="002A3326">
        <w:t xml:space="preserve"> years imprisonment for </w:t>
      </w:r>
      <w:r w:rsidR="00857D9D">
        <w:t>C</w:t>
      </w:r>
      <w:r w:rsidR="00CE1D9B">
        <w:t>ategory 1</w:t>
      </w:r>
      <w:r w:rsidR="00314DEB">
        <w:t xml:space="preserve"> offences</w:t>
      </w:r>
    </w:p>
    <w:p w14:paraId="366F7113" w14:textId="682E5B0F" w:rsidR="00A318B7" w:rsidRDefault="0069087D" w:rsidP="00A318B7">
      <w:pPr>
        <w:pStyle w:val="ListParagraph"/>
        <w:numPr>
          <w:ilvl w:val="0"/>
          <w:numId w:val="7"/>
        </w:numPr>
      </w:pPr>
      <w:proofErr w:type="gramStart"/>
      <w:r>
        <w:t>g</w:t>
      </w:r>
      <w:r w:rsidR="00A318B7">
        <w:t>eneral</w:t>
      </w:r>
      <w:proofErr w:type="gramEnd"/>
      <w:r w:rsidR="00A318B7">
        <w:t xml:space="preserve"> theft offences</w:t>
      </w:r>
      <w:r w:rsidR="00FC24EF">
        <w:t>, which</w:t>
      </w:r>
      <w:r w:rsidR="00A318B7">
        <w:t xml:space="preserve"> are typically punishable by a fine and/or between </w:t>
      </w:r>
      <w:r w:rsidR="00D83AF0">
        <w:t>five</w:t>
      </w:r>
      <w:r w:rsidR="00A45959">
        <w:t xml:space="preserve"> to 10 years</w:t>
      </w:r>
      <w:r w:rsidR="00A318B7">
        <w:t xml:space="preserve"> imprisonment, depending on the jurisdiction.</w:t>
      </w:r>
    </w:p>
    <w:p w14:paraId="4A7C694A" w14:textId="682E958B" w:rsidR="00EF5D48" w:rsidRPr="00EF5D48" w:rsidRDefault="00EF5D48" w:rsidP="00EF5D48">
      <w:pPr>
        <w:pStyle w:val="Heading4"/>
      </w:pPr>
      <w:r w:rsidRPr="00EF5D48">
        <w:t xml:space="preserve">Interaction with civil ‘serious contraventions’ </w:t>
      </w:r>
      <w:r w:rsidR="007E04E6">
        <w:t>regime</w:t>
      </w:r>
    </w:p>
    <w:p w14:paraId="4E4B62C1" w14:textId="2030DE5A" w:rsidR="00F27813" w:rsidRDefault="00FC24EF" w:rsidP="00314DEB">
      <w:r>
        <w:rPr>
          <w:lang w:eastAsia="en-AU"/>
        </w:rPr>
        <w:t>Any new criminal offence provision would need to</w:t>
      </w:r>
      <w:r w:rsidR="001352B1">
        <w:rPr>
          <w:lang w:eastAsia="en-AU"/>
        </w:rPr>
        <w:t xml:space="preserve"> be framed </w:t>
      </w:r>
      <w:r w:rsidR="00CE704E">
        <w:rPr>
          <w:lang w:eastAsia="en-AU"/>
        </w:rPr>
        <w:t xml:space="preserve">in a manner that is proportionate to </w:t>
      </w:r>
      <w:r w:rsidR="00F27813">
        <w:rPr>
          <w:lang w:eastAsia="en-AU"/>
        </w:rPr>
        <w:t>the existing ‘serious contraventions’ regime in the Fair Work Act.</w:t>
      </w:r>
      <w:r w:rsidR="00F27813" w:rsidRPr="009014E0">
        <w:t xml:space="preserve"> </w:t>
      </w:r>
    </w:p>
    <w:p w14:paraId="2784BB97" w14:textId="6A773AB4" w:rsidR="0063159C" w:rsidRPr="00EF5D48" w:rsidRDefault="0063159C" w:rsidP="0063159C">
      <w:pPr>
        <w:pStyle w:val="Heading4"/>
      </w:pPr>
      <w:r w:rsidRPr="00EF5D48">
        <w:t xml:space="preserve">Interaction with </w:t>
      </w:r>
      <w:r>
        <w:t>other criminal laws</w:t>
      </w:r>
    </w:p>
    <w:p w14:paraId="75364CA3" w14:textId="262FE399" w:rsidR="0063159C" w:rsidRDefault="00035BCA" w:rsidP="00314DEB">
      <w:r>
        <w:rPr>
          <w:lang w:eastAsia="en-AU"/>
        </w:rPr>
        <w:t xml:space="preserve">A number of states have indicated their intention to consider introducing criminal sanctions for wage underpayment matters. In addition, </w:t>
      </w:r>
      <w:r w:rsidR="00857D9D">
        <w:rPr>
          <w:lang w:eastAsia="en-AU"/>
        </w:rPr>
        <w:t xml:space="preserve">existing </w:t>
      </w:r>
      <w:r w:rsidR="004467D6">
        <w:rPr>
          <w:lang w:eastAsia="en-AU"/>
        </w:rPr>
        <w:t xml:space="preserve">state-based </w:t>
      </w:r>
      <w:r w:rsidR="00857D9D">
        <w:rPr>
          <w:lang w:eastAsia="en-AU"/>
        </w:rPr>
        <w:t xml:space="preserve">criminal offences may also regulate similar conduct. Consideration would need to be given to the </w:t>
      </w:r>
      <w:r w:rsidR="004467D6">
        <w:rPr>
          <w:lang w:eastAsia="en-AU"/>
        </w:rPr>
        <w:t>interaction between Commonwealth and state laws</w:t>
      </w:r>
      <w:r w:rsidR="00857D9D">
        <w:rPr>
          <w:lang w:eastAsia="en-AU"/>
        </w:rPr>
        <w:t xml:space="preserve">. </w:t>
      </w:r>
    </w:p>
    <w:p w14:paraId="0515299A" w14:textId="77777777" w:rsidR="00BC7247" w:rsidRPr="008647FB" w:rsidRDefault="00BC7247" w:rsidP="00BC7247">
      <w:pPr>
        <w:pStyle w:val="Heading4"/>
      </w:pPr>
      <w:r>
        <w:t>Enf</w:t>
      </w:r>
      <w:r w:rsidRPr="008647FB">
        <w:t>or</w:t>
      </w:r>
      <w:r>
        <w:t>cement considerations</w:t>
      </w:r>
    </w:p>
    <w:p w14:paraId="17E9A77B" w14:textId="6E4F0406" w:rsidR="00BC7247" w:rsidRDefault="00BC7247" w:rsidP="00314DEB">
      <w:r>
        <w:t>C</w:t>
      </w:r>
      <w:r w:rsidRPr="008647FB">
        <w:t xml:space="preserve">riminal offences carry </w:t>
      </w:r>
      <w:r>
        <w:t>fault elements and a</w:t>
      </w:r>
      <w:r w:rsidRPr="008647FB">
        <w:t xml:space="preserve"> higher </w:t>
      </w:r>
      <w:r>
        <w:t>evidentiary burden than a similar civil contravention</w:t>
      </w:r>
      <w:r w:rsidR="00FC24EF">
        <w:t>.</w:t>
      </w:r>
      <w:r w:rsidR="003C6F5F">
        <w:t xml:space="preserve"> This reflects the significant consequences typically attached to criminal offences and the need to provide safeguards against wrongful conviction.</w:t>
      </w:r>
    </w:p>
    <w:p w14:paraId="79CAC570" w14:textId="16CE5F42" w:rsidR="00BC7247" w:rsidRDefault="00BC7247" w:rsidP="00314DEB">
      <w:pPr>
        <w:rPr>
          <w:rFonts w:eastAsia="Times New Roman"/>
          <w:bCs/>
          <w:lang w:eastAsia="en-AU"/>
        </w:rPr>
      </w:pPr>
      <w:r>
        <w:rPr>
          <w:rFonts w:eastAsia="Times New Roman"/>
          <w:lang w:eastAsia="en-AU"/>
        </w:rPr>
        <w:t xml:space="preserve">The </w:t>
      </w:r>
      <w:r w:rsidRPr="00B5058D">
        <w:rPr>
          <w:rFonts w:eastAsia="Times New Roman"/>
          <w:bCs/>
          <w:lang w:eastAsia="en-AU"/>
        </w:rPr>
        <w:t>Migrant W</w:t>
      </w:r>
      <w:r>
        <w:rPr>
          <w:rFonts w:eastAsia="Times New Roman"/>
          <w:bCs/>
          <w:lang w:eastAsia="en-AU"/>
        </w:rPr>
        <w:t xml:space="preserve">orkers’ Taskforce report noted that </w:t>
      </w:r>
      <w:r w:rsidRPr="00B5058D">
        <w:rPr>
          <w:rFonts w:eastAsia="Times New Roman"/>
          <w:bCs/>
          <w:lang w:eastAsia="en-AU"/>
        </w:rPr>
        <w:t xml:space="preserve">the </w:t>
      </w:r>
      <w:r w:rsidRPr="0037311F">
        <w:rPr>
          <w:rFonts w:eastAsia="Times New Roman"/>
          <w:bCs/>
          <w:i/>
          <w:lang w:eastAsia="en-AU"/>
        </w:rPr>
        <w:t>Migration Act 1958</w:t>
      </w:r>
      <w:r w:rsidRPr="00B5058D">
        <w:rPr>
          <w:rFonts w:eastAsia="Times New Roman"/>
          <w:bCs/>
          <w:lang w:eastAsia="en-AU"/>
        </w:rPr>
        <w:t xml:space="preserve"> includes a number of </w:t>
      </w:r>
      <w:r w:rsidR="004467D6">
        <w:rPr>
          <w:rFonts w:eastAsia="Times New Roman"/>
          <w:bCs/>
          <w:lang w:eastAsia="en-AU"/>
        </w:rPr>
        <w:t xml:space="preserve">criminal offence provisions targeted at employers </w:t>
      </w:r>
      <w:r w:rsidRPr="00B5058D">
        <w:rPr>
          <w:rFonts w:eastAsia="Times New Roman"/>
          <w:bCs/>
          <w:lang w:eastAsia="en-AU"/>
        </w:rPr>
        <w:t>to deter and respond to illegal work. The</w:t>
      </w:r>
      <w:r>
        <w:rPr>
          <w:rFonts w:eastAsia="Times New Roman"/>
          <w:bCs/>
          <w:lang w:eastAsia="en-AU"/>
        </w:rPr>
        <w:t>se</w:t>
      </w:r>
      <w:r w:rsidRPr="00B5058D">
        <w:rPr>
          <w:rFonts w:eastAsia="Times New Roman"/>
          <w:bCs/>
          <w:lang w:eastAsia="en-AU"/>
        </w:rPr>
        <w:t xml:space="preserve"> provisions allow for a range of penalties </w:t>
      </w:r>
      <w:r>
        <w:rPr>
          <w:rFonts w:eastAsia="Times New Roman"/>
          <w:bCs/>
          <w:lang w:eastAsia="en-AU"/>
        </w:rPr>
        <w:t>for</w:t>
      </w:r>
      <w:r w:rsidRPr="00B5058D">
        <w:rPr>
          <w:rFonts w:eastAsia="Times New Roman"/>
          <w:bCs/>
          <w:lang w:eastAsia="en-AU"/>
        </w:rPr>
        <w:t xml:space="preserve"> non-compliant employers and labour suppliers who allow illegal work, or refer a person for illegal work. Illegal work includes unlawful non-citizens working and lawful non-citizens working in breach of conditions attached to their visas.</w:t>
      </w:r>
      <w:r w:rsidRPr="00B5058D">
        <w:rPr>
          <w:rStyle w:val="FootnoteReference"/>
          <w:rFonts w:eastAsia="Times New Roman"/>
          <w:lang w:eastAsia="en-AU"/>
        </w:rPr>
        <w:footnoteReference w:id="28"/>
      </w:r>
    </w:p>
    <w:p w14:paraId="1A4A166E" w14:textId="528130C3" w:rsidR="008647FB" w:rsidRPr="008647FB" w:rsidRDefault="008647FB" w:rsidP="008647FB">
      <w:pPr>
        <w:pStyle w:val="Heading4"/>
      </w:pPr>
      <w:r w:rsidRPr="008647FB">
        <w:t>Discussion questions:</w:t>
      </w:r>
    </w:p>
    <w:p w14:paraId="51EF5B39" w14:textId="28FE6EB8" w:rsidR="00FC24EF" w:rsidRDefault="00E718A1" w:rsidP="00FC24EF">
      <w:pPr>
        <w:pStyle w:val="ListParagraph"/>
        <w:numPr>
          <w:ilvl w:val="0"/>
          <w:numId w:val="7"/>
        </w:numPr>
      </w:pPr>
      <w:r>
        <w:t>In what circumstances s</w:t>
      </w:r>
      <w:r w:rsidR="00FC24EF">
        <w:t>hould underpayment of wages attract criminal penalties?</w:t>
      </w:r>
    </w:p>
    <w:p w14:paraId="421BEE12" w14:textId="6E0B12D9" w:rsidR="007A512A" w:rsidRDefault="007A512A" w:rsidP="00410596">
      <w:pPr>
        <w:pStyle w:val="ListParagraph"/>
        <w:numPr>
          <w:ilvl w:val="0"/>
          <w:numId w:val="7"/>
        </w:numPr>
        <w:spacing w:before="120" w:after="120"/>
      </w:pPr>
      <w:r>
        <w:t xml:space="preserve">What consideration/weight should be given to the whether an underpayment was part of </w:t>
      </w:r>
      <w:r w:rsidR="00410596">
        <w:t>a systematic pattern of conduct</w:t>
      </w:r>
      <w:r>
        <w:t xml:space="preserve"> and whether it was dishonest?</w:t>
      </w:r>
    </w:p>
    <w:p w14:paraId="1CFB1C2A" w14:textId="071169FE" w:rsidR="004467D6" w:rsidRPr="004467D6" w:rsidRDefault="004467D6" w:rsidP="00410596">
      <w:pPr>
        <w:pStyle w:val="ListParagraph"/>
        <w:numPr>
          <w:ilvl w:val="0"/>
          <w:numId w:val="7"/>
        </w:numPr>
        <w:spacing w:before="120" w:after="120"/>
      </w:pPr>
      <w:r>
        <w:t>What kind of fault elements should apply?</w:t>
      </w:r>
    </w:p>
    <w:p w14:paraId="1194343D" w14:textId="3010D9F4" w:rsidR="00FC24EF" w:rsidRPr="00B65348" w:rsidRDefault="001346DB" w:rsidP="00410596">
      <w:pPr>
        <w:pStyle w:val="ListParagraph"/>
        <w:numPr>
          <w:ilvl w:val="0"/>
          <w:numId w:val="7"/>
        </w:numPr>
        <w:spacing w:before="120" w:after="120"/>
      </w:pPr>
      <w:r>
        <w:rPr>
          <w:bCs/>
        </w:rPr>
        <w:t>Should the Criminal Code [</w:t>
      </w:r>
      <w:r w:rsidR="00FC24EF" w:rsidRPr="00FC24EF">
        <w:rPr>
          <w:bCs/>
        </w:rPr>
        <w:t xml:space="preserve">see the Schedule to the </w:t>
      </w:r>
      <w:r w:rsidR="00FC24EF" w:rsidRPr="00FC24EF">
        <w:rPr>
          <w:i/>
        </w:rPr>
        <w:t xml:space="preserve">Criminal Code Act 1995 </w:t>
      </w:r>
      <w:r>
        <w:t>(</w:t>
      </w:r>
      <w:proofErr w:type="spellStart"/>
      <w:r>
        <w:t>Cth</w:t>
      </w:r>
      <w:proofErr w:type="spellEnd"/>
      <w:r>
        <w:t>)]</w:t>
      </w:r>
      <w:r w:rsidR="00FC24EF" w:rsidRPr="0014611B">
        <w:t xml:space="preserve"> </w:t>
      </w:r>
      <w:r w:rsidR="00FC24EF">
        <w:t>be applied in relation to accessorial liability and corporate criminal responsibility?</w:t>
      </w:r>
    </w:p>
    <w:p w14:paraId="7DA4BB55" w14:textId="77777777" w:rsidR="00FC24EF" w:rsidRDefault="00FC24EF" w:rsidP="00410596">
      <w:pPr>
        <w:pStyle w:val="ListParagraph"/>
        <w:numPr>
          <w:ilvl w:val="0"/>
          <w:numId w:val="7"/>
        </w:numPr>
      </w:pPr>
      <w:r>
        <w:t>What should the maximum penalty be for an individual and for a body corporate?</w:t>
      </w:r>
    </w:p>
    <w:p w14:paraId="408A012A" w14:textId="77777777" w:rsidR="00E61159" w:rsidRDefault="00FC24EF" w:rsidP="00410596">
      <w:pPr>
        <w:pStyle w:val="ListParagraph"/>
        <w:numPr>
          <w:ilvl w:val="0"/>
          <w:numId w:val="7"/>
        </w:numPr>
      </w:pPr>
      <w:r>
        <w:t>Are there potential unintended consequences of introducing criminal sanctions for wage underpayment?</w:t>
      </w:r>
      <w:r w:rsidR="001346DB">
        <w:t xml:space="preserve"> If so, how might these be avoided?</w:t>
      </w:r>
    </w:p>
    <w:p w14:paraId="1392ADAD" w14:textId="77777777" w:rsidR="00E61159" w:rsidRDefault="00E61159" w:rsidP="00E61159">
      <w:pPr>
        <w:pStyle w:val="ListParagraph"/>
        <w:numPr>
          <w:ilvl w:val="0"/>
          <w:numId w:val="7"/>
        </w:numPr>
        <w:spacing w:before="120" w:after="120"/>
      </w:pPr>
      <w:r>
        <w:t>Are there other serious types of exploitation that should also attract criminal penalties? If so, what are these and how should they be delivered?</w:t>
      </w:r>
    </w:p>
    <w:p w14:paraId="654E6342" w14:textId="095B6DDF" w:rsidR="007C275E" w:rsidRPr="00410596" w:rsidRDefault="007C275E" w:rsidP="00410596">
      <w:pPr>
        <w:pStyle w:val="ListParagraph"/>
        <w:numPr>
          <w:ilvl w:val="0"/>
          <w:numId w:val="7"/>
        </w:numPr>
      </w:pPr>
      <w:r>
        <w:br w:type="page"/>
      </w:r>
    </w:p>
    <w:p w14:paraId="61C8B348" w14:textId="77777777" w:rsidR="005C2162" w:rsidRDefault="000951D9" w:rsidP="005C2162">
      <w:pPr>
        <w:pStyle w:val="Heading2"/>
      </w:pPr>
      <w:r w:rsidRPr="000951D9">
        <w:t xml:space="preserve">ATTACHMENT </w:t>
      </w:r>
      <w:r w:rsidR="0000629B">
        <w:t>A</w:t>
      </w:r>
      <w:r w:rsidRPr="000951D9">
        <w:t xml:space="preserve">: </w:t>
      </w:r>
      <w:r w:rsidR="005C2162">
        <w:t xml:space="preserve">FWO enforcement tools and Fair Work Act penalties </w:t>
      </w:r>
    </w:p>
    <w:p w14:paraId="6B92AEE4" w14:textId="4D0BBEA8" w:rsidR="005C2162" w:rsidRPr="007E04E6" w:rsidRDefault="005C2162" w:rsidP="00F101AC">
      <w:pPr>
        <w:pStyle w:val="Heading3"/>
      </w:pPr>
      <w:r w:rsidRPr="0037311F">
        <w:t xml:space="preserve">Table 1: FWO </w:t>
      </w:r>
      <w:r w:rsidR="003642D3">
        <w:t>e</w:t>
      </w:r>
      <w:r w:rsidRPr="0037311F">
        <w:t xml:space="preserve">nforcement </w:t>
      </w:r>
      <w:r w:rsidR="003642D3">
        <w:t>t</w:t>
      </w:r>
      <w:r w:rsidRPr="0037311F">
        <w:t xml:space="preserve">ools </w:t>
      </w:r>
    </w:p>
    <w:tbl>
      <w:tblPr>
        <w:tblStyle w:val="TableGrid"/>
        <w:tblW w:w="10201" w:type="dxa"/>
        <w:tblInd w:w="0" w:type="dxa"/>
        <w:tblLook w:val="04A0" w:firstRow="1" w:lastRow="0" w:firstColumn="1" w:lastColumn="0" w:noHBand="0" w:noVBand="1"/>
        <w:tblCaption w:val="Fair Work Ombudsman compliance and enforcement tools"/>
        <w:tblDescription w:val="Table 1 outlines the five compliance and enforcement tools available to the Fair Work Ombudsman. First, compliance partnerships deeds which are voluntarily entered into by employers and demonstrate their commitment to compliance with workplace laws. Second, compliance notices which can require a person to take specified action to remedy the effects of a contravention. Third, infringement notices which can require a person to pay a penalty for contravening a workplace law. Fourth, enforceable undertakings where an employer will make a written undertaking in relation to a contravention of workplace laws. Fifth, commencing legal proceedings against a non-compliant employer."/>
      </w:tblPr>
      <w:tblGrid>
        <w:gridCol w:w="2972"/>
        <w:gridCol w:w="7229"/>
      </w:tblGrid>
      <w:tr w:rsidR="005C2162" w14:paraId="1554D4F2" w14:textId="77777777" w:rsidTr="00A22F9D">
        <w:trPr>
          <w:tblHeader/>
        </w:trPr>
        <w:tc>
          <w:tcPr>
            <w:tcW w:w="2972" w:type="dxa"/>
            <w:shd w:val="clear" w:color="auto" w:fill="F2F2F2" w:themeFill="background1" w:themeFillShade="F2"/>
          </w:tcPr>
          <w:p w14:paraId="754C4395" w14:textId="5005619A" w:rsidR="005C2162" w:rsidRDefault="009320DA" w:rsidP="00C066DA">
            <w:r>
              <w:t>Enforcement</w:t>
            </w:r>
            <w:r w:rsidR="005C2162">
              <w:t xml:space="preserve"> tool*</w:t>
            </w:r>
          </w:p>
        </w:tc>
        <w:tc>
          <w:tcPr>
            <w:tcW w:w="7229" w:type="dxa"/>
            <w:shd w:val="clear" w:color="auto" w:fill="F2F2F2" w:themeFill="background1" w:themeFillShade="F2"/>
          </w:tcPr>
          <w:p w14:paraId="09C9948F" w14:textId="77777777" w:rsidR="005C2162" w:rsidRDefault="005C2162" w:rsidP="00C066DA">
            <w:r>
              <w:t xml:space="preserve">Description </w:t>
            </w:r>
          </w:p>
        </w:tc>
      </w:tr>
      <w:tr w:rsidR="005C2162" w14:paraId="069E2E1E" w14:textId="5C711410" w:rsidTr="0037311F">
        <w:tc>
          <w:tcPr>
            <w:tcW w:w="2972" w:type="dxa"/>
          </w:tcPr>
          <w:p w14:paraId="1CDC4261" w14:textId="4A86B575" w:rsidR="005C2162" w:rsidRDefault="005C2162" w:rsidP="00C066DA">
            <w:r>
              <w:t xml:space="preserve">Compliance Notice </w:t>
            </w:r>
          </w:p>
        </w:tc>
        <w:tc>
          <w:tcPr>
            <w:tcW w:w="7229" w:type="dxa"/>
          </w:tcPr>
          <w:p w14:paraId="48EB5163" w14:textId="7B67E960" w:rsidR="005C2162" w:rsidRDefault="005C2162" w:rsidP="00C066DA">
            <w:r>
              <w:t xml:space="preserve">Requires a person to take specified action to remedy the direct effects of the identified contraventions and/or require to person to produce reasonable evidence of compliance. </w:t>
            </w:r>
          </w:p>
        </w:tc>
      </w:tr>
      <w:tr w:rsidR="005C2162" w14:paraId="5D6B1A76" w14:textId="77777777" w:rsidTr="0037311F">
        <w:trPr>
          <w:trHeight w:val="829"/>
        </w:trPr>
        <w:tc>
          <w:tcPr>
            <w:tcW w:w="2972" w:type="dxa"/>
          </w:tcPr>
          <w:p w14:paraId="7D5BDEA1" w14:textId="77777777" w:rsidR="005C2162" w:rsidRDefault="005C2162" w:rsidP="00C066DA">
            <w:r>
              <w:t xml:space="preserve">Infringement Notice </w:t>
            </w:r>
          </w:p>
        </w:tc>
        <w:tc>
          <w:tcPr>
            <w:tcW w:w="7229" w:type="dxa"/>
          </w:tcPr>
          <w:p w14:paraId="4878CD5C" w14:textId="77777777" w:rsidR="005C2162" w:rsidRDefault="005C2162" w:rsidP="00C066DA">
            <w:r>
              <w:t xml:space="preserve">Similar to an on-the-spot fine and can be issued by a FWO inspector where there is reasonable belief that a person has contravened record keeping or payslip obligations. </w:t>
            </w:r>
          </w:p>
        </w:tc>
      </w:tr>
      <w:tr w:rsidR="005C2162" w14:paraId="776A9C1D" w14:textId="77777777" w:rsidTr="0037311F">
        <w:trPr>
          <w:trHeight w:val="617"/>
        </w:trPr>
        <w:tc>
          <w:tcPr>
            <w:tcW w:w="2972" w:type="dxa"/>
          </w:tcPr>
          <w:p w14:paraId="70E30B1D" w14:textId="77777777" w:rsidR="005C2162" w:rsidRDefault="005C2162" w:rsidP="00C066DA">
            <w:r>
              <w:t>Enforceable Undertaking</w:t>
            </w:r>
          </w:p>
        </w:tc>
        <w:tc>
          <w:tcPr>
            <w:tcW w:w="7229" w:type="dxa"/>
          </w:tcPr>
          <w:p w14:paraId="512E471A" w14:textId="150D7204" w:rsidR="005C2162" w:rsidRDefault="005C2162" w:rsidP="007E2CB8">
            <w:r>
              <w:t xml:space="preserve">A written </w:t>
            </w:r>
            <w:r w:rsidR="007E2CB8">
              <w:t xml:space="preserve">undertaking given by </w:t>
            </w:r>
            <w:r>
              <w:t>an employer who is ‘reasonably believed’ to have contravened the Fair Work Act</w:t>
            </w:r>
            <w:r w:rsidR="007E2CB8">
              <w:t>, and accepted by the FWO</w:t>
            </w:r>
            <w:r>
              <w:t xml:space="preserve">. </w:t>
            </w:r>
            <w:r w:rsidR="006A029E">
              <w:t xml:space="preserve">Can </w:t>
            </w:r>
            <w:r w:rsidR="007E04E6">
              <w:t>include any agreed undertaking, such as</w:t>
            </w:r>
            <w:r w:rsidR="006A029E">
              <w:t xml:space="preserve"> a ‘contrition payment’.</w:t>
            </w:r>
          </w:p>
        </w:tc>
      </w:tr>
      <w:tr w:rsidR="005C2162" w14:paraId="5E688748" w14:textId="77777777" w:rsidTr="0037311F">
        <w:tc>
          <w:tcPr>
            <w:tcW w:w="2972" w:type="dxa"/>
          </w:tcPr>
          <w:p w14:paraId="4FF40569" w14:textId="77777777" w:rsidR="005C2162" w:rsidRDefault="005C2162" w:rsidP="00C066DA">
            <w:r>
              <w:t>Litigation</w:t>
            </w:r>
          </w:p>
        </w:tc>
        <w:tc>
          <w:tcPr>
            <w:tcW w:w="7229" w:type="dxa"/>
          </w:tcPr>
          <w:p w14:paraId="5F80772B" w14:textId="77777777" w:rsidR="005C2162" w:rsidRPr="003943CC" w:rsidRDefault="005C2162" w:rsidP="00C066DA">
            <w:pPr>
              <w:widowControl w:val="0"/>
              <w:tabs>
                <w:tab w:val="left" w:pos="1134"/>
              </w:tabs>
              <w:ind w:right="82"/>
              <w:rPr>
                <w:rFonts w:cstheme="minorHAnsi"/>
              </w:rPr>
            </w:pPr>
            <w:bookmarkStart w:id="2" w:name="_Ref520736459"/>
            <w:r>
              <w:rPr>
                <w:rFonts w:cstheme="minorHAnsi"/>
              </w:rPr>
              <w:t xml:space="preserve">The FWO will only commence proceedings if it considers that there is sufficient evidence to do so and it would be in the public interest. </w:t>
            </w:r>
            <w:bookmarkEnd w:id="2"/>
          </w:p>
        </w:tc>
      </w:tr>
    </w:tbl>
    <w:p w14:paraId="6B1ACD1D" w14:textId="77777777" w:rsidR="005C2162" w:rsidRDefault="005C2162" w:rsidP="005C2162">
      <w:r>
        <w:t xml:space="preserve">*See the FWO ‘Compliance and Enforcement Policy’ for </w:t>
      </w:r>
      <w:r w:rsidR="00A96995">
        <w:t>guidance on</w:t>
      </w:r>
      <w:r>
        <w:t xml:space="preserve"> when the FWO will use a particular compliance tool. </w:t>
      </w:r>
    </w:p>
    <w:p w14:paraId="7E3BCA51" w14:textId="77777777" w:rsidR="005C2162" w:rsidRPr="007E04E6" w:rsidRDefault="005C2162" w:rsidP="00F101AC">
      <w:pPr>
        <w:pStyle w:val="Heading3"/>
      </w:pPr>
      <w:r w:rsidRPr="0037311F">
        <w:t xml:space="preserve">Table 2: Penalties available in the Fair Work Act </w:t>
      </w:r>
    </w:p>
    <w:tbl>
      <w:tblPr>
        <w:tblStyle w:val="TableGrid"/>
        <w:tblW w:w="10201" w:type="dxa"/>
        <w:tblInd w:w="0" w:type="dxa"/>
        <w:tblLook w:val="04A0" w:firstRow="1" w:lastRow="0" w:firstColumn="1" w:lastColumn="0" w:noHBand="0" w:noVBand="1"/>
        <w:tblCaption w:val="Penalties available in the Fair Work Act"/>
        <w:tblDescription w:val="Table 2 outlines the maximum penalties currently available for various contraventions of the Fair Work Act. Underpayments, non-compliance with record keeping obligations or requirements relating to the payment of wages, cash-back arrangements, and failure to comply with a FWO notice attract maximum penalties of $126,000 for individuals or $630,000 for bodies corporate. Hindering or obstructing Fair Work Inspectors, providing false or misleading documents to the FWO, or failing to comply with the FWO's compliance and enforcement tools attract maximum penalties of between $6,300 and $12,600 for individuals and between $31,500 and $63,000 for bodies corporate.  "/>
      </w:tblPr>
      <w:tblGrid>
        <w:gridCol w:w="3964"/>
        <w:gridCol w:w="6237"/>
      </w:tblGrid>
      <w:tr w:rsidR="005C2162" w:rsidRPr="00705BA1" w14:paraId="7D7AD816" w14:textId="77777777" w:rsidTr="00A22F9D">
        <w:trPr>
          <w:tblHeader/>
        </w:trPr>
        <w:tc>
          <w:tcPr>
            <w:tcW w:w="3964" w:type="dxa"/>
            <w:shd w:val="clear" w:color="auto" w:fill="F2F2F2" w:themeFill="background1" w:themeFillShade="F2"/>
          </w:tcPr>
          <w:p w14:paraId="56CD7E22" w14:textId="77777777" w:rsidR="005C2162" w:rsidRPr="00705BA1" w:rsidRDefault="005C2162" w:rsidP="00C066DA">
            <w:pPr>
              <w:rPr>
                <w:rFonts w:ascii="Calibri" w:eastAsia="Times New Roman" w:hAnsi="Calibri"/>
                <w:bCs/>
                <w:lang w:eastAsia="en-AU"/>
              </w:rPr>
            </w:pPr>
            <w:r>
              <w:rPr>
                <w:rFonts w:ascii="Calibri" w:eastAsia="Times New Roman" w:hAnsi="Calibri"/>
                <w:bCs/>
                <w:lang w:eastAsia="en-AU"/>
              </w:rPr>
              <w:t>Contravention</w:t>
            </w:r>
            <w:r w:rsidRPr="00705BA1">
              <w:rPr>
                <w:rFonts w:ascii="Calibri" w:eastAsia="Times New Roman" w:hAnsi="Calibri"/>
                <w:bCs/>
                <w:lang w:eastAsia="en-AU"/>
              </w:rPr>
              <w:t xml:space="preserve"> </w:t>
            </w:r>
          </w:p>
        </w:tc>
        <w:tc>
          <w:tcPr>
            <w:tcW w:w="6237" w:type="dxa"/>
            <w:shd w:val="clear" w:color="auto" w:fill="F2F2F2" w:themeFill="background1" w:themeFillShade="F2"/>
          </w:tcPr>
          <w:p w14:paraId="246CD02B" w14:textId="411429BF" w:rsidR="005C2162" w:rsidRPr="00705BA1" w:rsidRDefault="005C2162" w:rsidP="00C066DA">
            <w:pPr>
              <w:rPr>
                <w:rFonts w:ascii="Calibri" w:eastAsia="Times New Roman" w:hAnsi="Calibri"/>
                <w:bCs/>
                <w:lang w:eastAsia="en-AU"/>
              </w:rPr>
            </w:pPr>
            <w:r>
              <w:rPr>
                <w:rFonts w:ascii="Calibri" w:eastAsia="Times New Roman" w:hAnsi="Calibri"/>
                <w:bCs/>
                <w:lang w:eastAsia="en-AU"/>
              </w:rPr>
              <w:t>Current maximum penalty level (</w:t>
            </w:r>
            <w:r w:rsidR="0014666C">
              <w:rPr>
                <w:rFonts w:ascii="Calibri" w:eastAsia="Times New Roman" w:hAnsi="Calibri"/>
                <w:bCs/>
                <w:lang w:eastAsia="en-AU"/>
              </w:rPr>
              <w:t xml:space="preserve">$ </w:t>
            </w:r>
            <w:r>
              <w:rPr>
                <w:rFonts w:ascii="Calibri" w:eastAsia="Times New Roman" w:hAnsi="Calibri"/>
                <w:bCs/>
                <w:lang w:eastAsia="en-AU"/>
              </w:rPr>
              <w:t>per individual/ body corporate)</w:t>
            </w:r>
          </w:p>
        </w:tc>
      </w:tr>
      <w:tr w:rsidR="005C2162" w:rsidRPr="00705BA1" w14:paraId="32B7B777" w14:textId="77777777" w:rsidTr="00C066DA">
        <w:trPr>
          <w:trHeight w:val="416"/>
        </w:trPr>
        <w:tc>
          <w:tcPr>
            <w:tcW w:w="3964" w:type="dxa"/>
            <w:vMerge w:val="restart"/>
          </w:tcPr>
          <w:p w14:paraId="6CC0B55B" w14:textId="77777777" w:rsidR="005C2162" w:rsidRPr="00705BA1" w:rsidRDefault="005C2162" w:rsidP="00C066DA">
            <w:pPr>
              <w:rPr>
                <w:rFonts w:ascii="Calibri" w:eastAsia="Times New Roman" w:hAnsi="Calibri"/>
                <w:bCs/>
                <w:lang w:eastAsia="en-AU"/>
              </w:rPr>
            </w:pPr>
            <w:r w:rsidRPr="00705BA1">
              <w:rPr>
                <w:rFonts w:ascii="Calibri" w:eastAsia="Times New Roman" w:hAnsi="Calibri"/>
                <w:bCs/>
                <w:lang w:eastAsia="en-AU"/>
              </w:rPr>
              <w:t>Record keeping failure (i.e. payslip requirements, timesheet)</w:t>
            </w:r>
          </w:p>
          <w:p w14:paraId="37FA5D85" w14:textId="77777777" w:rsidR="005C2162" w:rsidRPr="00705BA1" w:rsidRDefault="005C2162" w:rsidP="00C066DA">
            <w:pPr>
              <w:rPr>
                <w:rFonts w:ascii="Calibri" w:eastAsia="Times New Roman" w:hAnsi="Calibri"/>
                <w:bCs/>
                <w:lang w:eastAsia="en-AU"/>
              </w:rPr>
            </w:pPr>
          </w:p>
        </w:tc>
        <w:tc>
          <w:tcPr>
            <w:tcW w:w="6237" w:type="dxa"/>
          </w:tcPr>
          <w:p w14:paraId="1AE27BBB" w14:textId="77777777" w:rsidR="005C2162" w:rsidRDefault="005C2162" w:rsidP="00C066DA">
            <w:pPr>
              <w:rPr>
                <w:rFonts w:ascii="Calibri" w:eastAsia="Times New Roman" w:hAnsi="Calibri"/>
                <w:bCs/>
                <w:lang w:eastAsia="en-AU"/>
              </w:rPr>
            </w:pPr>
            <w:r>
              <w:rPr>
                <w:rFonts w:ascii="Calibri" w:eastAsia="Times New Roman" w:hAnsi="Calibri"/>
                <w:bCs/>
                <w:lang w:eastAsia="en-AU"/>
              </w:rPr>
              <w:t xml:space="preserve">Infringement Notice issued by a FWO inspector of </w:t>
            </w:r>
          </w:p>
          <w:p w14:paraId="7DB16230" w14:textId="6F9DAC1A" w:rsidR="005C2162" w:rsidRPr="00D37CAE" w:rsidRDefault="005C2162" w:rsidP="005C2162">
            <w:pPr>
              <w:pStyle w:val="ListParagraph"/>
              <w:numPr>
                <w:ilvl w:val="0"/>
                <w:numId w:val="24"/>
              </w:numPr>
              <w:rPr>
                <w:rFonts w:ascii="Calibri" w:eastAsia="Times New Roman" w:hAnsi="Calibri"/>
                <w:bCs/>
                <w:lang w:eastAsia="en-AU"/>
              </w:rPr>
            </w:pPr>
            <w:r w:rsidRPr="00D37CAE">
              <w:rPr>
                <w:rFonts w:ascii="Calibri" w:eastAsia="Times New Roman" w:hAnsi="Calibri"/>
                <w:bCs/>
                <w:lang w:eastAsia="en-AU"/>
              </w:rPr>
              <w:t>1260/6300 for a contravention of the Fair Work Act</w:t>
            </w:r>
          </w:p>
          <w:p w14:paraId="1910C08E" w14:textId="001C9DF9" w:rsidR="005C2162" w:rsidRPr="00D37CAE" w:rsidRDefault="005C2162" w:rsidP="005C2162">
            <w:pPr>
              <w:pStyle w:val="ListParagraph"/>
              <w:numPr>
                <w:ilvl w:val="0"/>
                <w:numId w:val="24"/>
              </w:numPr>
              <w:rPr>
                <w:rFonts w:ascii="Calibri" w:eastAsia="Times New Roman" w:hAnsi="Calibri"/>
                <w:bCs/>
                <w:lang w:eastAsia="en-AU"/>
              </w:rPr>
            </w:pPr>
            <w:r w:rsidRPr="00D37CAE">
              <w:rPr>
                <w:rFonts w:ascii="Calibri" w:eastAsia="Times New Roman" w:hAnsi="Calibri"/>
                <w:bCs/>
                <w:lang w:eastAsia="en-AU"/>
              </w:rPr>
              <w:t>420 for a contravention of the Fair Work Regulations</w:t>
            </w:r>
          </w:p>
        </w:tc>
      </w:tr>
      <w:tr w:rsidR="005C2162" w:rsidRPr="00705BA1" w14:paraId="206F150D" w14:textId="77777777" w:rsidTr="00C066DA">
        <w:trPr>
          <w:trHeight w:val="660"/>
        </w:trPr>
        <w:tc>
          <w:tcPr>
            <w:tcW w:w="3964" w:type="dxa"/>
            <w:vMerge/>
          </w:tcPr>
          <w:p w14:paraId="4D062CB1" w14:textId="77777777" w:rsidR="005C2162" w:rsidRPr="00705BA1" w:rsidRDefault="005C2162" w:rsidP="00C066DA">
            <w:pPr>
              <w:rPr>
                <w:rFonts w:ascii="Calibri" w:eastAsia="Times New Roman" w:hAnsi="Calibri"/>
                <w:bCs/>
                <w:lang w:eastAsia="en-AU"/>
              </w:rPr>
            </w:pPr>
          </w:p>
        </w:tc>
        <w:tc>
          <w:tcPr>
            <w:tcW w:w="6237" w:type="dxa"/>
          </w:tcPr>
          <w:p w14:paraId="00ED61B0" w14:textId="7AF91BB1" w:rsidR="005C2162" w:rsidRDefault="005C2162" w:rsidP="005C2162">
            <w:pPr>
              <w:pStyle w:val="ListParagraph"/>
              <w:numPr>
                <w:ilvl w:val="0"/>
                <w:numId w:val="24"/>
              </w:numPr>
              <w:rPr>
                <w:rFonts w:ascii="Calibri" w:eastAsia="Times New Roman" w:hAnsi="Calibri"/>
                <w:bCs/>
                <w:lang w:eastAsia="en-AU"/>
              </w:rPr>
            </w:pPr>
            <w:r w:rsidRPr="00D37CAE">
              <w:rPr>
                <w:rFonts w:ascii="Calibri" w:eastAsia="Times New Roman" w:hAnsi="Calibri"/>
                <w:bCs/>
                <w:lang w:eastAsia="en-AU"/>
              </w:rPr>
              <w:t>12,600</w:t>
            </w:r>
            <w:r>
              <w:rPr>
                <w:rFonts w:ascii="Calibri" w:eastAsia="Times New Roman" w:hAnsi="Calibri"/>
                <w:bCs/>
                <w:lang w:eastAsia="en-AU"/>
              </w:rPr>
              <w:t>/63,000</w:t>
            </w:r>
            <w:r w:rsidR="00410596">
              <w:rPr>
                <w:rFonts w:ascii="Calibri" w:eastAsia="Times New Roman" w:hAnsi="Calibri"/>
                <w:bCs/>
                <w:lang w:eastAsia="en-AU"/>
              </w:rPr>
              <w:t xml:space="preserve"> </w:t>
            </w:r>
            <w:r w:rsidRPr="00D37CAE">
              <w:rPr>
                <w:rFonts w:ascii="Calibri" w:eastAsia="Times New Roman" w:hAnsi="Calibri"/>
                <w:bCs/>
                <w:lang w:eastAsia="en-AU"/>
              </w:rPr>
              <w:t>for a contravention</w:t>
            </w:r>
          </w:p>
          <w:p w14:paraId="2DC9592E" w14:textId="50F3CD6E" w:rsidR="005C2162" w:rsidRPr="00D37CAE" w:rsidRDefault="005C2162">
            <w:pPr>
              <w:pStyle w:val="ListParagraph"/>
              <w:numPr>
                <w:ilvl w:val="0"/>
                <w:numId w:val="24"/>
              </w:numPr>
              <w:rPr>
                <w:rFonts w:ascii="Calibri" w:eastAsia="Times New Roman" w:hAnsi="Calibri"/>
                <w:bCs/>
                <w:lang w:eastAsia="en-AU"/>
              </w:rPr>
            </w:pPr>
            <w:r w:rsidRPr="00D37CAE">
              <w:rPr>
                <w:rFonts w:ascii="Calibri" w:eastAsia="Times New Roman" w:hAnsi="Calibri"/>
                <w:bCs/>
                <w:lang w:eastAsia="en-AU"/>
              </w:rPr>
              <w:t xml:space="preserve"> 126,00</w:t>
            </w:r>
            <w:r>
              <w:rPr>
                <w:rFonts w:ascii="Calibri" w:eastAsia="Times New Roman" w:hAnsi="Calibri"/>
                <w:bCs/>
                <w:lang w:eastAsia="en-AU"/>
              </w:rPr>
              <w:t>/630,000</w:t>
            </w:r>
            <w:r w:rsidRPr="00D37CAE">
              <w:rPr>
                <w:rFonts w:ascii="Calibri" w:eastAsia="Times New Roman" w:hAnsi="Calibri"/>
                <w:bCs/>
                <w:lang w:eastAsia="en-AU"/>
              </w:rPr>
              <w:t xml:space="preserve"> for a serious contravention</w:t>
            </w:r>
          </w:p>
        </w:tc>
      </w:tr>
      <w:tr w:rsidR="005C2162" w:rsidRPr="00705BA1" w14:paraId="7AD55A3F" w14:textId="77777777" w:rsidTr="00C066DA">
        <w:trPr>
          <w:trHeight w:val="413"/>
        </w:trPr>
        <w:tc>
          <w:tcPr>
            <w:tcW w:w="3964" w:type="dxa"/>
          </w:tcPr>
          <w:p w14:paraId="608762CF" w14:textId="77777777" w:rsidR="005C2162" w:rsidRPr="00705BA1" w:rsidRDefault="005C2162" w:rsidP="00C066DA">
            <w:pPr>
              <w:rPr>
                <w:rFonts w:ascii="Calibri" w:eastAsia="Times New Roman" w:hAnsi="Calibri"/>
                <w:bCs/>
                <w:lang w:eastAsia="en-AU"/>
              </w:rPr>
            </w:pPr>
            <w:r w:rsidRPr="00705BA1">
              <w:rPr>
                <w:rFonts w:ascii="Calibri" w:eastAsia="Times New Roman" w:hAnsi="Calibri"/>
                <w:bCs/>
                <w:lang w:eastAsia="en-AU"/>
              </w:rPr>
              <w:t>Underpayment (i.e. base rates, overtime, penalty rates)</w:t>
            </w:r>
          </w:p>
        </w:tc>
        <w:tc>
          <w:tcPr>
            <w:tcW w:w="6237" w:type="dxa"/>
          </w:tcPr>
          <w:p w14:paraId="44E6818B" w14:textId="059BEF62" w:rsidR="005C2162" w:rsidRDefault="005C2162" w:rsidP="005C2162">
            <w:pPr>
              <w:pStyle w:val="ListParagraph"/>
              <w:numPr>
                <w:ilvl w:val="0"/>
                <w:numId w:val="25"/>
              </w:numPr>
              <w:rPr>
                <w:rFonts w:ascii="Calibri" w:eastAsia="Times New Roman" w:hAnsi="Calibri"/>
                <w:bCs/>
                <w:lang w:eastAsia="en-AU"/>
              </w:rPr>
            </w:pPr>
            <w:r w:rsidRPr="00D37CAE">
              <w:rPr>
                <w:rFonts w:ascii="Calibri" w:eastAsia="Times New Roman" w:hAnsi="Calibri"/>
                <w:bCs/>
                <w:lang w:eastAsia="en-AU"/>
              </w:rPr>
              <w:t>12,600</w:t>
            </w:r>
            <w:r>
              <w:rPr>
                <w:rFonts w:ascii="Calibri" w:eastAsia="Times New Roman" w:hAnsi="Calibri"/>
                <w:bCs/>
                <w:lang w:eastAsia="en-AU"/>
              </w:rPr>
              <w:t>/63,000 for a contravention</w:t>
            </w:r>
          </w:p>
          <w:p w14:paraId="5A0487AA" w14:textId="0306D962" w:rsidR="005C2162" w:rsidRPr="00D37CAE" w:rsidRDefault="005C2162" w:rsidP="005C2162">
            <w:pPr>
              <w:pStyle w:val="ListParagraph"/>
              <w:numPr>
                <w:ilvl w:val="0"/>
                <w:numId w:val="25"/>
              </w:numPr>
              <w:rPr>
                <w:rFonts w:ascii="Calibri" w:eastAsia="Times New Roman" w:hAnsi="Calibri"/>
                <w:bCs/>
                <w:lang w:eastAsia="en-AU"/>
              </w:rPr>
            </w:pPr>
            <w:r w:rsidRPr="00D37CAE">
              <w:rPr>
                <w:rFonts w:ascii="Calibri" w:eastAsia="Times New Roman" w:hAnsi="Calibri"/>
                <w:bCs/>
                <w:lang w:eastAsia="en-AU"/>
              </w:rPr>
              <w:t>126,000</w:t>
            </w:r>
            <w:r>
              <w:rPr>
                <w:rFonts w:ascii="Calibri" w:eastAsia="Times New Roman" w:hAnsi="Calibri"/>
                <w:bCs/>
                <w:lang w:eastAsia="en-AU"/>
              </w:rPr>
              <w:t>/630,000</w:t>
            </w:r>
            <w:r w:rsidRPr="00D37CAE">
              <w:rPr>
                <w:rFonts w:ascii="Calibri" w:eastAsia="Times New Roman" w:hAnsi="Calibri"/>
                <w:bCs/>
                <w:lang w:eastAsia="en-AU"/>
              </w:rPr>
              <w:t xml:space="preserve"> for a serious contravention </w:t>
            </w:r>
          </w:p>
        </w:tc>
      </w:tr>
      <w:tr w:rsidR="005C2162" w:rsidRPr="00705BA1" w14:paraId="38C54D35" w14:textId="77777777" w:rsidTr="00C066DA">
        <w:trPr>
          <w:trHeight w:val="413"/>
        </w:trPr>
        <w:tc>
          <w:tcPr>
            <w:tcW w:w="3964" w:type="dxa"/>
          </w:tcPr>
          <w:p w14:paraId="65F42CC1" w14:textId="77777777" w:rsidR="005C2162" w:rsidRPr="00705BA1" w:rsidRDefault="005C2162" w:rsidP="00C066DA">
            <w:pPr>
              <w:rPr>
                <w:rFonts w:ascii="Calibri" w:eastAsia="Times New Roman" w:hAnsi="Calibri"/>
                <w:bCs/>
                <w:lang w:eastAsia="en-AU"/>
              </w:rPr>
            </w:pPr>
            <w:r>
              <w:rPr>
                <w:rFonts w:ascii="Calibri" w:eastAsia="Times New Roman" w:hAnsi="Calibri"/>
                <w:bCs/>
                <w:lang w:eastAsia="en-AU"/>
              </w:rPr>
              <w:t xml:space="preserve">Failure to pay an employee with correct method or frequency </w:t>
            </w:r>
          </w:p>
        </w:tc>
        <w:tc>
          <w:tcPr>
            <w:tcW w:w="6237" w:type="dxa"/>
          </w:tcPr>
          <w:p w14:paraId="6365CA58" w14:textId="6145BE9E" w:rsidR="005C2162" w:rsidRDefault="005C2162" w:rsidP="005C2162">
            <w:pPr>
              <w:pStyle w:val="ListParagraph"/>
              <w:numPr>
                <w:ilvl w:val="0"/>
                <w:numId w:val="26"/>
              </w:numPr>
              <w:rPr>
                <w:rFonts w:ascii="Calibri" w:eastAsia="Times New Roman" w:hAnsi="Calibri"/>
                <w:bCs/>
                <w:lang w:eastAsia="en-AU"/>
              </w:rPr>
            </w:pPr>
            <w:r w:rsidRPr="00D37CAE">
              <w:rPr>
                <w:rFonts w:ascii="Calibri" w:eastAsia="Times New Roman" w:hAnsi="Calibri"/>
                <w:bCs/>
                <w:lang w:eastAsia="en-AU"/>
              </w:rPr>
              <w:t>12,600</w:t>
            </w:r>
            <w:r>
              <w:rPr>
                <w:rFonts w:ascii="Calibri" w:eastAsia="Times New Roman" w:hAnsi="Calibri"/>
                <w:bCs/>
                <w:lang w:eastAsia="en-AU"/>
              </w:rPr>
              <w:t>/63,000 for a contravention</w:t>
            </w:r>
          </w:p>
          <w:p w14:paraId="531070D4" w14:textId="5840944B" w:rsidR="005C2162" w:rsidRPr="00D37CAE" w:rsidRDefault="005C2162" w:rsidP="005C2162">
            <w:pPr>
              <w:pStyle w:val="ListParagraph"/>
              <w:numPr>
                <w:ilvl w:val="0"/>
                <w:numId w:val="26"/>
              </w:numPr>
              <w:rPr>
                <w:rFonts w:ascii="Calibri" w:eastAsia="Times New Roman" w:hAnsi="Calibri"/>
                <w:bCs/>
                <w:lang w:eastAsia="en-AU"/>
              </w:rPr>
            </w:pPr>
            <w:r w:rsidRPr="00D37CAE">
              <w:rPr>
                <w:rFonts w:ascii="Calibri" w:eastAsia="Times New Roman" w:hAnsi="Calibri"/>
                <w:bCs/>
                <w:lang w:eastAsia="en-AU"/>
              </w:rPr>
              <w:t>126,000</w:t>
            </w:r>
            <w:r>
              <w:rPr>
                <w:rFonts w:ascii="Calibri" w:eastAsia="Times New Roman" w:hAnsi="Calibri"/>
                <w:bCs/>
                <w:lang w:eastAsia="en-AU"/>
              </w:rPr>
              <w:t>/630,000</w:t>
            </w:r>
            <w:r w:rsidRPr="00D37CAE">
              <w:rPr>
                <w:rFonts w:ascii="Calibri" w:eastAsia="Times New Roman" w:hAnsi="Calibri"/>
                <w:bCs/>
                <w:lang w:eastAsia="en-AU"/>
              </w:rPr>
              <w:t xml:space="preserve"> for a serious contravention </w:t>
            </w:r>
          </w:p>
        </w:tc>
      </w:tr>
      <w:tr w:rsidR="005C2162" w:rsidRPr="00705BA1" w14:paraId="1B314A60" w14:textId="77777777" w:rsidTr="00C066DA">
        <w:trPr>
          <w:trHeight w:val="413"/>
        </w:trPr>
        <w:tc>
          <w:tcPr>
            <w:tcW w:w="3964" w:type="dxa"/>
          </w:tcPr>
          <w:p w14:paraId="042FBC14" w14:textId="77777777" w:rsidR="005C2162" w:rsidRDefault="005C2162" w:rsidP="00C066DA">
            <w:pPr>
              <w:rPr>
                <w:rFonts w:ascii="Calibri" w:eastAsia="Times New Roman" w:hAnsi="Calibri"/>
                <w:bCs/>
                <w:lang w:eastAsia="en-AU"/>
              </w:rPr>
            </w:pPr>
            <w:r>
              <w:rPr>
                <w:rFonts w:ascii="Calibri" w:eastAsia="Times New Roman" w:hAnsi="Calibri"/>
                <w:bCs/>
                <w:lang w:eastAsia="en-AU"/>
              </w:rPr>
              <w:t>Unreasonable requirements to spend or pay amount (‘Cash-back arrangements’)</w:t>
            </w:r>
          </w:p>
        </w:tc>
        <w:tc>
          <w:tcPr>
            <w:tcW w:w="6237" w:type="dxa"/>
          </w:tcPr>
          <w:p w14:paraId="364F0C3B" w14:textId="36986BC9" w:rsidR="005C2162" w:rsidRDefault="005C2162" w:rsidP="005C2162">
            <w:pPr>
              <w:pStyle w:val="ListParagraph"/>
              <w:numPr>
                <w:ilvl w:val="0"/>
                <w:numId w:val="27"/>
              </w:numPr>
              <w:rPr>
                <w:rFonts w:ascii="Calibri" w:eastAsia="Times New Roman" w:hAnsi="Calibri"/>
                <w:bCs/>
                <w:lang w:eastAsia="en-AU"/>
              </w:rPr>
            </w:pPr>
            <w:r>
              <w:rPr>
                <w:rFonts w:ascii="Calibri" w:eastAsia="Times New Roman" w:hAnsi="Calibri"/>
                <w:bCs/>
                <w:lang w:eastAsia="en-AU"/>
              </w:rPr>
              <w:t>12,600/63,000 for a contravention</w:t>
            </w:r>
          </w:p>
          <w:p w14:paraId="1194F96B" w14:textId="47FF2770" w:rsidR="005C2162" w:rsidRPr="00D37CAE" w:rsidRDefault="005C2162" w:rsidP="005C2162">
            <w:pPr>
              <w:pStyle w:val="ListParagraph"/>
              <w:numPr>
                <w:ilvl w:val="0"/>
                <w:numId w:val="27"/>
              </w:numPr>
              <w:rPr>
                <w:rFonts w:ascii="Calibri" w:eastAsia="Times New Roman" w:hAnsi="Calibri"/>
                <w:bCs/>
                <w:lang w:eastAsia="en-AU"/>
              </w:rPr>
            </w:pPr>
            <w:r w:rsidRPr="00D37CAE">
              <w:rPr>
                <w:rFonts w:ascii="Calibri" w:eastAsia="Times New Roman" w:hAnsi="Calibri"/>
                <w:bCs/>
                <w:lang w:eastAsia="en-AU"/>
              </w:rPr>
              <w:t>126,000</w:t>
            </w:r>
            <w:r>
              <w:rPr>
                <w:rFonts w:ascii="Calibri" w:eastAsia="Times New Roman" w:hAnsi="Calibri"/>
                <w:bCs/>
                <w:lang w:eastAsia="en-AU"/>
              </w:rPr>
              <w:t>/630,000</w:t>
            </w:r>
            <w:r w:rsidRPr="00D37CAE">
              <w:rPr>
                <w:rFonts w:ascii="Calibri" w:eastAsia="Times New Roman" w:hAnsi="Calibri"/>
                <w:bCs/>
                <w:lang w:eastAsia="en-AU"/>
              </w:rPr>
              <w:t xml:space="preserve"> for a serious contravention</w:t>
            </w:r>
          </w:p>
        </w:tc>
      </w:tr>
      <w:tr w:rsidR="005C2162" w:rsidRPr="00705BA1" w14:paraId="729C5E0F" w14:textId="77777777" w:rsidTr="00C066DA">
        <w:trPr>
          <w:trHeight w:val="598"/>
        </w:trPr>
        <w:tc>
          <w:tcPr>
            <w:tcW w:w="3964" w:type="dxa"/>
          </w:tcPr>
          <w:p w14:paraId="4CFF09CF" w14:textId="77777777" w:rsidR="005C2162" w:rsidRDefault="005C2162" w:rsidP="00C066DA">
            <w:pPr>
              <w:rPr>
                <w:rFonts w:ascii="Calibri" w:eastAsia="Times New Roman" w:hAnsi="Calibri"/>
                <w:bCs/>
                <w:lang w:eastAsia="en-AU"/>
              </w:rPr>
            </w:pPr>
            <w:r>
              <w:rPr>
                <w:rFonts w:ascii="Calibri" w:eastAsia="Times New Roman" w:hAnsi="Calibri"/>
                <w:bCs/>
                <w:lang w:eastAsia="en-AU"/>
              </w:rPr>
              <w:t>Hindering or obstructing the FWO and inspectors etc.</w:t>
            </w:r>
          </w:p>
        </w:tc>
        <w:tc>
          <w:tcPr>
            <w:tcW w:w="6237" w:type="dxa"/>
          </w:tcPr>
          <w:p w14:paraId="6F28283B" w14:textId="40B4F8AE" w:rsidR="005C2162" w:rsidRDefault="005C2162" w:rsidP="00C066DA">
            <w:r>
              <w:t>12,600/63,000</w:t>
            </w:r>
          </w:p>
        </w:tc>
      </w:tr>
      <w:tr w:rsidR="005C2162" w:rsidRPr="00705BA1" w14:paraId="4C989141" w14:textId="77777777" w:rsidTr="00C066DA">
        <w:trPr>
          <w:trHeight w:val="598"/>
        </w:trPr>
        <w:tc>
          <w:tcPr>
            <w:tcW w:w="3964" w:type="dxa"/>
          </w:tcPr>
          <w:p w14:paraId="73D164C0" w14:textId="77777777" w:rsidR="005C2162" w:rsidRDefault="005C2162" w:rsidP="00C066DA">
            <w:pPr>
              <w:rPr>
                <w:rFonts w:ascii="Calibri" w:eastAsia="Times New Roman" w:hAnsi="Calibri"/>
                <w:bCs/>
                <w:lang w:eastAsia="en-AU"/>
              </w:rPr>
            </w:pPr>
            <w:r>
              <w:rPr>
                <w:rFonts w:ascii="Calibri" w:eastAsia="Times New Roman" w:hAnsi="Calibri"/>
                <w:bCs/>
                <w:lang w:eastAsia="en-AU"/>
              </w:rPr>
              <w:t xml:space="preserve">Failure for a person to provide a FWO inspector with the person’s name or address if requested </w:t>
            </w:r>
          </w:p>
        </w:tc>
        <w:tc>
          <w:tcPr>
            <w:tcW w:w="6237" w:type="dxa"/>
          </w:tcPr>
          <w:p w14:paraId="43130AF7" w14:textId="3DBADD3F" w:rsidR="005C2162" w:rsidRDefault="005C2162" w:rsidP="00125668">
            <w:pPr>
              <w:tabs>
                <w:tab w:val="left" w:pos="2554"/>
              </w:tabs>
            </w:pPr>
            <w:r>
              <w:t>6300/31,500</w:t>
            </w:r>
            <w:r w:rsidR="00125668">
              <w:tab/>
            </w:r>
          </w:p>
        </w:tc>
      </w:tr>
      <w:tr w:rsidR="005C2162" w:rsidRPr="00705BA1" w14:paraId="0081B94F" w14:textId="77777777" w:rsidTr="00C066DA">
        <w:trPr>
          <w:trHeight w:val="602"/>
        </w:trPr>
        <w:tc>
          <w:tcPr>
            <w:tcW w:w="3964" w:type="dxa"/>
          </w:tcPr>
          <w:p w14:paraId="14093731" w14:textId="77777777" w:rsidR="005C2162" w:rsidRDefault="005C2162" w:rsidP="00C066DA">
            <w:pPr>
              <w:rPr>
                <w:rFonts w:ascii="Calibri" w:eastAsia="Times New Roman" w:hAnsi="Calibri"/>
                <w:bCs/>
                <w:lang w:eastAsia="en-AU"/>
              </w:rPr>
            </w:pPr>
            <w:r>
              <w:rPr>
                <w:rFonts w:ascii="Calibri" w:eastAsia="Times New Roman" w:hAnsi="Calibri"/>
                <w:bCs/>
                <w:lang w:eastAsia="en-AU"/>
              </w:rPr>
              <w:t xml:space="preserve">Providing false or misleading documents to the FWO </w:t>
            </w:r>
          </w:p>
        </w:tc>
        <w:tc>
          <w:tcPr>
            <w:tcW w:w="6237" w:type="dxa"/>
          </w:tcPr>
          <w:p w14:paraId="40971EB4" w14:textId="1E5E3196" w:rsidR="005C2162" w:rsidRDefault="005C2162" w:rsidP="00C066DA">
            <w:r>
              <w:t>12,600/63,000</w:t>
            </w:r>
          </w:p>
        </w:tc>
      </w:tr>
      <w:tr w:rsidR="005C2162" w:rsidRPr="00705BA1" w14:paraId="4B1F1B3B" w14:textId="77777777" w:rsidTr="00C066DA">
        <w:trPr>
          <w:trHeight w:val="1357"/>
        </w:trPr>
        <w:tc>
          <w:tcPr>
            <w:tcW w:w="3964" w:type="dxa"/>
          </w:tcPr>
          <w:p w14:paraId="0BAEBDFB" w14:textId="77777777" w:rsidR="005C2162" w:rsidRPr="00705BA1" w:rsidRDefault="005C2162" w:rsidP="00C066DA">
            <w:pPr>
              <w:rPr>
                <w:rFonts w:ascii="Calibri" w:eastAsia="Times New Roman" w:hAnsi="Calibri"/>
                <w:bCs/>
                <w:lang w:eastAsia="en-AU"/>
              </w:rPr>
            </w:pPr>
            <w:r>
              <w:rPr>
                <w:rFonts w:ascii="Calibri" w:eastAsia="Times New Roman" w:hAnsi="Calibri"/>
                <w:bCs/>
                <w:lang w:eastAsia="en-AU"/>
              </w:rPr>
              <w:t xml:space="preserve">Failure to comply with an Enforceable Undertaking </w:t>
            </w:r>
          </w:p>
        </w:tc>
        <w:tc>
          <w:tcPr>
            <w:tcW w:w="6237" w:type="dxa"/>
          </w:tcPr>
          <w:p w14:paraId="49BAF517" w14:textId="3FC6358F" w:rsidR="005C2162" w:rsidRDefault="005C2162" w:rsidP="00C066DA">
            <w:pPr>
              <w:spacing w:after="0"/>
            </w:pPr>
            <w:r>
              <w:t xml:space="preserve">A </w:t>
            </w:r>
            <w:r w:rsidR="00D36C52">
              <w:t>c</w:t>
            </w:r>
            <w:r>
              <w:t>ourt can make an order to:</w:t>
            </w:r>
          </w:p>
          <w:p w14:paraId="24594D75" w14:textId="5BC43838" w:rsidR="005C2162" w:rsidRPr="00660383" w:rsidRDefault="005C2162" w:rsidP="005C2162">
            <w:pPr>
              <w:pStyle w:val="ListParagraph"/>
              <w:numPr>
                <w:ilvl w:val="0"/>
                <w:numId w:val="28"/>
              </w:numPr>
              <w:rPr>
                <w:rFonts w:ascii="Calibri" w:eastAsia="Times New Roman" w:hAnsi="Calibri"/>
                <w:bCs/>
                <w:lang w:eastAsia="en-AU"/>
              </w:rPr>
            </w:pPr>
            <w:r>
              <w:t>direct a person to comply with the undertaking</w:t>
            </w:r>
          </w:p>
          <w:p w14:paraId="10FD586D" w14:textId="280660F6" w:rsidR="005C2162" w:rsidRPr="00660383" w:rsidRDefault="005C2162" w:rsidP="005C2162">
            <w:pPr>
              <w:pStyle w:val="ListParagraph"/>
              <w:numPr>
                <w:ilvl w:val="0"/>
                <w:numId w:val="28"/>
              </w:numPr>
              <w:rPr>
                <w:rFonts w:ascii="Calibri" w:eastAsia="Times New Roman" w:hAnsi="Calibri"/>
                <w:bCs/>
                <w:lang w:eastAsia="en-AU"/>
              </w:rPr>
            </w:pPr>
            <w:r>
              <w:t>award compensation for loss that a person has suffered because of the contravention</w:t>
            </w:r>
            <w:r w:rsidR="00595C88">
              <w:t>;</w:t>
            </w:r>
            <w:r>
              <w:t xml:space="preserve"> or</w:t>
            </w:r>
          </w:p>
          <w:p w14:paraId="6235F5AF" w14:textId="0807A688" w:rsidR="005C2162" w:rsidRPr="00660383" w:rsidRDefault="005C2162" w:rsidP="005C2162">
            <w:pPr>
              <w:pStyle w:val="ListParagraph"/>
              <w:numPr>
                <w:ilvl w:val="0"/>
                <w:numId w:val="28"/>
              </w:numPr>
              <w:rPr>
                <w:rFonts w:ascii="Calibri" w:eastAsia="Times New Roman" w:hAnsi="Calibri"/>
                <w:bCs/>
                <w:lang w:eastAsia="en-AU"/>
              </w:rPr>
            </w:pPr>
            <w:proofErr w:type="gramStart"/>
            <w:r>
              <w:t>any</w:t>
            </w:r>
            <w:proofErr w:type="gramEnd"/>
            <w:r>
              <w:t xml:space="preserve"> other order that the </w:t>
            </w:r>
            <w:r w:rsidR="00D36C52">
              <w:t>c</w:t>
            </w:r>
            <w:r>
              <w:t>ourt considers appropriate.</w:t>
            </w:r>
          </w:p>
        </w:tc>
      </w:tr>
      <w:tr w:rsidR="005C2162" w:rsidRPr="00705BA1" w14:paraId="0D39F420" w14:textId="77777777" w:rsidTr="00C066DA">
        <w:trPr>
          <w:trHeight w:val="610"/>
        </w:trPr>
        <w:tc>
          <w:tcPr>
            <w:tcW w:w="3964" w:type="dxa"/>
          </w:tcPr>
          <w:p w14:paraId="03648C6A" w14:textId="4EC88550" w:rsidR="005C2162" w:rsidRPr="00705BA1" w:rsidRDefault="005C2162" w:rsidP="00C066DA">
            <w:pPr>
              <w:rPr>
                <w:rFonts w:ascii="Calibri" w:eastAsia="Times New Roman" w:hAnsi="Calibri"/>
                <w:bCs/>
                <w:lang w:eastAsia="en-AU"/>
              </w:rPr>
            </w:pPr>
            <w:r w:rsidRPr="00705BA1">
              <w:rPr>
                <w:rFonts w:ascii="Calibri" w:eastAsia="Times New Roman" w:hAnsi="Calibri"/>
                <w:bCs/>
                <w:lang w:eastAsia="en-AU"/>
              </w:rPr>
              <w:t xml:space="preserve">Failure to comply with </w:t>
            </w:r>
            <w:r w:rsidR="00F86960">
              <w:rPr>
                <w:rFonts w:ascii="Calibri" w:eastAsia="Times New Roman" w:hAnsi="Calibri"/>
                <w:bCs/>
                <w:lang w:eastAsia="en-AU"/>
              </w:rPr>
              <w:t>C</w:t>
            </w:r>
            <w:r w:rsidRPr="00705BA1">
              <w:rPr>
                <w:rFonts w:ascii="Calibri" w:eastAsia="Times New Roman" w:hAnsi="Calibri"/>
                <w:bCs/>
                <w:lang w:eastAsia="en-AU"/>
              </w:rPr>
              <w:t xml:space="preserve">ompliance </w:t>
            </w:r>
            <w:r w:rsidR="00F86960">
              <w:rPr>
                <w:rFonts w:ascii="Calibri" w:eastAsia="Times New Roman" w:hAnsi="Calibri"/>
                <w:bCs/>
                <w:lang w:eastAsia="en-AU"/>
              </w:rPr>
              <w:t>N</w:t>
            </w:r>
            <w:r w:rsidRPr="00705BA1">
              <w:rPr>
                <w:rFonts w:ascii="Calibri" w:eastAsia="Times New Roman" w:hAnsi="Calibri"/>
                <w:bCs/>
                <w:lang w:eastAsia="en-AU"/>
              </w:rPr>
              <w:t>otice</w:t>
            </w:r>
          </w:p>
        </w:tc>
        <w:tc>
          <w:tcPr>
            <w:tcW w:w="6237" w:type="dxa"/>
          </w:tcPr>
          <w:p w14:paraId="436B7A27" w14:textId="6CFFAF49" w:rsidR="005C2162" w:rsidRPr="00705BA1" w:rsidRDefault="005C2162" w:rsidP="00C066DA">
            <w:pPr>
              <w:rPr>
                <w:rFonts w:ascii="Calibri" w:eastAsia="Times New Roman" w:hAnsi="Calibri"/>
                <w:bCs/>
                <w:lang w:eastAsia="en-AU"/>
              </w:rPr>
            </w:pPr>
            <w:r>
              <w:rPr>
                <w:rFonts w:ascii="Calibri" w:eastAsia="Times New Roman" w:hAnsi="Calibri"/>
                <w:bCs/>
                <w:lang w:eastAsia="en-AU"/>
              </w:rPr>
              <w:t>6300/31,500</w:t>
            </w:r>
          </w:p>
        </w:tc>
      </w:tr>
      <w:tr w:rsidR="005C2162" w:rsidRPr="00705BA1" w14:paraId="15E474A8" w14:textId="77777777" w:rsidTr="00C066DA">
        <w:tc>
          <w:tcPr>
            <w:tcW w:w="3964" w:type="dxa"/>
          </w:tcPr>
          <w:p w14:paraId="03572DD2" w14:textId="0C370536" w:rsidR="005C2162" w:rsidRPr="00705BA1" w:rsidRDefault="005C2162" w:rsidP="00C066DA">
            <w:pPr>
              <w:rPr>
                <w:rFonts w:ascii="Calibri" w:eastAsia="Times New Roman" w:hAnsi="Calibri"/>
                <w:bCs/>
                <w:lang w:eastAsia="en-AU"/>
              </w:rPr>
            </w:pPr>
            <w:r w:rsidRPr="00705BA1">
              <w:rPr>
                <w:rFonts w:ascii="Calibri" w:eastAsia="Times New Roman" w:hAnsi="Calibri"/>
                <w:bCs/>
                <w:lang w:eastAsia="en-AU"/>
              </w:rPr>
              <w:t>Failure to comply with notice to produce</w:t>
            </w:r>
            <w:r>
              <w:rPr>
                <w:rFonts w:ascii="Calibri" w:eastAsia="Times New Roman" w:hAnsi="Calibri"/>
                <w:bCs/>
                <w:lang w:eastAsia="en-AU"/>
              </w:rPr>
              <w:t xml:space="preserve"> records or documents </w:t>
            </w:r>
            <w:r w:rsidR="00314DEB">
              <w:t>to a Fair </w:t>
            </w:r>
            <w:r>
              <w:t>Work Inspector</w:t>
            </w:r>
          </w:p>
        </w:tc>
        <w:tc>
          <w:tcPr>
            <w:tcW w:w="6237" w:type="dxa"/>
          </w:tcPr>
          <w:p w14:paraId="42857BA0" w14:textId="6E02AB46" w:rsidR="005C2162" w:rsidRPr="00705BA1" w:rsidRDefault="005C2162" w:rsidP="00C066DA">
            <w:pPr>
              <w:rPr>
                <w:rFonts w:ascii="Calibri" w:eastAsia="Times New Roman" w:hAnsi="Calibri"/>
                <w:bCs/>
                <w:lang w:eastAsia="en-AU"/>
              </w:rPr>
            </w:pPr>
            <w:r>
              <w:rPr>
                <w:rFonts w:ascii="Calibri" w:eastAsia="Times New Roman" w:hAnsi="Calibri"/>
                <w:bCs/>
                <w:lang w:eastAsia="en-AU"/>
              </w:rPr>
              <w:t>12,600/63,000</w:t>
            </w:r>
          </w:p>
        </w:tc>
      </w:tr>
      <w:tr w:rsidR="005C2162" w:rsidRPr="00705BA1" w14:paraId="5999EBD8" w14:textId="77777777" w:rsidTr="00C066DA">
        <w:tc>
          <w:tcPr>
            <w:tcW w:w="3964" w:type="dxa"/>
          </w:tcPr>
          <w:p w14:paraId="785C081A" w14:textId="77777777" w:rsidR="005C2162" w:rsidRPr="00705BA1" w:rsidRDefault="005C2162" w:rsidP="00C066DA">
            <w:pPr>
              <w:rPr>
                <w:rFonts w:ascii="Calibri" w:eastAsia="Times New Roman" w:hAnsi="Calibri"/>
                <w:bCs/>
                <w:lang w:eastAsia="en-AU"/>
              </w:rPr>
            </w:pPr>
            <w:r>
              <w:rPr>
                <w:rFonts w:ascii="Calibri" w:eastAsia="Times New Roman" w:hAnsi="Calibri"/>
                <w:bCs/>
                <w:lang w:eastAsia="en-AU"/>
              </w:rPr>
              <w:t>Failure to comply with FWO Notice (</w:t>
            </w:r>
            <w:r>
              <w:t>compelling a person to provide information, produce documents, or attend and answer questions)</w:t>
            </w:r>
          </w:p>
        </w:tc>
        <w:tc>
          <w:tcPr>
            <w:tcW w:w="6237" w:type="dxa"/>
          </w:tcPr>
          <w:p w14:paraId="7DAFBAB0" w14:textId="285A2356" w:rsidR="005C2162" w:rsidRDefault="005C2162">
            <w:pPr>
              <w:rPr>
                <w:rFonts w:ascii="Calibri" w:eastAsia="Times New Roman" w:hAnsi="Calibri"/>
                <w:bCs/>
                <w:lang w:eastAsia="en-AU"/>
              </w:rPr>
            </w:pPr>
            <w:r>
              <w:rPr>
                <w:rFonts w:ascii="Calibri" w:eastAsia="Times New Roman" w:hAnsi="Calibri"/>
                <w:bCs/>
                <w:lang w:eastAsia="en-AU"/>
              </w:rPr>
              <w:t>12</w:t>
            </w:r>
            <w:r w:rsidR="00771984">
              <w:rPr>
                <w:rFonts w:ascii="Calibri" w:eastAsia="Times New Roman" w:hAnsi="Calibri"/>
                <w:bCs/>
                <w:lang w:eastAsia="en-AU"/>
              </w:rPr>
              <w:t>6,0</w:t>
            </w:r>
            <w:r>
              <w:rPr>
                <w:rFonts w:ascii="Calibri" w:eastAsia="Times New Roman" w:hAnsi="Calibri"/>
                <w:bCs/>
                <w:lang w:eastAsia="en-AU"/>
              </w:rPr>
              <w:t>00/63</w:t>
            </w:r>
            <w:r w:rsidR="00771984">
              <w:rPr>
                <w:rFonts w:ascii="Calibri" w:eastAsia="Times New Roman" w:hAnsi="Calibri"/>
                <w:bCs/>
                <w:lang w:eastAsia="en-AU"/>
              </w:rPr>
              <w:t>0</w:t>
            </w:r>
            <w:r>
              <w:rPr>
                <w:rFonts w:ascii="Calibri" w:eastAsia="Times New Roman" w:hAnsi="Calibri"/>
                <w:bCs/>
                <w:lang w:eastAsia="en-AU"/>
              </w:rPr>
              <w:t>,000</w:t>
            </w:r>
          </w:p>
        </w:tc>
      </w:tr>
    </w:tbl>
    <w:p w14:paraId="00F9ABB1" w14:textId="77777777" w:rsidR="005C2162" w:rsidRDefault="005C2162" w:rsidP="000951D9">
      <w:pPr>
        <w:pStyle w:val="Heading2"/>
      </w:pPr>
    </w:p>
    <w:p w14:paraId="7B392140" w14:textId="3722B6E0" w:rsidR="000951D9" w:rsidRPr="008D0734" w:rsidRDefault="000951D9" w:rsidP="008D0734">
      <w:pPr>
        <w:rPr>
          <w:rFonts w:eastAsia="SimSun" w:cs="Angsana New"/>
          <w:color w:val="4D738A"/>
          <w:sz w:val="40"/>
          <w:szCs w:val="48"/>
        </w:rPr>
      </w:pPr>
    </w:p>
    <w:sectPr w:rsidR="000951D9" w:rsidRPr="008D0734" w:rsidSect="00C70300">
      <w:pgSz w:w="12240" w:h="15840"/>
      <w:pgMar w:top="532" w:right="964" w:bottom="964" w:left="964"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9387A" w14:textId="77777777" w:rsidR="007E0EFA" w:rsidRDefault="007E0EFA" w:rsidP="006150CB">
      <w:r>
        <w:separator/>
      </w:r>
    </w:p>
  </w:endnote>
  <w:endnote w:type="continuationSeparator" w:id="0">
    <w:p w14:paraId="0E8316FC" w14:textId="77777777" w:rsidR="007E0EFA" w:rsidRDefault="007E0EFA" w:rsidP="006150CB">
      <w:r>
        <w:continuationSeparator/>
      </w:r>
    </w:p>
  </w:endnote>
  <w:endnote w:type="continuationNotice" w:id="1">
    <w:p w14:paraId="0FC15E28" w14:textId="77777777" w:rsidR="007E0EFA" w:rsidRDefault="007E0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68A47" w14:textId="77777777" w:rsidR="0004407D" w:rsidRPr="00453257" w:rsidRDefault="0004407D" w:rsidP="00394664">
    <w:pPr>
      <w:pStyle w:val="Footer"/>
      <w:ind w:left="-284"/>
    </w:pPr>
    <w:r>
      <w:rPr>
        <w:noProof/>
        <w:lang w:eastAsia="en-AU"/>
      </w:rPr>
      <w:drawing>
        <wp:inline distT="0" distB="0" distL="0" distR="0" wp14:anchorId="092AAD39" wp14:editId="45441097">
          <wp:extent cx="7086534" cy="75485"/>
          <wp:effectExtent l="0" t="0" r="0" b="1270"/>
          <wp:docPr id="1" name="Picture 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dc01fs01p\user_folder$\jonesj\Desktop\stripe.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086534" cy="7548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029663"/>
      <w:docPartObj>
        <w:docPartGallery w:val="Page Numbers (Bottom of Page)"/>
        <w:docPartUnique/>
      </w:docPartObj>
    </w:sdtPr>
    <w:sdtEndPr>
      <w:rPr>
        <w:noProof/>
      </w:rPr>
    </w:sdtEndPr>
    <w:sdtContent>
      <w:p w14:paraId="6D9FB003" w14:textId="5B6D0C1F" w:rsidR="0004407D" w:rsidRDefault="0004407D">
        <w:pPr>
          <w:pStyle w:val="Footer"/>
          <w:jc w:val="right"/>
        </w:pPr>
        <w:r>
          <w:fldChar w:fldCharType="begin"/>
        </w:r>
        <w:r>
          <w:instrText xml:space="preserve"> PAGE   \* MERGEFORMAT </w:instrText>
        </w:r>
        <w:r>
          <w:fldChar w:fldCharType="separate"/>
        </w:r>
        <w:r w:rsidR="00CF4E88">
          <w:rPr>
            <w:noProof/>
          </w:rPr>
          <w:t>15</w:t>
        </w:r>
        <w:r>
          <w:rPr>
            <w:noProof/>
          </w:rPr>
          <w:fldChar w:fldCharType="end"/>
        </w:r>
      </w:p>
    </w:sdtContent>
  </w:sdt>
  <w:p w14:paraId="22304D57" w14:textId="77777777" w:rsidR="0004407D" w:rsidRDefault="0004407D" w:rsidP="00615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FD801" w14:textId="77777777" w:rsidR="007E0EFA" w:rsidRDefault="007E0EFA" w:rsidP="006150CB">
      <w:r>
        <w:separator/>
      </w:r>
    </w:p>
  </w:footnote>
  <w:footnote w:type="continuationSeparator" w:id="0">
    <w:p w14:paraId="1D3DE5D2" w14:textId="77777777" w:rsidR="007E0EFA" w:rsidRDefault="007E0EFA" w:rsidP="006150CB">
      <w:r>
        <w:continuationSeparator/>
      </w:r>
    </w:p>
  </w:footnote>
  <w:footnote w:type="continuationNotice" w:id="1">
    <w:p w14:paraId="0F85EBBC" w14:textId="77777777" w:rsidR="007E0EFA" w:rsidRDefault="007E0EFA">
      <w:pPr>
        <w:spacing w:after="0" w:line="240" w:lineRule="auto"/>
      </w:pPr>
    </w:p>
  </w:footnote>
  <w:footnote w:id="2">
    <w:p w14:paraId="3E6810CF" w14:textId="3881D977" w:rsidR="0004407D" w:rsidRPr="00632753" w:rsidRDefault="0004407D">
      <w:pPr>
        <w:pStyle w:val="FootnoteText"/>
        <w:rPr>
          <w:sz w:val="18"/>
          <w:szCs w:val="18"/>
        </w:rPr>
      </w:pPr>
      <w:r w:rsidRPr="00632753">
        <w:rPr>
          <w:rStyle w:val="FootnoteReference"/>
          <w:sz w:val="18"/>
          <w:szCs w:val="18"/>
        </w:rPr>
        <w:footnoteRef/>
      </w:r>
      <w:r w:rsidRPr="00632753">
        <w:rPr>
          <w:sz w:val="18"/>
          <w:szCs w:val="18"/>
        </w:rPr>
        <w:t xml:space="preserve"> Australian Government, </w:t>
      </w:r>
      <w:hyperlink r:id="rId1" w:history="1">
        <w:r w:rsidRPr="00632753">
          <w:rPr>
            <w:rStyle w:val="Hyperlink"/>
            <w:i/>
            <w:sz w:val="18"/>
            <w:szCs w:val="18"/>
          </w:rPr>
          <w:t>Report of the Migrant Workers’ Taskforce</w:t>
        </w:r>
        <w:r w:rsidRPr="00632753">
          <w:rPr>
            <w:rStyle w:val="Hyperlink"/>
            <w:sz w:val="18"/>
            <w:szCs w:val="18"/>
          </w:rPr>
          <w:t>,</w:t>
        </w:r>
      </w:hyperlink>
      <w:r w:rsidRPr="00632753">
        <w:rPr>
          <w:sz w:val="18"/>
          <w:szCs w:val="18"/>
        </w:rPr>
        <w:t xml:space="preserve"> March 2019. </w:t>
      </w:r>
    </w:p>
  </w:footnote>
  <w:footnote w:id="3">
    <w:p w14:paraId="61E450BB" w14:textId="085412F7" w:rsidR="0004407D" w:rsidRPr="00632753" w:rsidRDefault="0004407D">
      <w:pPr>
        <w:pStyle w:val="FootnoteText"/>
        <w:rPr>
          <w:sz w:val="18"/>
          <w:szCs w:val="18"/>
        </w:rPr>
      </w:pPr>
      <w:r w:rsidRPr="00632753">
        <w:rPr>
          <w:rStyle w:val="FootnoteReference"/>
          <w:sz w:val="18"/>
          <w:szCs w:val="18"/>
        </w:rPr>
        <w:footnoteRef/>
      </w:r>
      <w:r w:rsidRPr="00632753">
        <w:rPr>
          <w:sz w:val="18"/>
          <w:szCs w:val="18"/>
        </w:rPr>
        <w:t xml:space="preserve"> Note the building and construction industry is also regulated by the </w:t>
      </w:r>
      <w:r w:rsidRPr="00632753">
        <w:rPr>
          <w:i/>
          <w:sz w:val="18"/>
          <w:szCs w:val="18"/>
        </w:rPr>
        <w:t>Building and Construction Industry (Improving Productivity) Act 2016,</w:t>
      </w:r>
      <w:r w:rsidRPr="00632753">
        <w:rPr>
          <w:sz w:val="18"/>
          <w:szCs w:val="18"/>
        </w:rPr>
        <w:t xml:space="preserve"> and the</w:t>
      </w:r>
      <w:r w:rsidRPr="00632753">
        <w:rPr>
          <w:i/>
          <w:sz w:val="18"/>
          <w:szCs w:val="18"/>
        </w:rPr>
        <w:t xml:space="preserve"> </w:t>
      </w:r>
      <w:r w:rsidRPr="00632753">
        <w:rPr>
          <w:sz w:val="18"/>
          <w:szCs w:val="18"/>
        </w:rPr>
        <w:t>Australian Building and Construction Commissioner is the regulator.</w:t>
      </w:r>
    </w:p>
  </w:footnote>
  <w:footnote w:id="4">
    <w:p w14:paraId="5F3D4320" w14:textId="4C9C3364" w:rsidR="0004407D" w:rsidRPr="00632753" w:rsidRDefault="0004407D" w:rsidP="00384447">
      <w:pPr>
        <w:pStyle w:val="FootnoteText"/>
        <w:rPr>
          <w:sz w:val="18"/>
          <w:szCs w:val="18"/>
        </w:rPr>
      </w:pPr>
      <w:r w:rsidRPr="00632753">
        <w:rPr>
          <w:rStyle w:val="FootnoteReference"/>
          <w:sz w:val="18"/>
          <w:szCs w:val="18"/>
        </w:rPr>
        <w:footnoteRef/>
      </w:r>
      <w:r w:rsidRPr="00632753">
        <w:rPr>
          <w:sz w:val="18"/>
          <w:szCs w:val="18"/>
        </w:rPr>
        <w:t xml:space="preserve"> The exploitation of vulnerable workers had been examined in a range of reports, including the Senate Education and Employment References Committee report, </w:t>
      </w:r>
      <w:r w:rsidRPr="00632753">
        <w:rPr>
          <w:i/>
          <w:iCs/>
          <w:sz w:val="18"/>
          <w:szCs w:val="18"/>
        </w:rPr>
        <w:t>A National Disgrace: The Exploitation of Temporary Work Visa Holders</w:t>
      </w:r>
      <w:r w:rsidRPr="00632753">
        <w:rPr>
          <w:sz w:val="18"/>
          <w:szCs w:val="18"/>
        </w:rPr>
        <w:t xml:space="preserve">, March 2016; the FWO’s </w:t>
      </w:r>
      <w:r w:rsidRPr="00632753">
        <w:rPr>
          <w:i/>
          <w:iCs/>
          <w:sz w:val="18"/>
          <w:szCs w:val="18"/>
        </w:rPr>
        <w:t xml:space="preserve">A Report of the Fair Work Ombudsman’s Inquiry into 7-Eleven, </w:t>
      </w:r>
      <w:r w:rsidRPr="00632753">
        <w:rPr>
          <w:sz w:val="18"/>
          <w:szCs w:val="18"/>
        </w:rPr>
        <w:t xml:space="preserve">April 2016 and </w:t>
      </w:r>
      <w:r w:rsidRPr="00632753">
        <w:rPr>
          <w:i/>
          <w:iCs/>
          <w:sz w:val="18"/>
          <w:szCs w:val="18"/>
        </w:rPr>
        <w:t xml:space="preserve">A Report on the Fair Work Ombudsman’s Inquiry into the labour procurement arrangements of the Baiada Group in New South Wales, </w:t>
      </w:r>
      <w:r w:rsidRPr="00632753">
        <w:rPr>
          <w:sz w:val="18"/>
          <w:szCs w:val="18"/>
        </w:rPr>
        <w:t xml:space="preserve">June 2015; and the Productivity Commission’s </w:t>
      </w:r>
      <w:r w:rsidRPr="00632753">
        <w:rPr>
          <w:i/>
          <w:iCs/>
          <w:sz w:val="18"/>
          <w:szCs w:val="18"/>
        </w:rPr>
        <w:t xml:space="preserve">Productivity Commission Inquiry Report: Workplace Relations Framework, </w:t>
      </w:r>
      <w:r w:rsidRPr="00632753">
        <w:rPr>
          <w:sz w:val="18"/>
          <w:szCs w:val="18"/>
        </w:rPr>
        <w:t>No. 76, November 2015.</w:t>
      </w:r>
    </w:p>
  </w:footnote>
  <w:footnote w:id="5">
    <w:p w14:paraId="4C36EFC0" w14:textId="77777777" w:rsidR="0004407D" w:rsidRPr="00632753" w:rsidRDefault="0004407D" w:rsidP="00FA28F0">
      <w:pPr>
        <w:pStyle w:val="FootnoteText"/>
        <w:rPr>
          <w:sz w:val="18"/>
          <w:szCs w:val="18"/>
        </w:rPr>
      </w:pPr>
      <w:r w:rsidRPr="00632753">
        <w:rPr>
          <w:rStyle w:val="FootnoteReference"/>
          <w:sz w:val="18"/>
          <w:szCs w:val="18"/>
        </w:rPr>
        <w:footnoteRef/>
      </w:r>
      <w:r w:rsidRPr="00632753">
        <w:rPr>
          <w:sz w:val="18"/>
          <w:szCs w:val="18"/>
        </w:rPr>
        <w:t xml:space="preserve"> </w:t>
      </w:r>
      <w:r w:rsidRPr="00632753">
        <w:rPr>
          <w:i/>
          <w:sz w:val="18"/>
          <w:szCs w:val="18"/>
        </w:rPr>
        <w:t>Fair Work Act 2009</w:t>
      </w:r>
      <w:r w:rsidRPr="00632753">
        <w:rPr>
          <w:sz w:val="18"/>
          <w:szCs w:val="18"/>
        </w:rPr>
        <w:t xml:space="preserve"> (</w:t>
      </w:r>
      <w:proofErr w:type="spellStart"/>
      <w:r w:rsidRPr="00632753">
        <w:rPr>
          <w:sz w:val="18"/>
          <w:szCs w:val="18"/>
        </w:rPr>
        <w:t>Cth</w:t>
      </w:r>
      <w:proofErr w:type="spellEnd"/>
      <w:r w:rsidRPr="00632753">
        <w:rPr>
          <w:sz w:val="18"/>
          <w:szCs w:val="18"/>
        </w:rPr>
        <w:t xml:space="preserve">), </w:t>
      </w:r>
      <w:r w:rsidRPr="00632753">
        <w:rPr>
          <w:bCs/>
          <w:sz w:val="18"/>
          <w:szCs w:val="18"/>
        </w:rPr>
        <w:t>subsection 557(1).</w:t>
      </w:r>
    </w:p>
  </w:footnote>
  <w:footnote w:id="6">
    <w:p w14:paraId="69B8D711" w14:textId="291292CF" w:rsidR="0004407D" w:rsidRPr="00632753" w:rsidRDefault="0004407D">
      <w:pPr>
        <w:pStyle w:val="FootnoteText"/>
        <w:rPr>
          <w:sz w:val="18"/>
          <w:szCs w:val="18"/>
        </w:rPr>
      </w:pPr>
      <w:r w:rsidRPr="00632753">
        <w:rPr>
          <w:rStyle w:val="FootnoteReference"/>
          <w:sz w:val="18"/>
          <w:szCs w:val="18"/>
        </w:rPr>
        <w:footnoteRef/>
      </w:r>
      <w:r w:rsidRPr="00632753">
        <w:rPr>
          <w:sz w:val="18"/>
          <w:szCs w:val="18"/>
        </w:rPr>
        <w:t xml:space="preserve"> Australian Government, </w:t>
      </w:r>
      <w:hyperlink r:id="rId2" w:history="1">
        <w:r w:rsidRPr="00632753">
          <w:rPr>
            <w:rStyle w:val="Hyperlink"/>
            <w:i/>
            <w:sz w:val="18"/>
            <w:szCs w:val="18"/>
          </w:rPr>
          <w:t>Report of the Migrant Workers’ Taskforce</w:t>
        </w:r>
      </w:hyperlink>
      <w:r w:rsidRPr="00632753">
        <w:rPr>
          <w:sz w:val="18"/>
          <w:szCs w:val="18"/>
        </w:rPr>
        <w:t>, March 2019, p. 33.</w:t>
      </w:r>
    </w:p>
  </w:footnote>
  <w:footnote w:id="7">
    <w:p w14:paraId="72986E3E" w14:textId="36B48FE6" w:rsidR="0004407D" w:rsidRPr="00632753" w:rsidRDefault="0004407D" w:rsidP="007F5B61">
      <w:pPr>
        <w:pStyle w:val="FootnoteText"/>
        <w:rPr>
          <w:sz w:val="18"/>
          <w:szCs w:val="18"/>
        </w:rPr>
      </w:pPr>
      <w:r w:rsidRPr="00632753">
        <w:rPr>
          <w:rStyle w:val="FootnoteReference"/>
          <w:sz w:val="18"/>
          <w:szCs w:val="18"/>
        </w:rPr>
        <w:footnoteRef/>
      </w:r>
      <w:r w:rsidRPr="00632753">
        <w:rPr>
          <w:sz w:val="18"/>
          <w:szCs w:val="18"/>
        </w:rPr>
        <w:t xml:space="preserve"> See, for example, the </w:t>
      </w:r>
      <w:hyperlink r:id="rId3" w:history="1">
        <w:r w:rsidRPr="00632753">
          <w:rPr>
            <w:rStyle w:val="Hyperlink"/>
            <w:i/>
            <w:sz w:val="18"/>
            <w:szCs w:val="18"/>
          </w:rPr>
          <w:t>Australian Consumer Law Review Final Report</w:t>
        </w:r>
      </w:hyperlink>
      <w:r w:rsidRPr="00632753">
        <w:rPr>
          <w:i/>
          <w:sz w:val="18"/>
          <w:szCs w:val="18"/>
        </w:rPr>
        <w:t xml:space="preserve">, </w:t>
      </w:r>
      <w:r w:rsidRPr="00632753">
        <w:rPr>
          <w:sz w:val="18"/>
          <w:szCs w:val="18"/>
        </w:rPr>
        <w:t xml:space="preserve">April 2017. See also the </w:t>
      </w:r>
      <w:hyperlink r:id="rId4" w:history="1">
        <w:r w:rsidRPr="00632753">
          <w:rPr>
            <w:rStyle w:val="Hyperlink"/>
            <w:i/>
            <w:sz w:val="18"/>
            <w:szCs w:val="18"/>
          </w:rPr>
          <w:t>Australian Securities and Investments Commission Enforcement Review Taskforce Final Report</w:t>
        </w:r>
      </w:hyperlink>
      <w:r w:rsidRPr="00632753">
        <w:rPr>
          <w:sz w:val="18"/>
          <w:szCs w:val="18"/>
        </w:rPr>
        <w:t>, provided to Government in December 2017.</w:t>
      </w:r>
    </w:p>
  </w:footnote>
  <w:footnote w:id="8">
    <w:p w14:paraId="5CCA2407" w14:textId="4C102A30" w:rsidR="0004407D" w:rsidRPr="00AC0BF4" w:rsidRDefault="0004407D" w:rsidP="00B50297">
      <w:pPr>
        <w:spacing w:after="0"/>
        <w:rPr>
          <w:w w:val="100"/>
          <w:kern w:val="0"/>
          <w:sz w:val="18"/>
          <w:szCs w:val="18"/>
        </w:rPr>
      </w:pPr>
      <w:r w:rsidRPr="00632753">
        <w:rPr>
          <w:rStyle w:val="FootnoteReference"/>
          <w:sz w:val="18"/>
          <w:szCs w:val="18"/>
        </w:rPr>
        <w:footnoteRef/>
      </w:r>
      <w:r w:rsidRPr="00632753">
        <w:rPr>
          <w:sz w:val="18"/>
          <w:szCs w:val="18"/>
        </w:rPr>
        <w:t xml:space="preserve"> These amendments increased penalties for prescribed serious offences under the</w:t>
      </w:r>
      <w:r w:rsidRPr="00632753">
        <w:rPr>
          <w:i/>
          <w:iCs/>
          <w:sz w:val="18"/>
          <w:szCs w:val="18"/>
        </w:rPr>
        <w:t xml:space="preserve"> Corporations Act 2001, National Consumer Credit Protection Act 2009 </w:t>
      </w:r>
      <w:r w:rsidRPr="00632753">
        <w:rPr>
          <w:sz w:val="18"/>
          <w:szCs w:val="18"/>
        </w:rPr>
        <w:t xml:space="preserve">and the </w:t>
      </w:r>
      <w:r w:rsidRPr="00632753">
        <w:rPr>
          <w:i/>
          <w:iCs/>
          <w:sz w:val="18"/>
          <w:szCs w:val="18"/>
        </w:rPr>
        <w:t xml:space="preserve">Insurance Contracts Act 1984. </w:t>
      </w:r>
      <w:r w:rsidRPr="00632753">
        <w:rPr>
          <w:iCs/>
          <w:sz w:val="18"/>
          <w:szCs w:val="18"/>
        </w:rPr>
        <w:t xml:space="preserve">For serious </w:t>
      </w:r>
      <w:r w:rsidRPr="00632753">
        <w:rPr>
          <w:iCs/>
          <w:sz w:val="18"/>
          <w:szCs w:val="18"/>
          <w:u w:val="single"/>
        </w:rPr>
        <w:t>criminal offences</w:t>
      </w:r>
      <w:r w:rsidRPr="00632753">
        <w:rPr>
          <w:iCs/>
          <w:sz w:val="18"/>
          <w:szCs w:val="18"/>
        </w:rPr>
        <w:t xml:space="preserve"> in the Corporations Act, the maximum term of imprisonment was increased to 15 years, up from 5 or 10 years in limited circumstances. </w:t>
      </w:r>
      <w:r w:rsidRPr="000A7F5C">
        <w:rPr>
          <w:sz w:val="18"/>
          <w:szCs w:val="18"/>
        </w:rPr>
        <w:t xml:space="preserve">Pecuniary penalties for </w:t>
      </w:r>
      <w:r w:rsidRPr="000A7F5C">
        <w:rPr>
          <w:sz w:val="18"/>
          <w:szCs w:val="18"/>
          <w:u w:val="single"/>
        </w:rPr>
        <w:t>criminal offences</w:t>
      </w:r>
      <w:r w:rsidRPr="000A7F5C">
        <w:rPr>
          <w:sz w:val="18"/>
          <w:szCs w:val="18"/>
        </w:rPr>
        <w:t xml:space="preserve"> we</w:t>
      </w:r>
      <w:r w:rsidRPr="005C0248">
        <w:rPr>
          <w:sz w:val="18"/>
          <w:szCs w:val="18"/>
        </w:rPr>
        <w:t xml:space="preserve">re increased for </w:t>
      </w:r>
      <w:r w:rsidRPr="005C0248">
        <w:rPr>
          <w:b/>
          <w:bCs/>
          <w:sz w:val="18"/>
          <w:szCs w:val="18"/>
        </w:rPr>
        <w:t>individuals</w:t>
      </w:r>
      <w:r w:rsidRPr="005C0248">
        <w:rPr>
          <w:sz w:val="18"/>
          <w:szCs w:val="18"/>
        </w:rPr>
        <w:t xml:space="preserve"> from 2000 penalty units (currently $420,000) to 4500 penalty units (currently $945,000) or three times the benefit derived from the contravention. For </w:t>
      </w:r>
      <w:r w:rsidRPr="005C0248">
        <w:rPr>
          <w:b/>
          <w:bCs/>
          <w:sz w:val="18"/>
          <w:szCs w:val="18"/>
        </w:rPr>
        <w:t>bodies corporate</w:t>
      </w:r>
      <w:r w:rsidRPr="005C0248">
        <w:rPr>
          <w:bCs/>
          <w:sz w:val="18"/>
          <w:szCs w:val="18"/>
        </w:rPr>
        <w:t>, new penalties</w:t>
      </w:r>
      <w:r w:rsidRPr="00415763">
        <w:rPr>
          <w:b/>
          <w:bCs/>
          <w:sz w:val="18"/>
          <w:szCs w:val="18"/>
        </w:rPr>
        <w:t xml:space="preserve"> </w:t>
      </w:r>
      <w:r w:rsidRPr="00A604DC">
        <w:rPr>
          <w:sz w:val="18"/>
          <w:szCs w:val="18"/>
        </w:rPr>
        <w:t>of 45,000 penalty units (currently $9.45m), three times the benefit derived from the contravention, or 10</w:t>
      </w:r>
      <w:r w:rsidRPr="00AC0BF4">
        <w:rPr>
          <w:sz w:val="18"/>
          <w:szCs w:val="18"/>
        </w:rPr>
        <w:t xml:space="preserve"> per cent of annual turnover, were introduced. Pecuniary penalties for </w:t>
      </w:r>
      <w:r w:rsidRPr="00AC0BF4">
        <w:rPr>
          <w:sz w:val="18"/>
          <w:szCs w:val="18"/>
          <w:u w:val="single"/>
        </w:rPr>
        <w:t>civil offences</w:t>
      </w:r>
      <w:r w:rsidRPr="00AC0BF4">
        <w:rPr>
          <w:sz w:val="18"/>
          <w:szCs w:val="18"/>
        </w:rPr>
        <w:t xml:space="preserve"> were increased for </w:t>
      </w:r>
      <w:r w:rsidRPr="00AC0BF4">
        <w:rPr>
          <w:b/>
          <w:sz w:val="18"/>
          <w:szCs w:val="18"/>
        </w:rPr>
        <w:t>individuals</w:t>
      </w:r>
      <w:r w:rsidRPr="00AC0BF4">
        <w:rPr>
          <w:sz w:val="18"/>
          <w:szCs w:val="18"/>
        </w:rPr>
        <w:t xml:space="preserve"> from between $10,500 and $420,000 to the greater of 5000 penalty units (currently $1.05m) or three times the benefit derived from the contravention. For </w:t>
      </w:r>
      <w:r w:rsidRPr="00AC0BF4">
        <w:rPr>
          <w:b/>
          <w:sz w:val="18"/>
          <w:szCs w:val="18"/>
        </w:rPr>
        <w:t>bodies corporate</w:t>
      </w:r>
      <w:r w:rsidRPr="00AC0BF4">
        <w:rPr>
          <w:sz w:val="18"/>
          <w:szCs w:val="18"/>
        </w:rPr>
        <w:t xml:space="preserve">, the increase was from between 150 penalty units (currently $31,500) and 10,000 penalty units (currently $2.1m), to the greater of 50,000 penalty units (currently $10.5m) or three times the benefit derived from the contravention, or 10 per cent of annual turnover. </w:t>
      </w:r>
    </w:p>
  </w:footnote>
  <w:footnote w:id="9">
    <w:p w14:paraId="51D502C6" w14:textId="2782F918" w:rsidR="0004407D" w:rsidRPr="00632753" w:rsidRDefault="0004407D" w:rsidP="00555F41">
      <w:pPr>
        <w:pStyle w:val="FootnoteText"/>
        <w:rPr>
          <w:sz w:val="18"/>
          <w:szCs w:val="18"/>
        </w:rPr>
      </w:pPr>
      <w:r w:rsidRPr="00632753">
        <w:rPr>
          <w:rStyle w:val="FootnoteReference"/>
          <w:sz w:val="18"/>
          <w:szCs w:val="18"/>
        </w:rPr>
        <w:footnoteRef/>
      </w:r>
      <w:r w:rsidRPr="00632753">
        <w:rPr>
          <w:sz w:val="18"/>
          <w:szCs w:val="18"/>
        </w:rPr>
        <w:t xml:space="preserve"> Australian Government, </w:t>
      </w:r>
      <w:hyperlink r:id="rId5" w:history="1">
        <w:r w:rsidRPr="00632753">
          <w:rPr>
            <w:rStyle w:val="Hyperlink"/>
            <w:i/>
            <w:sz w:val="18"/>
            <w:szCs w:val="18"/>
          </w:rPr>
          <w:t>Australian Consumer Law Review Final Report</w:t>
        </w:r>
        <w:r w:rsidRPr="00632753">
          <w:rPr>
            <w:rStyle w:val="Hyperlink"/>
            <w:sz w:val="18"/>
            <w:szCs w:val="18"/>
          </w:rPr>
          <w:t>,</w:t>
        </w:r>
      </w:hyperlink>
      <w:r w:rsidRPr="00632753">
        <w:rPr>
          <w:sz w:val="18"/>
          <w:szCs w:val="18"/>
        </w:rPr>
        <w:t xml:space="preserve"> April 2017.</w:t>
      </w:r>
    </w:p>
  </w:footnote>
  <w:footnote w:id="10">
    <w:p w14:paraId="73D844C9" w14:textId="77777777" w:rsidR="0004407D" w:rsidRPr="00632753" w:rsidRDefault="0004407D" w:rsidP="00555F41">
      <w:pPr>
        <w:pStyle w:val="FootnoteText"/>
        <w:rPr>
          <w:sz w:val="18"/>
          <w:szCs w:val="18"/>
        </w:rPr>
      </w:pPr>
      <w:r w:rsidRPr="00632753">
        <w:rPr>
          <w:rStyle w:val="FootnoteReference"/>
          <w:sz w:val="18"/>
          <w:szCs w:val="18"/>
        </w:rPr>
        <w:footnoteRef/>
      </w:r>
      <w:r w:rsidRPr="00632753">
        <w:rPr>
          <w:sz w:val="18"/>
          <w:szCs w:val="18"/>
        </w:rPr>
        <w:t xml:space="preserve"> See </w:t>
      </w:r>
      <w:r w:rsidRPr="00632753">
        <w:rPr>
          <w:i/>
          <w:sz w:val="18"/>
          <w:szCs w:val="18"/>
        </w:rPr>
        <w:t>ACCC v Coles Supermarkets Australia Pty Ltd</w:t>
      </w:r>
      <w:r w:rsidRPr="00632753">
        <w:rPr>
          <w:sz w:val="18"/>
          <w:szCs w:val="18"/>
        </w:rPr>
        <w:t>, [2014] FCA 1405 (Gordon J), at [106].</w:t>
      </w:r>
    </w:p>
  </w:footnote>
  <w:footnote w:id="11">
    <w:p w14:paraId="4AD3D193" w14:textId="77777777" w:rsidR="0004407D" w:rsidRPr="00632753" w:rsidRDefault="0004407D" w:rsidP="0064621F">
      <w:pPr>
        <w:pStyle w:val="FootnoteText"/>
        <w:rPr>
          <w:sz w:val="18"/>
          <w:szCs w:val="18"/>
        </w:rPr>
      </w:pPr>
      <w:r w:rsidRPr="00632753">
        <w:rPr>
          <w:rStyle w:val="FootnoteReference"/>
          <w:sz w:val="18"/>
          <w:szCs w:val="18"/>
        </w:rPr>
        <w:footnoteRef/>
      </w:r>
      <w:r w:rsidRPr="00632753">
        <w:rPr>
          <w:sz w:val="18"/>
          <w:szCs w:val="18"/>
        </w:rPr>
        <w:t xml:space="preserve"> The </w:t>
      </w:r>
      <w:r w:rsidRPr="00632753">
        <w:rPr>
          <w:i/>
          <w:sz w:val="18"/>
          <w:szCs w:val="18"/>
        </w:rPr>
        <w:t>Treasury Laws Amendment (2018 Measures No. 3) Bill 2018</w:t>
      </w:r>
      <w:r w:rsidRPr="00632753">
        <w:rPr>
          <w:sz w:val="18"/>
          <w:szCs w:val="18"/>
        </w:rPr>
        <w:t xml:space="preserve"> (</w:t>
      </w:r>
      <w:proofErr w:type="spellStart"/>
      <w:r w:rsidRPr="00632753">
        <w:rPr>
          <w:sz w:val="18"/>
          <w:szCs w:val="18"/>
        </w:rPr>
        <w:t>Cth</w:t>
      </w:r>
      <w:proofErr w:type="spellEnd"/>
      <w:r w:rsidRPr="00632753">
        <w:rPr>
          <w:sz w:val="18"/>
          <w:szCs w:val="18"/>
        </w:rPr>
        <w:t xml:space="preserve">) increased maximum penalties in the </w:t>
      </w:r>
      <w:r w:rsidRPr="00632753">
        <w:rPr>
          <w:i/>
          <w:sz w:val="18"/>
          <w:szCs w:val="18"/>
        </w:rPr>
        <w:t xml:space="preserve">Competition and Consumer Act 2010 </w:t>
      </w:r>
      <w:r w:rsidRPr="00632753">
        <w:rPr>
          <w:sz w:val="18"/>
          <w:szCs w:val="18"/>
        </w:rPr>
        <w:t>(</w:t>
      </w:r>
      <w:proofErr w:type="spellStart"/>
      <w:r w:rsidRPr="00632753">
        <w:rPr>
          <w:sz w:val="18"/>
          <w:szCs w:val="18"/>
        </w:rPr>
        <w:t>Cth</w:t>
      </w:r>
      <w:proofErr w:type="spellEnd"/>
      <w:r w:rsidRPr="00632753">
        <w:rPr>
          <w:sz w:val="18"/>
          <w:szCs w:val="18"/>
        </w:rPr>
        <w:t xml:space="preserve">). </w:t>
      </w:r>
    </w:p>
  </w:footnote>
  <w:footnote w:id="12">
    <w:p w14:paraId="3132E848" w14:textId="05D7683B" w:rsidR="0004407D" w:rsidRPr="00632753" w:rsidRDefault="0004407D" w:rsidP="00EC757A">
      <w:pPr>
        <w:pStyle w:val="FootnoteText"/>
        <w:rPr>
          <w:sz w:val="18"/>
          <w:szCs w:val="18"/>
        </w:rPr>
      </w:pPr>
      <w:r w:rsidRPr="00632753">
        <w:rPr>
          <w:rStyle w:val="FootnoteReference"/>
          <w:sz w:val="18"/>
          <w:szCs w:val="18"/>
        </w:rPr>
        <w:footnoteRef/>
      </w:r>
      <w:r w:rsidRPr="00632753">
        <w:rPr>
          <w:sz w:val="18"/>
          <w:szCs w:val="18"/>
        </w:rPr>
        <w:t xml:space="preserve"> Sydney Morning Herald, ‘</w:t>
      </w:r>
      <w:hyperlink r:id="rId6" w:history="1">
        <w:r w:rsidRPr="00632753">
          <w:rPr>
            <w:rStyle w:val="Hyperlink"/>
            <w:sz w:val="18"/>
            <w:szCs w:val="18"/>
          </w:rPr>
          <w:t>We’re into punishment’: ACCC wants penalties with ‘financial pain</w:t>
        </w:r>
      </w:hyperlink>
      <w:r w:rsidRPr="00632753">
        <w:rPr>
          <w:sz w:val="18"/>
          <w:szCs w:val="18"/>
        </w:rPr>
        <w:t>’, 26 February 2019.</w:t>
      </w:r>
    </w:p>
  </w:footnote>
  <w:footnote w:id="13">
    <w:p w14:paraId="2D8FF534" w14:textId="4C710DCE" w:rsidR="0004407D" w:rsidRPr="00632753" w:rsidRDefault="0004407D">
      <w:pPr>
        <w:pStyle w:val="FootnoteText"/>
        <w:rPr>
          <w:sz w:val="18"/>
          <w:szCs w:val="18"/>
        </w:rPr>
      </w:pPr>
      <w:r w:rsidRPr="00632753">
        <w:rPr>
          <w:rStyle w:val="FootnoteReference"/>
          <w:sz w:val="18"/>
          <w:szCs w:val="18"/>
        </w:rPr>
        <w:footnoteRef/>
      </w:r>
      <w:r w:rsidRPr="00632753">
        <w:rPr>
          <w:sz w:val="18"/>
          <w:szCs w:val="18"/>
        </w:rPr>
        <w:t xml:space="preserve"> Fair Work Ombudsman, ‘</w:t>
      </w:r>
      <w:hyperlink r:id="rId7" w:history="1">
        <w:r w:rsidRPr="00632753">
          <w:rPr>
            <w:rStyle w:val="Hyperlink"/>
            <w:sz w:val="18"/>
            <w:szCs w:val="18"/>
          </w:rPr>
          <w:t>Sushi operators penalised $125,000’</w:t>
        </w:r>
      </w:hyperlink>
      <w:r w:rsidRPr="00632753">
        <w:rPr>
          <w:sz w:val="18"/>
          <w:szCs w:val="18"/>
        </w:rPr>
        <w:t>, Media Release, 21 August 2019.</w:t>
      </w:r>
    </w:p>
  </w:footnote>
  <w:footnote w:id="14">
    <w:p w14:paraId="3B1BC64D" w14:textId="77777777" w:rsidR="0004407D" w:rsidRPr="00632753" w:rsidRDefault="0004407D" w:rsidP="002160FD">
      <w:pPr>
        <w:pStyle w:val="FootnoteText"/>
        <w:rPr>
          <w:sz w:val="18"/>
          <w:szCs w:val="18"/>
        </w:rPr>
      </w:pPr>
      <w:r w:rsidRPr="00632753">
        <w:rPr>
          <w:rStyle w:val="FootnoteReference"/>
          <w:sz w:val="18"/>
          <w:szCs w:val="18"/>
        </w:rPr>
        <w:footnoteRef/>
      </w:r>
      <w:r w:rsidRPr="00632753">
        <w:rPr>
          <w:sz w:val="18"/>
          <w:szCs w:val="18"/>
        </w:rPr>
        <w:t xml:space="preserve"> </w:t>
      </w:r>
      <w:r w:rsidRPr="00632753">
        <w:rPr>
          <w:i/>
          <w:sz w:val="18"/>
          <w:szCs w:val="18"/>
        </w:rPr>
        <w:t>Fair Work Act 2009</w:t>
      </w:r>
      <w:r w:rsidRPr="00632753">
        <w:rPr>
          <w:sz w:val="18"/>
          <w:szCs w:val="18"/>
        </w:rPr>
        <w:t xml:space="preserve"> (</w:t>
      </w:r>
      <w:proofErr w:type="spellStart"/>
      <w:r w:rsidRPr="00632753">
        <w:rPr>
          <w:sz w:val="18"/>
          <w:szCs w:val="18"/>
        </w:rPr>
        <w:t>Cth</w:t>
      </w:r>
      <w:proofErr w:type="spellEnd"/>
      <w:r w:rsidRPr="00632753">
        <w:rPr>
          <w:sz w:val="18"/>
          <w:szCs w:val="18"/>
        </w:rPr>
        <w:t>), section 550.</w:t>
      </w:r>
    </w:p>
  </w:footnote>
  <w:footnote w:id="15">
    <w:p w14:paraId="7B51D64D" w14:textId="77777777" w:rsidR="0004407D" w:rsidRPr="00632753" w:rsidRDefault="0004407D" w:rsidP="00D16480">
      <w:pPr>
        <w:pStyle w:val="FootnoteText"/>
        <w:rPr>
          <w:i/>
          <w:sz w:val="18"/>
          <w:szCs w:val="18"/>
        </w:rPr>
      </w:pPr>
      <w:r w:rsidRPr="00632753">
        <w:rPr>
          <w:rStyle w:val="FootnoteReference"/>
          <w:sz w:val="18"/>
          <w:szCs w:val="18"/>
        </w:rPr>
        <w:footnoteRef/>
      </w:r>
      <w:r w:rsidRPr="00632753">
        <w:rPr>
          <w:sz w:val="18"/>
          <w:szCs w:val="18"/>
        </w:rPr>
        <w:t xml:space="preserve"> </w:t>
      </w:r>
      <w:r w:rsidRPr="00632753">
        <w:rPr>
          <w:i/>
          <w:sz w:val="18"/>
          <w:szCs w:val="18"/>
        </w:rPr>
        <w:t>Fair Work Act 2009</w:t>
      </w:r>
      <w:r w:rsidRPr="00632753">
        <w:rPr>
          <w:sz w:val="18"/>
          <w:szCs w:val="18"/>
        </w:rPr>
        <w:t xml:space="preserve"> (</w:t>
      </w:r>
      <w:proofErr w:type="spellStart"/>
      <w:r w:rsidRPr="00632753">
        <w:rPr>
          <w:sz w:val="18"/>
          <w:szCs w:val="18"/>
        </w:rPr>
        <w:t>Cth</w:t>
      </w:r>
      <w:proofErr w:type="spellEnd"/>
      <w:r w:rsidRPr="00632753">
        <w:rPr>
          <w:sz w:val="18"/>
          <w:szCs w:val="18"/>
        </w:rPr>
        <w:t>), section 558B</w:t>
      </w:r>
      <w:r w:rsidRPr="00632753">
        <w:rPr>
          <w:i/>
          <w:sz w:val="18"/>
          <w:szCs w:val="18"/>
        </w:rPr>
        <w:t>.</w:t>
      </w:r>
    </w:p>
  </w:footnote>
  <w:footnote w:id="16">
    <w:p w14:paraId="1F8F04DC" w14:textId="77777777" w:rsidR="0004407D" w:rsidRPr="00632753" w:rsidRDefault="0004407D" w:rsidP="00E7307D">
      <w:pPr>
        <w:pStyle w:val="FootnoteText"/>
        <w:rPr>
          <w:sz w:val="18"/>
          <w:szCs w:val="18"/>
        </w:rPr>
      </w:pPr>
      <w:r w:rsidRPr="00632753">
        <w:rPr>
          <w:rStyle w:val="FootnoteReference"/>
          <w:sz w:val="18"/>
          <w:szCs w:val="18"/>
        </w:rPr>
        <w:footnoteRef/>
      </w:r>
      <w:r w:rsidRPr="00632753">
        <w:rPr>
          <w:sz w:val="18"/>
          <w:szCs w:val="18"/>
        </w:rPr>
        <w:t xml:space="preserve"> Fair Work Ombudsman, </w:t>
      </w:r>
      <w:r w:rsidRPr="00632753">
        <w:rPr>
          <w:i/>
          <w:sz w:val="18"/>
          <w:szCs w:val="18"/>
        </w:rPr>
        <w:t>Annual Report 2016/17</w:t>
      </w:r>
      <w:r w:rsidRPr="00632753">
        <w:rPr>
          <w:sz w:val="18"/>
          <w:szCs w:val="18"/>
        </w:rPr>
        <w:t>, p. 21.</w:t>
      </w:r>
    </w:p>
  </w:footnote>
  <w:footnote w:id="17">
    <w:p w14:paraId="1149D99E" w14:textId="074E4681" w:rsidR="0004407D" w:rsidRPr="00AC0BF4" w:rsidRDefault="0004407D">
      <w:pPr>
        <w:pStyle w:val="FootnoteText"/>
        <w:rPr>
          <w:sz w:val="18"/>
          <w:szCs w:val="18"/>
        </w:rPr>
      </w:pPr>
      <w:r w:rsidRPr="00632753">
        <w:rPr>
          <w:rStyle w:val="FootnoteReference"/>
          <w:sz w:val="18"/>
          <w:szCs w:val="18"/>
        </w:rPr>
        <w:footnoteRef/>
      </w:r>
      <w:r w:rsidRPr="00632753">
        <w:rPr>
          <w:sz w:val="18"/>
          <w:szCs w:val="18"/>
        </w:rPr>
        <w:t xml:space="preserve"> See, for example, Tess Hardy and Melissa Kennedy, Submission to Western Australia Department of Mines, Industry Regulation and Safety </w:t>
      </w:r>
      <w:r w:rsidRPr="00632753">
        <w:rPr>
          <w:i/>
          <w:sz w:val="18"/>
          <w:szCs w:val="18"/>
        </w:rPr>
        <w:t>Inquiry into Wage Theft in Western Australia</w:t>
      </w:r>
      <w:r w:rsidRPr="00632753">
        <w:rPr>
          <w:sz w:val="18"/>
          <w:szCs w:val="18"/>
        </w:rPr>
        <w:t xml:space="preserve">; Fair Work Ombudsman, </w:t>
      </w:r>
      <w:r w:rsidRPr="00632753">
        <w:rPr>
          <w:i/>
          <w:sz w:val="18"/>
          <w:szCs w:val="18"/>
        </w:rPr>
        <w:t>A report on the Fair Work Ombudsman’s Inquiry into the labour procurement arrangements of Baiada Group in New South Wales</w:t>
      </w:r>
      <w:r w:rsidRPr="000A7F5C">
        <w:rPr>
          <w:sz w:val="18"/>
          <w:szCs w:val="18"/>
        </w:rPr>
        <w:t xml:space="preserve">, FWO, 2015; Fair Work Ombudsman, </w:t>
      </w:r>
      <w:r w:rsidRPr="000A7F5C">
        <w:rPr>
          <w:i/>
          <w:sz w:val="18"/>
          <w:szCs w:val="18"/>
        </w:rPr>
        <w:t>An inquiry into the procurement of cleaners in Tasmanian supermarkets</w:t>
      </w:r>
      <w:r w:rsidRPr="005C0248">
        <w:rPr>
          <w:sz w:val="18"/>
          <w:szCs w:val="18"/>
        </w:rPr>
        <w:t xml:space="preserve">, FWO, 2018; Fair Work Ombudsman, </w:t>
      </w:r>
      <w:r w:rsidRPr="005C0248">
        <w:rPr>
          <w:i/>
          <w:sz w:val="18"/>
          <w:szCs w:val="18"/>
        </w:rPr>
        <w:t>Harvest Trail Report</w:t>
      </w:r>
      <w:r w:rsidRPr="005C0248">
        <w:rPr>
          <w:sz w:val="18"/>
          <w:szCs w:val="18"/>
        </w:rPr>
        <w:t xml:space="preserve">, FWO, 2018; Fair Work Ombudsman, </w:t>
      </w:r>
      <w:r w:rsidRPr="005C0248">
        <w:rPr>
          <w:i/>
          <w:sz w:val="18"/>
          <w:szCs w:val="18"/>
        </w:rPr>
        <w:t>Inquiry into the procurement of security services by local governments</w:t>
      </w:r>
      <w:r w:rsidRPr="00415763">
        <w:rPr>
          <w:sz w:val="18"/>
          <w:szCs w:val="18"/>
        </w:rPr>
        <w:t xml:space="preserve">, FWO, 2018; Andrew Stewart and Tess Hardy, Submission to the Senate Education and Employment References Committee </w:t>
      </w:r>
      <w:r w:rsidRPr="00AC0BF4">
        <w:rPr>
          <w:i/>
          <w:sz w:val="18"/>
          <w:szCs w:val="18"/>
        </w:rPr>
        <w:t>Inquiry into the Exploitation of General and Specialist Cleaners Working in Retail Chains for Contracting or Subcontracting Cleaning Companies</w:t>
      </w:r>
      <w:r w:rsidRPr="00AC0BF4">
        <w:rPr>
          <w:sz w:val="18"/>
          <w:szCs w:val="18"/>
        </w:rPr>
        <w:t>, p. 2.</w:t>
      </w:r>
    </w:p>
  </w:footnote>
  <w:footnote w:id="18">
    <w:p w14:paraId="5526B959" w14:textId="507216D2" w:rsidR="0004407D" w:rsidRPr="005C0248" w:rsidRDefault="0004407D">
      <w:pPr>
        <w:pStyle w:val="FootnoteText"/>
        <w:rPr>
          <w:sz w:val="18"/>
          <w:szCs w:val="18"/>
        </w:rPr>
      </w:pPr>
      <w:r w:rsidRPr="00632753">
        <w:rPr>
          <w:rStyle w:val="FootnoteReference"/>
          <w:sz w:val="18"/>
          <w:szCs w:val="18"/>
        </w:rPr>
        <w:footnoteRef/>
      </w:r>
      <w:r w:rsidRPr="00632753">
        <w:rPr>
          <w:sz w:val="18"/>
          <w:szCs w:val="18"/>
        </w:rPr>
        <w:t xml:space="preserve"> </w:t>
      </w:r>
      <w:r w:rsidRPr="00632753">
        <w:rPr>
          <w:i/>
          <w:iCs/>
          <w:sz w:val="18"/>
          <w:szCs w:val="18"/>
          <w:lang w:val="en-US"/>
        </w:rPr>
        <w:t xml:space="preserve">Rural Press Ltd v Australian Competition and Consumer Commission </w:t>
      </w:r>
      <w:r w:rsidRPr="00632753">
        <w:rPr>
          <w:sz w:val="18"/>
          <w:szCs w:val="18"/>
          <w:lang w:val="en-US"/>
        </w:rPr>
        <w:t>[2002] FCAFC 213; (2002) 118 FCR 236 at [159]–[160];</w:t>
      </w:r>
      <w:r w:rsidRPr="00632753">
        <w:rPr>
          <w:i/>
          <w:iCs/>
          <w:sz w:val="18"/>
          <w:szCs w:val="18"/>
          <w:lang w:val="en-US"/>
        </w:rPr>
        <w:t xml:space="preserve"> </w:t>
      </w:r>
      <w:proofErr w:type="spellStart"/>
      <w:r w:rsidRPr="00632753">
        <w:rPr>
          <w:i/>
          <w:iCs/>
          <w:sz w:val="18"/>
          <w:szCs w:val="18"/>
          <w:lang w:val="en-US"/>
        </w:rPr>
        <w:t>Giorgianni</w:t>
      </w:r>
      <w:proofErr w:type="spellEnd"/>
      <w:r w:rsidRPr="00632753">
        <w:rPr>
          <w:i/>
          <w:iCs/>
          <w:sz w:val="18"/>
          <w:szCs w:val="18"/>
          <w:lang w:val="en-US"/>
        </w:rPr>
        <w:t xml:space="preserve"> v The Queen</w:t>
      </w:r>
      <w:r w:rsidRPr="000A7F5C">
        <w:rPr>
          <w:sz w:val="18"/>
          <w:szCs w:val="18"/>
          <w:lang w:val="en-US"/>
        </w:rPr>
        <w:t xml:space="preserve"> (1985) 156 CLR 473 at 506–7 by Wilson, Deane and Dawson JJ; </w:t>
      </w:r>
      <w:r w:rsidRPr="000A7F5C">
        <w:rPr>
          <w:i/>
          <w:iCs/>
          <w:sz w:val="18"/>
          <w:szCs w:val="18"/>
          <w:lang w:val="en-US"/>
        </w:rPr>
        <w:t>Construction, Forestry, Mining and Energy Union v Clarke</w:t>
      </w:r>
      <w:r w:rsidRPr="005C0248">
        <w:rPr>
          <w:sz w:val="18"/>
          <w:szCs w:val="18"/>
          <w:lang w:val="en-US"/>
        </w:rPr>
        <w:t xml:space="preserve"> [2007] FCAFC 87; (2007) 164 IR 299 at [26]; </w:t>
      </w:r>
      <w:r w:rsidRPr="005C0248">
        <w:rPr>
          <w:i/>
          <w:iCs/>
          <w:sz w:val="18"/>
          <w:szCs w:val="18"/>
          <w:lang w:val="en-US"/>
        </w:rPr>
        <w:t xml:space="preserve">Qantas Airways Ltd v Transport Workers’ Union of Australia </w:t>
      </w:r>
      <w:r w:rsidRPr="005C0248">
        <w:rPr>
          <w:sz w:val="18"/>
          <w:szCs w:val="18"/>
          <w:lang w:val="en-US"/>
        </w:rPr>
        <w:t>[2011] FCA 470; (2011) 280 ALR 503; at [324]–[325.</w:t>
      </w:r>
    </w:p>
  </w:footnote>
  <w:footnote w:id="19">
    <w:p w14:paraId="33076925" w14:textId="77777777" w:rsidR="0004407D" w:rsidRPr="00632753" w:rsidRDefault="0004407D">
      <w:pPr>
        <w:pStyle w:val="FootnoteText"/>
        <w:rPr>
          <w:sz w:val="18"/>
          <w:szCs w:val="18"/>
        </w:rPr>
      </w:pPr>
      <w:r w:rsidRPr="00632753">
        <w:rPr>
          <w:rStyle w:val="FootnoteReference"/>
          <w:sz w:val="18"/>
          <w:szCs w:val="18"/>
        </w:rPr>
        <w:footnoteRef/>
      </w:r>
      <w:r w:rsidRPr="00632753">
        <w:rPr>
          <w:sz w:val="18"/>
          <w:szCs w:val="18"/>
        </w:rPr>
        <w:t xml:space="preserve"> </w:t>
      </w:r>
      <w:r w:rsidRPr="00632753">
        <w:rPr>
          <w:i/>
          <w:sz w:val="18"/>
          <w:szCs w:val="18"/>
        </w:rPr>
        <w:t>Fair Work Act 2009</w:t>
      </w:r>
      <w:r w:rsidRPr="00632753">
        <w:rPr>
          <w:sz w:val="18"/>
          <w:szCs w:val="18"/>
        </w:rPr>
        <w:t xml:space="preserve"> (</w:t>
      </w:r>
      <w:proofErr w:type="spellStart"/>
      <w:r w:rsidRPr="00632753">
        <w:rPr>
          <w:sz w:val="18"/>
          <w:szCs w:val="18"/>
        </w:rPr>
        <w:t>Cth</w:t>
      </w:r>
      <w:proofErr w:type="spellEnd"/>
      <w:r w:rsidRPr="00632753">
        <w:rPr>
          <w:sz w:val="18"/>
          <w:szCs w:val="18"/>
        </w:rPr>
        <w:t>), section 357.</w:t>
      </w:r>
    </w:p>
  </w:footnote>
  <w:footnote w:id="20">
    <w:p w14:paraId="3E597D51" w14:textId="77777777" w:rsidR="0004407D" w:rsidRPr="00632753" w:rsidRDefault="0004407D">
      <w:pPr>
        <w:pStyle w:val="FootnoteText"/>
        <w:rPr>
          <w:sz w:val="18"/>
          <w:szCs w:val="18"/>
        </w:rPr>
      </w:pPr>
      <w:r w:rsidRPr="00632753">
        <w:rPr>
          <w:rStyle w:val="FootnoteReference"/>
          <w:sz w:val="18"/>
          <w:szCs w:val="18"/>
        </w:rPr>
        <w:footnoteRef/>
      </w:r>
      <w:r w:rsidRPr="00632753">
        <w:rPr>
          <w:sz w:val="18"/>
          <w:szCs w:val="18"/>
        </w:rPr>
        <w:t xml:space="preserve"> </w:t>
      </w:r>
      <w:r w:rsidRPr="00632753">
        <w:rPr>
          <w:i/>
          <w:sz w:val="18"/>
          <w:szCs w:val="18"/>
        </w:rPr>
        <w:t>Fair Work Act 2009</w:t>
      </w:r>
      <w:r w:rsidRPr="00632753">
        <w:rPr>
          <w:sz w:val="18"/>
          <w:szCs w:val="18"/>
        </w:rPr>
        <w:t xml:space="preserve"> (</w:t>
      </w:r>
      <w:proofErr w:type="spellStart"/>
      <w:r w:rsidRPr="00632753">
        <w:rPr>
          <w:sz w:val="18"/>
          <w:szCs w:val="18"/>
        </w:rPr>
        <w:t>Cth</w:t>
      </w:r>
      <w:proofErr w:type="spellEnd"/>
      <w:r w:rsidRPr="00632753">
        <w:rPr>
          <w:sz w:val="18"/>
          <w:szCs w:val="18"/>
        </w:rPr>
        <w:t>), section 358.</w:t>
      </w:r>
    </w:p>
  </w:footnote>
  <w:footnote w:id="21">
    <w:p w14:paraId="0A297434" w14:textId="77777777" w:rsidR="0004407D" w:rsidRPr="00632753" w:rsidRDefault="0004407D" w:rsidP="00CA00C8">
      <w:pPr>
        <w:pStyle w:val="FootnoteText"/>
        <w:rPr>
          <w:sz w:val="18"/>
          <w:szCs w:val="18"/>
        </w:rPr>
      </w:pPr>
      <w:r w:rsidRPr="00632753">
        <w:rPr>
          <w:rStyle w:val="FootnoteReference"/>
          <w:sz w:val="18"/>
          <w:szCs w:val="18"/>
        </w:rPr>
        <w:footnoteRef/>
      </w:r>
      <w:r w:rsidRPr="00632753">
        <w:rPr>
          <w:sz w:val="18"/>
          <w:szCs w:val="18"/>
        </w:rPr>
        <w:t xml:space="preserve"> </w:t>
      </w:r>
      <w:r w:rsidRPr="00632753">
        <w:rPr>
          <w:i/>
          <w:sz w:val="18"/>
          <w:szCs w:val="18"/>
        </w:rPr>
        <w:t>Fair Work Act 2009</w:t>
      </w:r>
      <w:r w:rsidRPr="00632753">
        <w:rPr>
          <w:sz w:val="18"/>
          <w:szCs w:val="18"/>
        </w:rPr>
        <w:t xml:space="preserve"> (</w:t>
      </w:r>
      <w:proofErr w:type="spellStart"/>
      <w:r w:rsidRPr="00632753">
        <w:rPr>
          <w:sz w:val="18"/>
          <w:szCs w:val="18"/>
        </w:rPr>
        <w:t>Cth</w:t>
      </w:r>
      <w:proofErr w:type="spellEnd"/>
      <w:r w:rsidRPr="00632753">
        <w:rPr>
          <w:sz w:val="18"/>
          <w:szCs w:val="18"/>
        </w:rPr>
        <w:t>), section 359.</w:t>
      </w:r>
    </w:p>
  </w:footnote>
  <w:footnote w:id="22">
    <w:p w14:paraId="735BB851" w14:textId="56501652" w:rsidR="0004407D" w:rsidRPr="00632753" w:rsidRDefault="0004407D" w:rsidP="0011624E">
      <w:pPr>
        <w:pStyle w:val="FootnoteText"/>
        <w:rPr>
          <w:sz w:val="18"/>
          <w:szCs w:val="18"/>
        </w:rPr>
      </w:pPr>
      <w:r w:rsidRPr="00632753">
        <w:rPr>
          <w:rStyle w:val="FootnoteReference"/>
          <w:sz w:val="18"/>
          <w:szCs w:val="18"/>
        </w:rPr>
        <w:footnoteRef/>
      </w:r>
      <w:r w:rsidRPr="00632753">
        <w:rPr>
          <w:sz w:val="18"/>
          <w:szCs w:val="18"/>
        </w:rPr>
        <w:t xml:space="preserve"> Australian Government, </w:t>
      </w:r>
      <w:hyperlink r:id="rId8" w:history="1">
        <w:r w:rsidRPr="00632753">
          <w:rPr>
            <w:rStyle w:val="Hyperlink"/>
            <w:i/>
            <w:sz w:val="18"/>
            <w:szCs w:val="18"/>
          </w:rPr>
          <w:t>Black Economy Taskforce Final Report</w:t>
        </w:r>
      </w:hyperlink>
      <w:r w:rsidRPr="00632753">
        <w:rPr>
          <w:sz w:val="18"/>
          <w:szCs w:val="18"/>
        </w:rPr>
        <w:t xml:space="preserve">, October 2017, p. 231. </w:t>
      </w:r>
    </w:p>
  </w:footnote>
  <w:footnote w:id="23">
    <w:p w14:paraId="63D5F14B" w14:textId="704FCD1C" w:rsidR="0004407D" w:rsidRPr="00632753" w:rsidRDefault="0004407D" w:rsidP="00D64634">
      <w:pPr>
        <w:pStyle w:val="FootnoteText"/>
        <w:rPr>
          <w:sz w:val="18"/>
          <w:szCs w:val="18"/>
        </w:rPr>
      </w:pPr>
      <w:r w:rsidRPr="00632753">
        <w:rPr>
          <w:rStyle w:val="FootnoteReference"/>
          <w:sz w:val="18"/>
          <w:szCs w:val="18"/>
        </w:rPr>
        <w:footnoteRef/>
      </w:r>
      <w:r w:rsidRPr="00632753">
        <w:rPr>
          <w:sz w:val="18"/>
          <w:szCs w:val="18"/>
        </w:rPr>
        <w:t xml:space="preserve"> Australian Government, </w:t>
      </w:r>
      <w:hyperlink r:id="rId9" w:history="1">
        <w:r w:rsidRPr="00632753">
          <w:rPr>
            <w:rStyle w:val="Hyperlink"/>
            <w:i/>
            <w:sz w:val="18"/>
            <w:szCs w:val="18"/>
          </w:rPr>
          <w:t>Black Economy Taskforce Final Report</w:t>
        </w:r>
      </w:hyperlink>
      <w:r w:rsidRPr="00632753">
        <w:rPr>
          <w:sz w:val="18"/>
          <w:szCs w:val="18"/>
        </w:rPr>
        <w:t xml:space="preserve">, October 2017, p. 231. </w:t>
      </w:r>
    </w:p>
  </w:footnote>
  <w:footnote w:id="24">
    <w:p w14:paraId="20BAFBEE" w14:textId="31F4ADB2" w:rsidR="0004407D" w:rsidRPr="00632753" w:rsidRDefault="0004407D">
      <w:pPr>
        <w:pStyle w:val="FootnoteText"/>
        <w:rPr>
          <w:sz w:val="18"/>
          <w:szCs w:val="18"/>
        </w:rPr>
      </w:pPr>
      <w:r w:rsidRPr="00632753">
        <w:rPr>
          <w:rStyle w:val="FootnoteReference"/>
          <w:sz w:val="18"/>
          <w:szCs w:val="18"/>
        </w:rPr>
        <w:footnoteRef/>
      </w:r>
      <w:r w:rsidRPr="00632753">
        <w:rPr>
          <w:sz w:val="18"/>
          <w:szCs w:val="18"/>
        </w:rPr>
        <w:t xml:space="preserve"> Australian Government, </w:t>
      </w:r>
      <w:hyperlink r:id="rId10" w:history="1">
        <w:r w:rsidRPr="00632753">
          <w:rPr>
            <w:rStyle w:val="Hyperlink"/>
            <w:i/>
            <w:sz w:val="18"/>
            <w:szCs w:val="18"/>
          </w:rPr>
          <w:t>Black Economy Taskforce Final Report</w:t>
        </w:r>
      </w:hyperlink>
      <w:r w:rsidRPr="00632753">
        <w:rPr>
          <w:sz w:val="18"/>
          <w:szCs w:val="18"/>
        </w:rPr>
        <w:t>, October 2017, Recommendation 6.</w:t>
      </w:r>
    </w:p>
  </w:footnote>
  <w:footnote w:id="25">
    <w:p w14:paraId="405FA0B8" w14:textId="5F3160AC" w:rsidR="0004407D" w:rsidRPr="00632753" w:rsidRDefault="0004407D" w:rsidP="00CB777B">
      <w:pPr>
        <w:pStyle w:val="FootnoteText"/>
        <w:rPr>
          <w:sz w:val="18"/>
          <w:szCs w:val="18"/>
        </w:rPr>
      </w:pPr>
      <w:r w:rsidRPr="00632753">
        <w:rPr>
          <w:rStyle w:val="FootnoteReference"/>
          <w:sz w:val="18"/>
          <w:szCs w:val="18"/>
        </w:rPr>
        <w:footnoteRef/>
      </w:r>
      <w:r w:rsidRPr="00632753">
        <w:rPr>
          <w:sz w:val="18"/>
          <w:szCs w:val="18"/>
        </w:rPr>
        <w:t xml:space="preserve"> Australian Law Reform Commission, </w:t>
      </w:r>
      <w:hyperlink r:id="rId11" w:history="1">
        <w:r w:rsidRPr="00632753">
          <w:rPr>
            <w:rStyle w:val="Hyperlink"/>
            <w:i/>
            <w:sz w:val="18"/>
            <w:szCs w:val="18"/>
          </w:rPr>
          <w:t>Same Time, Same Crime: Sentencing of Federal Offenders (ALRC Report 103)</w:t>
        </w:r>
      </w:hyperlink>
      <w:r w:rsidRPr="00632753">
        <w:rPr>
          <w:sz w:val="18"/>
          <w:szCs w:val="18"/>
        </w:rPr>
        <w:t>, September 2006, p. 54.</w:t>
      </w:r>
    </w:p>
  </w:footnote>
  <w:footnote w:id="26">
    <w:p w14:paraId="2FA582B8" w14:textId="7A9FB319" w:rsidR="0004407D" w:rsidRPr="000A7F5C" w:rsidRDefault="0004407D" w:rsidP="00F46090">
      <w:pPr>
        <w:pStyle w:val="FootnoteText"/>
        <w:rPr>
          <w:sz w:val="18"/>
          <w:szCs w:val="18"/>
        </w:rPr>
      </w:pPr>
      <w:r w:rsidRPr="00632753">
        <w:rPr>
          <w:rStyle w:val="FootnoteReference"/>
          <w:sz w:val="18"/>
          <w:szCs w:val="18"/>
        </w:rPr>
        <w:footnoteRef/>
      </w:r>
      <w:r w:rsidRPr="00632753">
        <w:rPr>
          <w:sz w:val="18"/>
          <w:szCs w:val="18"/>
        </w:rPr>
        <w:t xml:space="preserve"> These provisions were introduced to the Fair Work Act by the </w:t>
      </w:r>
      <w:r w:rsidRPr="00632753">
        <w:rPr>
          <w:i/>
          <w:sz w:val="18"/>
          <w:szCs w:val="18"/>
        </w:rPr>
        <w:t xml:space="preserve">Fair Work Amendment (Corrupting Benefits) Act 2017 </w:t>
      </w:r>
      <w:r w:rsidRPr="00632753">
        <w:rPr>
          <w:sz w:val="18"/>
          <w:szCs w:val="18"/>
        </w:rPr>
        <w:t>(</w:t>
      </w:r>
      <w:proofErr w:type="spellStart"/>
      <w:r w:rsidRPr="00632753">
        <w:rPr>
          <w:sz w:val="18"/>
          <w:szCs w:val="18"/>
        </w:rPr>
        <w:t>Cth</w:t>
      </w:r>
      <w:proofErr w:type="spellEnd"/>
      <w:r w:rsidRPr="00632753">
        <w:rPr>
          <w:sz w:val="18"/>
          <w:szCs w:val="18"/>
        </w:rPr>
        <w:t>). Under the provisions, it is a criminal offence for an employer to provide, offer or promi</w:t>
      </w:r>
      <w:r w:rsidRPr="000A7F5C">
        <w:rPr>
          <w:sz w:val="18"/>
          <w:szCs w:val="18"/>
        </w:rPr>
        <w:t>se a cash or in kind payment to a relevant employee organisation; and for a relevant employee organisation to request, receive or agree to receive a cash or in kind payment from an employer.</w:t>
      </w:r>
    </w:p>
  </w:footnote>
  <w:footnote w:id="27">
    <w:p w14:paraId="0BE9080E" w14:textId="19BE077A" w:rsidR="0004407D" w:rsidRPr="00632753" w:rsidRDefault="0004407D" w:rsidP="000A6DCE">
      <w:pPr>
        <w:pStyle w:val="FootnoteText"/>
        <w:rPr>
          <w:sz w:val="18"/>
          <w:szCs w:val="18"/>
        </w:rPr>
      </w:pPr>
      <w:r w:rsidRPr="00632753">
        <w:rPr>
          <w:rStyle w:val="FootnoteReference"/>
          <w:sz w:val="18"/>
          <w:szCs w:val="18"/>
        </w:rPr>
        <w:footnoteRef/>
      </w:r>
      <w:r w:rsidRPr="00632753">
        <w:rPr>
          <w:sz w:val="18"/>
          <w:szCs w:val="18"/>
        </w:rPr>
        <w:t xml:space="preserve"> On 10 April 2019, the Attorney-General referred to the Australian Law Reform Commission (ALRC) for inquiry and report, pursuant to section 20(1) of the </w:t>
      </w:r>
      <w:r w:rsidRPr="00632753">
        <w:rPr>
          <w:i/>
          <w:sz w:val="18"/>
          <w:szCs w:val="18"/>
        </w:rPr>
        <w:t>Australian Law Reform Commission Act 1996</w:t>
      </w:r>
      <w:r w:rsidRPr="00632753">
        <w:rPr>
          <w:sz w:val="18"/>
          <w:szCs w:val="18"/>
        </w:rPr>
        <w:t xml:space="preserve"> (</w:t>
      </w:r>
      <w:proofErr w:type="spellStart"/>
      <w:r w:rsidRPr="00632753">
        <w:rPr>
          <w:sz w:val="18"/>
          <w:szCs w:val="18"/>
        </w:rPr>
        <w:t>Cth</w:t>
      </w:r>
      <w:proofErr w:type="spellEnd"/>
      <w:r w:rsidRPr="00632753">
        <w:rPr>
          <w:sz w:val="18"/>
          <w:szCs w:val="18"/>
        </w:rPr>
        <w:t xml:space="preserve">), a consideration of whether, and if so what, reforms are necessary or desirable to improve Australia’s corporate criminal liability regime. The ALRC is due to report on 30 April 2020. See the </w:t>
      </w:r>
      <w:hyperlink r:id="rId12" w:history="1">
        <w:r w:rsidRPr="00632753">
          <w:rPr>
            <w:rStyle w:val="Hyperlink"/>
            <w:sz w:val="18"/>
            <w:szCs w:val="18"/>
          </w:rPr>
          <w:t>Review page</w:t>
        </w:r>
      </w:hyperlink>
      <w:r w:rsidRPr="00632753">
        <w:rPr>
          <w:sz w:val="18"/>
          <w:szCs w:val="18"/>
        </w:rPr>
        <w:t xml:space="preserve"> for more information.</w:t>
      </w:r>
    </w:p>
  </w:footnote>
  <w:footnote w:id="28">
    <w:p w14:paraId="73055CE2" w14:textId="297BDE58" w:rsidR="0004407D" w:rsidRPr="00632753" w:rsidRDefault="0004407D" w:rsidP="00BC7247">
      <w:pPr>
        <w:pStyle w:val="FootnoteText"/>
        <w:rPr>
          <w:sz w:val="18"/>
          <w:szCs w:val="18"/>
        </w:rPr>
      </w:pPr>
      <w:r w:rsidRPr="00632753">
        <w:rPr>
          <w:rStyle w:val="FootnoteReference"/>
          <w:sz w:val="18"/>
          <w:szCs w:val="18"/>
        </w:rPr>
        <w:footnoteRef/>
      </w:r>
      <w:r w:rsidRPr="00632753">
        <w:rPr>
          <w:sz w:val="18"/>
          <w:szCs w:val="18"/>
        </w:rPr>
        <w:t xml:space="preserve"> Australian Government, </w:t>
      </w:r>
      <w:hyperlink r:id="rId13" w:history="1">
        <w:r w:rsidRPr="00632753">
          <w:rPr>
            <w:rStyle w:val="Hyperlink"/>
            <w:i/>
            <w:sz w:val="18"/>
            <w:szCs w:val="18"/>
          </w:rPr>
          <w:t>Report of the Migrant Workers’ Taskforce</w:t>
        </w:r>
      </w:hyperlink>
      <w:r w:rsidRPr="00632753">
        <w:rPr>
          <w:sz w:val="18"/>
          <w:szCs w:val="18"/>
        </w:rPr>
        <w:t>, March 2019, pp. 68–71.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0C9C"/>
    <w:multiLevelType w:val="hybridMultilevel"/>
    <w:tmpl w:val="F0BA9E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EF2A60"/>
    <w:multiLevelType w:val="hybridMultilevel"/>
    <w:tmpl w:val="D0644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2231DF"/>
    <w:multiLevelType w:val="hybridMultilevel"/>
    <w:tmpl w:val="E02C8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10D7C"/>
    <w:multiLevelType w:val="hybridMultilevel"/>
    <w:tmpl w:val="FD3A41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FF1A46"/>
    <w:multiLevelType w:val="hybridMultilevel"/>
    <w:tmpl w:val="6A0606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F623DC"/>
    <w:multiLevelType w:val="hybridMultilevel"/>
    <w:tmpl w:val="B6183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932166"/>
    <w:multiLevelType w:val="multilevel"/>
    <w:tmpl w:val="EFDC8A06"/>
    <w:styleLink w:val="Bulle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30355A"/>
    <w:multiLevelType w:val="hybridMultilevel"/>
    <w:tmpl w:val="18A61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722292"/>
    <w:multiLevelType w:val="hybridMultilevel"/>
    <w:tmpl w:val="F836F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651279"/>
    <w:multiLevelType w:val="hybridMultilevel"/>
    <w:tmpl w:val="8DC0A516"/>
    <w:lvl w:ilvl="0" w:tplc="ED904FCA">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802E67"/>
    <w:multiLevelType w:val="hybridMultilevel"/>
    <w:tmpl w:val="0C72E4A2"/>
    <w:lvl w:ilvl="0" w:tplc="EC668ACA">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473F9"/>
    <w:multiLevelType w:val="hybridMultilevel"/>
    <w:tmpl w:val="B4A00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5C63EB"/>
    <w:multiLevelType w:val="hybridMultilevel"/>
    <w:tmpl w:val="D72A0B6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15:restartNumberingAfterBreak="0">
    <w:nsid w:val="359E22D7"/>
    <w:multiLevelType w:val="hybridMultilevel"/>
    <w:tmpl w:val="8BACDE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884825"/>
    <w:multiLevelType w:val="multilevel"/>
    <w:tmpl w:val="F2707774"/>
    <w:lvl w:ilvl="0">
      <w:start w:val="1"/>
      <w:numFmt w:val="bullet"/>
      <w:lvlText w:val="•"/>
      <w:lvlJc w:val="left"/>
      <w:pPr>
        <w:tabs>
          <w:tab w:val="num" w:pos="567"/>
        </w:tabs>
        <w:ind w:left="567" w:hanging="567"/>
      </w:pPr>
      <w:rPr>
        <w:rFonts w:ascii="Times New Roman" w:hAnsi="Times New Roman" w:cs="Times New Roman"/>
        <w:color w:val="8DB3E2" w:themeColor="text2" w:themeTint="66"/>
        <w:sz w:val="28"/>
        <w:szCs w:val="28"/>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F67A16"/>
    <w:multiLevelType w:val="hybridMultilevel"/>
    <w:tmpl w:val="52D64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452DC7"/>
    <w:multiLevelType w:val="hybridMultilevel"/>
    <w:tmpl w:val="EECE0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26E47F5"/>
    <w:multiLevelType w:val="hybridMultilevel"/>
    <w:tmpl w:val="9FE6E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BD725A"/>
    <w:multiLevelType w:val="hybridMultilevel"/>
    <w:tmpl w:val="8F48580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9" w15:restartNumberingAfterBreak="0">
    <w:nsid w:val="450D5682"/>
    <w:multiLevelType w:val="hybridMultilevel"/>
    <w:tmpl w:val="E2C65F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D67AF4"/>
    <w:multiLevelType w:val="hybridMultilevel"/>
    <w:tmpl w:val="675E08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4B2484"/>
    <w:multiLevelType w:val="hybridMultilevel"/>
    <w:tmpl w:val="18222B34"/>
    <w:lvl w:ilvl="0" w:tplc="DAB6FAF8">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35C322B"/>
    <w:multiLevelType w:val="hybridMultilevel"/>
    <w:tmpl w:val="D616A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53B47878"/>
    <w:multiLevelType w:val="hybridMultilevel"/>
    <w:tmpl w:val="EA1E1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A007ED"/>
    <w:multiLevelType w:val="hybridMultilevel"/>
    <w:tmpl w:val="7AB29F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753027"/>
    <w:multiLevelType w:val="hybridMultilevel"/>
    <w:tmpl w:val="E6086816"/>
    <w:lvl w:ilvl="0" w:tplc="68B45DA4">
      <w:start w:val="1"/>
      <w:numFmt w:val="lowerRoman"/>
      <w:lvlText w:val="(%1)"/>
      <w:lvlJc w:val="left"/>
      <w:pPr>
        <w:ind w:left="840" w:hanging="4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2866811"/>
    <w:multiLevelType w:val="hybridMultilevel"/>
    <w:tmpl w:val="DC6EF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3A15FB9"/>
    <w:multiLevelType w:val="hybridMultilevel"/>
    <w:tmpl w:val="BF3AA932"/>
    <w:lvl w:ilvl="0" w:tplc="3484F224">
      <w:start w:val="1"/>
      <w:numFmt w:val="bullet"/>
      <w:pStyle w:val="Bullet1"/>
      <w:lvlText w:val=""/>
      <w:lvlJc w:val="left"/>
      <w:pPr>
        <w:ind w:left="720" w:hanging="360"/>
      </w:pPr>
      <w:rPr>
        <w:rFonts w:ascii="Symbol" w:hAnsi="Symbol" w:hint="default"/>
        <w:color w:val="5C5C5C"/>
      </w:rPr>
    </w:lvl>
    <w:lvl w:ilvl="1" w:tplc="7610D95C">
      <w:start w:val="1"/>
      <w:numFmt w:val="bullet"/>
      <w:pStyle w:val="ListBullet"/>
      <w:lvlText w:val=""/>
      <w:lvlJc w:val="left"/>
      <w:pPr>
        <w:ind w:left="1353" w:hanging="360"/>
      </w:pPr>
      <w:rPr>
        <w:rFonts w:ascii="Symbol" w:hAnsi="Symbol" w:hint="default"/>
        <w:color w:val="4D738A"/>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68B0FEA"/>
    <w:multiLevelType w:val="hybridMultilevel"/>
    <w:tmpl w:val="5FDCE6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AB1CE3"/>
    <w:multiLevelType w:val="hybridMultilevel"/>
    <w:tmpl w:val="89EE0964"/>
    <w:lvl w:ilvl="0" w:tplc="C4466D18">
      <w:start w:val="1"/>
      <w:numFmt w:val="bullet"/>
      <w:pStyle w:val="Dotpoints"/>
      <w:lvlText w:val=""/>
      <w:lvlJc w:val="left"/>
      <w:pPr>
        <w:ind w:left="720" w:hanging="360"/>
      </w:pPr>
      <w:rPr>
        <w:rFonts w:ascii="Symbol" w:hAnsi="Symbol" w:hint="default"/>
        <w:sz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7D557C40"/>
    <w:multiLevelType w:val="hybridMultilevel"/>
    <w:tmpl w:val="EA72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D7B20B8"/>
    <w:multiLevelType w:val="hybridMultilevel"/>
    <w:tmpl w:val="C64C00E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27"/>
  </w:num>
  <w:num w:numId="2">
    <w:abstractNumId w:val="6"/>
  </w:num>
  <w:num w:numId="3">
    <w:abstractNumId w:val="28"/>
  </w:num>
  <w:num w:numId="4">
    <w:abstractNumId w:val="8"/>
  </w:num>
  <w:num w:numId="5">
    <w:abstractNumId w:val="3"/>
  </w:num>
  <w:num w:numId="6">
    <w:abstractNumId w:val="24"/>
  </w:num>
  <w:num w:numId="7">
    <w:abstractNumId w:val="26"/>
  </w:num>
  <w:num w:numId="8">
    <w:abstractNumId w:val="5"/>
  </w:num>
  <w:num w:numId="9">
    <w:abstractNumId w:val="19"/>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2"/>
  </w:num>
  <w:num w:numId="13">
    <w:abstractNumId w:val="14"/>
  </w:num>
  <w:num w:numId="14">
    <w:abstractNumId w:val="13"/>
  </w:num>
  <w:num w:numId="15">
    <w:abstractNumId w:val="31"/>
  </w:num>
  <w:num w:numId="16">
    <w:abstractNumId w:val="2"/>
  </w:num>
  <w:num w:numId="17">
    <w:abstractNumId w:val="12"/>
  </w:num>
  <w:num w:numId="18">
    <w:abstractNumId w:val="23"/>
  </w:num>
  <w:num w:numId="19">
    <w:abstractNumId w:val="16"/>
  </w:num>
  <w:num w:numId="20">
    <w:abstractNumId w:val="1"/>
  </w:num>
  <w:num w:numId="21">
    <w:abstractNumId w:val="21"/>
  </w:num>
  <w:num w:numId="22">
    <w:abstractNumId w:val="25"/>
  </w:num>
  <w:num w:numId="23">
    <w:abstractNumId w:val="11"/>
  </w:num>
  <w:num w:numId="24">
    <w:abstractNumId w:val="15"/>
  </w:num>
  <w:num w:numId="25">
    <w:abstractNumId w:val="7"/>
  </w:num>
  <w:num w:numId="26">
    <w:abstractNumId w:val="30"/>
  </w:num>
  <w:num w:numId="27">
    <w:abstractNumId w:val="4"/>
  </w:num>
  <w:num w:numId="28">
    <w:abstractNumId w:val="18"/>
  </w:num>
  <w:num w:numId="29">
    <w:abstractNumId w:val="9"/>
  </w:num>
  <w:num w:numId="30">
    <w:abstractNumId w:val="29"/>
  </w:num>
  <w:num w:numId="31">
    <w:abstractNumId w:val="10"/>
  </w:num>
  <w:num w:numId="32">
    <w:abstractNumId w:val="17"/>
  </w:num>
  <w:num w:numId="33">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revisionView w:inkAnnotation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B8"/>
    <w:rsid w:val="0000047E"/>
    <w:rsid w:val="00000DDC"/>
    <w:rsid w:val="00002ADE"/>
    <w:rsid w:val="000033D2"/>
    <w:rsid w:val="00004D42"/>
    <w:rsid w:val="0000629B"/>
    <w:rsid w:val="00007E6C"/>
    <w:rsid w:val="00007FA9"/>
    <w:rsid w:val="0001177E"/>
    <w:rsid w:val="00011AE7"/>
    <w:rsid w:val="00014E59"/>
    <w:rsid w:val="000176FF"/>
    <w:rsid w:val="00020BDB"/>
    <w:rsid w:val="000218E6"/>
    <w:rsid w:val="000240D4"/>
    <w:rsid w:val="00026363"/>
    <w:rsid w:val="000271CC"/>
    <w:rsid w:val="000276B4"/>
    <w:rsid w:val="0003030B"/>
    <w:rsid w:val="00030B3E"/>
    <w:rsid w:val="00030C9D"/>
    <w:rsid w:val="00030CD2"/>
    <w:rsid w:val="00032B93"/>
    <w:rsid w:val="00032FF0"/>
    <w:rsid w:val="00034423"/>
    <w:rsid w:val="00035BCA"/>
    <w:rsid w:val="0003729D"/>
    <w:rsid w:val="0003731F"/>
    <w:rsid w:val="000406C8"/>
    <w:rsid w:val="00040CDC"/>
    <w:rsid w:val="0004407D"/>
    <w:rsid w:val="0004611E"/>
    <w:rsid w:val="000462B4"/>
    <w:rsid w:val="0004672F"/>
    <w:rsid w:val="000510F0"/>
    <w:rsid w:val="00051325"/>
    <w:rsid w:val="00051484"/>
    <w:rsid w:val="00054C1E"/>
    <w:rsid w:val="00054E6B"/>
    <w:rsid w:val="00056A30"/>
    <w:rsid w:val="0005753C"/>
    <w:rsid w:val="000617F3"/>
    <w:rsid w:val="00062C47"/>
    <w:rsid w:val="00063368"/>
    <w:rsid w:val="00063409"/>
    <w:rsid w:val="00065494"/>
    <w:rsid w:val="00065FD2"/>
    <w:rsid w:val="000673ED"/>
    <w:rsid w:val="00071D32"/>
    <w:rsid w:val="00071E6C"/>
    <w:rsid w:val="00072390"/>
    <w:rsid w:val="00072956"/>
    <w:rsid w:val="00072CE1"/>
    <w:rsid w:val="000735AD"/>
    <w:rsid w:val="00073D4A"/>
    <w:rsid w:val="00075F60"/>
    <w:rsid w:val="000779BE"/>
    <w:rsid w:val="00080EEC"/>
    <w:rsid w:val="000815BF"/>
    <w:rsid w:val="000816E7"/>
    <w:rsid w:val="000838D7"/>
    <w:rsid w:val="000870E1"/>
    <w:rsid w:val="0008763D"/>
    <w:rsid w:val="0009112B"/>
    <w:rsid w:val="00092526"/>
    <w:rsid w:val="000933CB"/>
    <w:rsid w:val="0009476D"/>
    <w:rsid w:val="000951D9"/>
    <w:rsid w:val="00095D5F"/>
    <w:rsid w:val="00096B7A"/>
    <w:rsid w:val="000A1A88"/>
    <w:rsid w:val="000A2935"/>
    <w:rsid w:val="000A3621"/>
    <w:rsid w:val="000A3890"/>
    <w:rsid w:val="000A4874"/>
    <w:rsid w:val="000A4ADD"/>
    <w:rsid w:val="000A4C7E"/>
    <w:rsid w:val="000A5E74"/>
    <w:rsid w:val="000A6620"/>
    <w:rsid w:val="000A6DC5"/>
    <w:rsid w:val="000A6DCE"/>
    <w:rsid w:val="000A6EB0"/>
    <w:rsid w:val="000A7F5C"/>
    <w:rsid w:val="000B0DF7"/>
    <w:rsid w:val="000B0F72"/>
    <w:rsid w:val="000B2E88"/>
    <w:rsid w:val="000B3288"/>
    <w:rsid w:val="000B34A1"/>
    <w:rsid w:val="000B35B3"/>
    <w:rsid w:val="000B454D"/>
    <w:rsid w:val="000B5D40"/>
    <w:rsid w:val="000B6356"/>
    <w:rsid w:val="000B6A0A"/>
    <w:rsid w:val="000B6B23"/>
    <w:rsid w:val="000C0369"/>
    <w:rsid w:val="000C0A0B"/>
    <w:rsid w:val="000C1071"/>
    <w:rsid w:val="000C20CB"/>
    <w:rsid w:val="000C295F"/>
    <w:rsid w:val="000C2EF4"/>
    <w:rsid w:val="000C2FF8"/>
    <w:rsid w:val="000C3EAA"/>
    <w:rsid w:val="000C5AAB"/>
    <w:rsid w:val="000D054B"/>
    <w:rsid w:val="000D0608"/>
    <w:rsid w:val="000D0E3D"/>
    <w:rsid w:val="000D207F"/>
    <w:rsid w:val="000D4A89"/>
    <w:rsid w:val="000D6892"/>
    <w:rsid w:val="000D70D4"/>
    <w:rsid w:val="000E1183"/>
    <w:rsid w:val="000E1389"/>
    <w:rsid w:val="000E1BCD"/>
    <w:rsid w:val="000E218A"/>
    <w:rsid w:val="000E23ED"/>
    <w:rsid w:val="000E36FC"/>
    <w:rsid w:val="000E4066"/>
    <w:rsid w:val="000E5276"/>
    <w:rsid w:val="000E67BB"/>
    <w:rsid w:val="000E6831"/>
    <w:rsid w:val="000E75BC"/>
    <w:rsid w:val="000F03B0"/>
    <w:rsid w:val="000F3D72"/>
    <w:rsid w:val="000F3EF4"/>
    <w:rsid w:val="0010130E"/>
    <w:rsid w:val="001065AB"/>
    <w:rsid w:val="00110A94"/>
    <w:rsid w:val="0011325F"/>
    <w:rsid w:val="001136A1"/>
    <w:rsid w:val="00113BEC"/>
    <w:rsid w:val="00113C73"/>
    <w:rsid w:val="0011430B"/>
    <w:rsid w:val="00115F12"/>
    <w:rsid w:val="001161E3"/>
    <w:rsid w:val="0011624E"/>
    <w:rsid w:val="001163F5"/>
    <w:rsid w:val="001178D4"/>
    <w:rsid w:val="00120A2C"/>
    <w:rsid w:val="001210CE"/>
    <w:rsid w:val="00122DA7"/>
    <w:rsid w:val="00123660"/>
    <w:rsid w:val="00124573"/>
    <w:rsid w:val="00125668"/>
    <w:rsid w:val="0012582E"/>
    <w:rsid w:val="001267B3"/>
    <w:rsid w:val="00131C23"/>
    <w:rsid w:val="001346DB"/>
    <w:rsid w:val="001349C6"/>
    <w:rsid w:val="001352B1"/>
    <w:rsid w:val="0014104D"/>
    <w:rsid w:val="00143E75"/>
    <w:rsid w:val="001457DE"/>
    <w:rsid w:val="0014666C"/>
    <w:rsid w:val="00147BDF"/>
    <w:rsid w:val="00147EED"/>
    <w:rsid w:val="0015146F"/>
    <w:rsid w:val="0015149F"/>
    <w:rsid w:val="00151A0A"/>
    <w:rsid w:val="001529EC"/>
    <w:rsid w:val="00152AAE"/>
    <w:rsid w:val="00153F51"/>
    <w:rsid w:val="00154E96"/>
    <w:rsid w:val="001605F8"/>
    <w:rsid w:val="0016145A"/>
    <w:rsid w:val="001618F7"/>
    <w:rsid w:val="00162781"/>
    <w:rsid w:val="00162C47"/>
    <w:rsid w:val="001646D4"/>
    <w:rsid w:val="00165492"/>
    <w:rsid w:val="001654DC"/>
    <w:rsid w:val="00166F5B"/>
    <w:rsid w:val="00167DD5"/>
    <w:rsid w:val="00170725"/>
    <w:rsid w:val="00170A19"/>
    <w:rsid w:val="001719D3"/>
    <w:rsid w:val="00171AE0"/>
    <w:rsid w:val="0017344E"/>
    <w:rsid w:val="00173D99"/>
    <w:rsid w:val="001747F0"/>
    <w:rsid w:val="00175465"/>
    <w:rsid w:val="001759E6"/>
    <w:rsid w:val="00175E0D"/>
    <w:rsid w:val="001778B0"/>
    <w:rsid w:val="001814FA"/>
    <w:rsid w:val="00181B3A"/>
    <w:rsid w:val="00182366"/>
    <w:rsid w:val="00182FC7"/>
    <w:rsid w:val="00183D44"/>
    <w:rsid w:val="00184270"/>
    <w:rsid w:val="001874DF"/>
    <w:rsid w:val="00187DA3"/>
    <w:rsid w:val="0019166A"/>
    <w:rsid w:val="00192F33"/>
    <w:rsid w:val="00194A67"/>
    <w:rsid w:val="00195C60"/>
    <w:rsid w:val="0019600D"/>
    <w:rsid w:val="001A0FF3"/>
    <w:rsid w:val="001A1F6A"/>
    <w:rsid w:val="001A2A85"/>
    <w:rsid w:val="001A3427"/>
    <w:rsid w:val="001A55BD"/>
    <w:rsid w:val="001A5748"/>
    <w:rsid w:val="001A5AAD"/>
    <w:rsid w:val="001A5C34"/>
    <w:rsid w:val="001A7DD9"/>
    <w:rsid w:val="001B064C"/>
    <w:rsid w:val="001B0D3D"/>
    <w:rsid w:val="001B5138"/>
    <w:rsid w:val="001B6AF3"/>
    <w:rsid w:val="001B7BD7"/>
    <w:rsid w:val="001C02D2"/>
    <w:rsid w:val="001C0730"/>
    <w:rsid w:val="001C0F70"/>
    <w:rsid w:val="001C1F27"/>
    <w:rsid w:val="001C4866"/>
    <w:rsid w:val="001C5361"/>
    <w:rsid w:val="001C58CE"/>
    <w:rsid w:val="001D1C87"/>
    <w:rsid w:val="001D4417"/>
    <w:rsid w:val="001D6346"/>
    <w:rsid w:val="001D6905"/>
    <w:rsid w:val="001D790B"/>
    <w:rsid w:val="001E28C7"/>
    <w:rsid w:val="001E3701"/>
    <w:rsid w:val="001E447E"/>
    <w:rsid w:val="001E718A"/>
    <w:rsid w:val="001E7FB1"/>
    <w:rsid w:val="001F0797"/>
    <w:rsid w:val="001F0B1B"/>
    <w:rsid w:val="001F1FB9"/>
    <w:rsid w:val="001F37AE"/>
    <w:rsid w:val="001F52C0"/>
    <w:rsid w:val="001F6304"/>
    <w:rsid w:val="00200AF5"/>
    <w:rsid w:val="002011C9"/>
    <w:rsid w:val="00202DF1"/>
    <w:rsid w:val="00203413"/>
    <w:rsid w:val="0020554B"/>
    <w:rsid w:val="00206E29"/>
    <w:rsid w:val="00207F39"/>
    <w:rsid w:val="0021037B"/>
    <w:rsid w:val="00211A1A"/>
    <w:rsid w:val="00212767"/>
    <w:rsid w:val="0021290E"/>
    <w:rsid w:val="002143A7"/>
    <w:rsid w:val="00214A40"/>
    <w:rsid w:val="002160FD"/>
    <w:rsid w:val="0021676E"/>
    <w:rsid w:val="00216CF4"/>
    <w:rsid w:val="00216F4F"/>
    <w:rsid w:val="00217482"/>
    <w:rsid w:val="0022124F"/>
    <w:rsid w:val="0022248B"/>
    <w:rsid w:val="00222BD2"/>
    <w:rsid w:val="00222D8C"/>
    <w:rsid w:val="00224864"/>
    <w:rsid w:val="0022687D"/>
    <w:rsid w:val="00226D60"/>
    <w:rsid w:val="00230B26"/>
    <w:rsid w:val="002406AB"/>
    <w:rsid w:val="002419FA"/>
    <w:rsid w:val="002437D5"/>
    <w:rsid w:val="00243B11"/>
    <w:rsid w:val="00244D45"/>
    <w:rsid w:val="00245868"/>
    <w:rsid w:val="00247649"/>
    <w:rsid w:val="00247B9E"/>
    <w:rsid w:val="00250232"/>
    <w:rsid w:val="00253442"/>
    <w:rsid w:val="002541EB"/>
    <w:rsid w:val="00254A69"/>
    <w:rsid w:val="002562C3"/>
    <w:rsid w:val="002575ED"/>
    <w:rsid w:val="0026350B"/>
    <w:rsid w:val="00265313"/>
    <w:rsid w:val="00265A51"/>
    <w:rsid w:val="00266991"/>
    <w:rsid w:val="00267270"/>
    <w:rsid w:val="00267EE9"/>
    <w:rsid w:val="00271ABF"/>
    <w:rsid w:val="0027299F"/>
    <w:rsid w:val="0027683A"/>
    <w:rsid w:val="002772F2"/>
    <w:rsid w:val="002819B1"/>
    <w:rsid w:val="00281DD4"/>
    <w:rsid w:val="002828F5"/>
    <w:rsid w:val="00285491"/>
    <w:rsid w:val="00291D77"/>
    <w:rsid w:val="00292242"/>
    <w:rsid w:val="002967FD"/>
    <w:rsid w:val="00296C4E"/>
    <w:rsid w:val="00297A60"/>
    <w:rsid w:val="00297CA2"/>
    <w:rsid w:val="002A0994"/>
    <w:rsid w:val="002A20CE"/>
    <w:rsid w:val="002A321F"/>
    <w:rsid w:val="002A3326"/>
    <w:rsid w:val="002A3DC5"/>
    <w:rsid w:val="002A3EF9"/>
    <w:rsid w:val="002A7194"/>
    <w:rsid w:val="002B253E"/>
    <w:rsid w:val="002B26D5"/>
    <w:rsid w:val="002B2DA6"/>
    <w:rsid w:val="002B4FC1"/>
    <w:rsid w:val="002B5067"/>
    <w:rsid w:val="002C0594"/>
    <w:rsid w:val="002C0625"/>
    <w:rsid w:val="002C123E"/>
    <w:rsid w:val="002C2E22"/>
    <w:rsid w:val="002C36D2"/>
    <w:rsid w:val="002C3F83"/>
    <w:rsid w:val="002C7930"/>
    <w:rsid w:val="002D13F5"/>
    <w:rsid w:val="002D1A07"/>
    <w:rsid w:val="002D24C7"/>
    <w:rsid w:val="002D3C73"/>
    <w:rsid w:val="002D40F4"/>
    <w:rsid w:val="002D4259"/>
    <w:rsid w:val="002D56E9"/>
    <w:rsid w:val="002D7086"/>
    <w:rsid w:val="002E0321"/>
    <w:rsid w:val="002E0CFD"/>
    <w:rsid w:val="002E1E90"/>
    <w:rsid w:val="002E2222"/>
    <w:rsid w:val="002E2BCD"/>
    <w:rsid w:val="002E3A84"/>
    <w:rsid w:val="002E4868"/>
    <w:rsid w:val="002E4AAF"/>
    <w:rsid w:val="002F004D"/>
    <w:rsid w:val="002F11E9"/>
    <w:rsid w:val="002F3AE2"/>
    <w:rsid w:val="002F587F"/>
    <w:rsid w:val="002F62E2"/>
    <w:rsid w:val="002F6331"/>
    <w:rsid w:val="002F7EA2"/>
    <w:rsid w:val="0030256E"/>
    <w:rsid w:val="00302677"/>
    <w:rsid w:val="00305FBE"/>
    <w:rsid w:val="0030755D"/>
    <w:rsid w:val="00310707"/>
    <w:rsid w:val="0031204A"/>
    <w:rsid w:val="00314DEB"/>
    <w:rsid w:val="00315086"/>
    <w:rsid w:val="0031547A"/>
    <w:rsid w:val="00321384"/>
    <w:rsid w:val="00321AF0"/>
    <w:rsid w:val="0032280E"/>
    <w:rsid w:val="00325127"/>
    <w:rsid w:val="003253A3"/>
    <w:rsid w:val="00326E02"/>
    <w:rsid w:val="003313C7"/>
    <w:rsid w:val="003313E2"/>
    <w:rsid w:val="00332E23"/>
    <w:rsid w:val="003344C3"/>
    <w:rsid w:val="00336525"/>
    <w:rsid w:val="003375E9"/>
    <w:rsid w:val="003379F3"/>
    <w:rsid w:val="003417F6"/>
    <w:rsid w:val="00342E73"/>
    <w:rsid w:val="00343683"/>
    <w:rsid w:val="00347212"/>
    <w:rsid w:val="00347C4A"/>
    <w:rsid w:val="00351DAE"/>
    <w:rsid w:val="00352B0C"/>
    <w:rsid w:val="00354296"/>
    <w:rsid w:val="00354E0E"/>
    <w:rsid w:val="00360054"/>
    <w:rsid w:val="00360DCB"/>
    <w:rsid w:val="003617A2"/>
    <w:rsid w:val="003621CD"/>
    <w:rsid w:val="00363FBF"/>
    <w:rsid w:val="003642D3"/>
    <w:rsid w:val="00365F00"/>
    <w:rsid w:val="00366F9F"/>
    <w:rsid w:val="00372416"/>
    <w:rsid w:val="00372C25"/>
    <w:rsid w:val="0037311F"/>
    <w:rsid w:val="00373F1C"/>
    <w:rsid w:val="00374195"/>
    <w:rsid w:val="00375C5A"/>
    <w:rsid w:val="003818FD"/>
    <w:rsid w:val="00382CC0"/>
    <w:rsid w:val="00383596"/>
    <w:rsid w:val="00383750"/>
    <w:rsid w:val="00383915"/>
    <w:rsid w:val="00384447"/>
    <w:rsid w:val="0038663F"/>
    <w:rsid w:val="00387FE9"/>
    <w:rsid w:val="003913A5"/>
    <w:rsid w:val="003919F3"/>
    <w:rsid w:val="00391F91"/>
    <w:rsid w:val="00394664"/>
    <w:rsid w:val="00394FE1"/>
    <w:rsid w:val="00395615"/>
    <w:rsid w:val="003964FB"/>
    <w:rsid w:val="00397C9D"/>
    <w:rsid w:val="00397F6A"/>
    <w:rsid w:val="003A0057"/>
    <w:rsid w:val="003A106C"/>
    <w:rsid w:val="003A2382"/>
    <w:rsid w:val="003A2A5B"/>
    <w:rsid w:val="003A396F"/>
    <w:rsid w:val="003A43F0"/>
    <w:rsid w:val="003A4C1A"/>
    <w:rsid w:val="003A6168"/>
    <w:rsid w:val="003A6508"/>
    <w:rsid w:val="003A6610"/>
    <w:rsid w:val="003A6E3A"/>
    <w:rsid w:val="003A71D6"/>
    <w:rsid w:val="003B0405"/>
    <w:rsid w:val="003B06F7"/>
    <w:rsid w:val="003B08EF"/>
    <w:rsid w:val="003B0972"/>
    <w:rsid w:val="003B10D2"/>
    <w:rsid w:val="003B1D85"/>
    <w:rsid w:val="003B24C5"/>
    <w:rsid w:val="003B28B8"/>
    <w:rsid w:val="003B3932"/>
    <w:rsid w:val="003B3FFC"/>
    <w:rsid w:val="003B456F"/>
    <w:rsid w:val="003B509F"/>
    <w:rsid w:val="003B71C1"/>
    <w:rsid w:val="003B7F04"/>
    <w:rsid w:val="003C2B7F"/>
    <w:rsid w:val="003C31DC"/>
    <w:rsid w:val="003C5377"/>
    <w:rsid w:val="003C547C"/>
    <w:rsid w:val="003C5DE0"/>
    <w:rsid w:val="003C6D42"/>
    <w:rsid w:val="003C6F5F"/>
    <w:rsid w:val="003C7481"/>
    <w:rsid w:val="003D093F"/>
    <w:rsid w:val="003D2059"/>
    <w:rsid w:val="003D3924"/>
    <w:rsid w:val="003D50D4"/>
    <w:rsid w:val="003D6FDA"/>
    <w:rsid w:val="003E0302"/>
    <w:rsid w:val="003E2FDC"/>
    <w:rsid w:val="003E3396"/>
    <w:rsid w:val="003E3B6C"/>
    <w:rsid w:val="003E611C"/>
    <w:rsid w:val="003E66EB"/>
    <w:rsid w:val="003E6E36"/>
    <w:rsid w:val="003E7ACF"/>
    <w:rsid w:val="003F16EA"/>
    <w:rsid w:val="003F1F69"/>
    <w:rsid w:val="003F36AE"/>
    <w:rsid w:val="003F4CAA"/>
    <w:rsid w:val="003F55F5"/>
    <w:rsid w:val="003F5799"/>
    <w:rsid w:val="003F619A"/>
    <w:rsid w:val="00401387"/>
    <w:rsid w:val="00405E7B"/>
    <w:rsid w:val="00406AEE"/>
    <w:rsid w:val="00407189"/>
    <w:rsid w:val="0041030C"/>
    <w:rsid w:val="00410596"/>
    <w:rsid w:val="004117DE"/>
    <w:rsid w:val="00412864"/>
    <w:rsid w:val="00412905"/>
    <w:rsid w:val="004130AF"/>
    <w:rsid w:val="0041442C"/>
    <w:rsid w:val="0041514F"/>
    <w:rsid w:val="00415763"/>
    <w:rsid w:val="00415CD9"/>
    <w:rsid w:val="00416FAD"/>
    <w:rsid w:val="00420B36"/>
    <w:rsid w:val="00421D1A"/>
    <w:rsid w:val="00422818"/>
    <w:rsid w:val="00422A7F"/>
    <w:rsid w:val="00422D78"/>
    <w:rsid w:val="0042602F"/>
    <w:rsid w:val="0042786D"/>
    <w:rsid w:val="00431839"/>
    <w:rsid w:val="00433F3F"/>
    <w:rsid w:val="0043494D"/>
    <w:rsid w:val="004349D0"/>
    <w:rsid w:val="0043646F"/>
    <w:rsid w:val="00437587"/>
    <w:rsid w:val="00441546"/>
    <w:rsid w:val="00441683"/>
    <w:rsid w:val="00441C83"/>
    <w:rsid w:val="00441F13"/>
    <w:rsid w:val="00442446"/>
    <w:rsid w:val="00442F7A"/>
    <w:rsid w:val="00442FE1"/>
    <w:rsid w:val="0044370C"/>
    <w:rsid w:val="00443E3E"/>
    <w:rsid w:val="004450A3"/>
    <w:rsid w:val="0044531C"/>
    <w:rsid w:val="004467D6"/>
    <w:rsid w:val="00446B8D"/>
    <w:rsid w:val="00450F6C"/>
    <w:rsid w:val="00451369"/>
    <w:rsid w:val="00451B04"/>
    <w:rsid w:val="00451F36"/>
    <w:rsid w:val="00452456"/>
    <w:rsid w:val="004526F8"/>
    <w:rsid w:val="00452952"/>
    <w:rsid w:val="00452A99"/>
    <w:rsid w:val="00453257"/>
    <w:rsid w:val="00453A3E"/>
    <w:rsid w:val="00460DA1"/>
    <w:rsid w:val="0046132E"/>
    <w:rsid w:val="00462A1F"/>
    <w:rsid w:val="00462E17"/>
    <w:rsid w:val="0046338E"/>
    <w:rsid w:val="00463520"/>
    <w:rsid w:val="00464011"/>
    <w:rsid w:val="00464669"/>
    <w:rsid w:val="00464C7F"/>
    <w:rsid w:val="00467295"/>
    <w:rsid w:val="0046761A"/>
    <w:rsid w:val="004676CD"/>
    <w:rsid w:val="00467E80"/>
    <w:rsid w:val="00470F4C"/>
    <w:rsid w:val="00472AE9"/>
    <w:rsid w:val="00472E17"/>
    <w:rsid w:val="00474575"/>
    <w:rsid w:val="00474933"/>
    <w:rsid w:val="00475FB3"/>
    <w:rsid w:val="00476EB4"/>
    <w:rsid w:val="004776B9"/>
    <w:rsid w:val="00481107"/>
    <w:rsid w:val="0048299E"/>
    <w:rsid w:val="00484EB4"/>
    <w:rsid w:val="00485846"/>
    <w:rsid w:val="004877F7"/>
    <w:rsid w:val="00487E07"/>
    <w:rsid w:val="00490172"/>
    <w:rsid w:val="0049107F"/>
    <w:rsid w:val="004931B0"/>
    <w:rsid w:val="004942ED"/>
    <w:rsid w:val="0049477C"/>
    <w:rsid w:val="004947B8"/>
    <w:rsid w:val="00495647"/>
    <w:rsid w:val="0049699B"/>
    <w:rsid w:val="004A33C1"/>
    <w:rsid w:val="004A36F8"/>
    <w:rsid w:val="004A3A9D"/>
    <w:rsid w:val="004A5F64"/>
    <w:rsid w:val="004A7694"/>
    <w:rsid w:val="004A77FE"/>
    <w:rsid w:val="004B0B2E"/>
    <w:rsid w:val="004B1434"/>
    <w:rsid w:val="004B3340"/>
    <w:rsid w:val="004B4AE0"/>
    <w:rsid w:val="004B6C76"/>
    <w:rsid w:val="004C02C7"/>
    <w:rsid w:val="004C0536"/>
    <w:rsid w:val="004C1BEF"/>
    <w:rsid w:val="004C1C0D"/>
    <w:rsid w:val="004C2D11"/>
    <w:rsid w:val="004C2DB2"/>
    <w:rsid w:val="004C32DD"/>
    <w:rsid w:val="004C3C8A"/>
    <w:rsid w:val="004C4BD7"/>
    <w:rsid w:val="004C67C0"/>
    <w:rsid w:val="004C78C0"/>
    <w:rsid w:val="004C7C38"/>
    <w:rsid w:val="004D30F2"/>
    <w:rsid w:val="004D37F0"/>
    <w:rsid w:val="004D7539"/>
    <w:rsid w:val="004D7815"/>
    <w:rsid w:val="004E061C"/>
    <w:rsid w:val="004E1DFB"/>
    <w:rsid w:val="004E2CF5"/>
    <w:rsid w:val="004E36BE"/>
    <w:rsid w:val="004E7CB8"/>
    <w:rsid w:val="004E7F29"/>
    <w:rsid w:val="004F0F30"/>
    <w:rsid w:val="004F1E7B"/>
    <w:rsid w:val="004F1E91"/>
    <w:rsid w:val="004F36E6"/>
    <w:rsid w:val="004F417F"/>
    <w:rsid w:val="004F4EB5"/>
    <w:rsid w:val="005002D6"/>
    <w:rsid w:val="00500F0C"/>
    <w:rsid w:val="00501329"/>
    <w:rsid w:val="00502B9C"/>
    <w:rsid w:val="00503D7D"/>
    <w:rsid w:val="005055FD"/>
    <w:rsid w:val="00506641"/>
    <w:rsid w:val="00511DDC"/>
    <w:rsid w:val="0051238A"/>
    <w:rsid w:val="00512BE0"/>
    <w:rsid w:val="00513FCC"/>
    <w:rsid w:val="005149B9"/>
    <w:rsid w:val="0051587D"/>
    <w:rsid w:val="00515A88"/>
    <w:rsid w:val="00515BE9"/>
    <w:rsid w:val="00521B58"/>
    <w:rsid w:val="00524D59"/>
    <w:rsid w:val="00525BD5"/>
    <w:rsid w:val="005364B3"/>
    <w:rsid w:val="00537B8D"/>
    <w:rsid w:val="00540025"/>
    <w:rsid w:val="00540C58"/>
    <w:rsid w:val="00540D67"/>
    <w:rsid w:val="00544129"/>
    <w:rsid w:val="005441FD"/>
    <w:rsid w:val="00545AAD"/>
    <w:rsid w:val="00545DC7"/>
    <w:rsid w:val="00547136"/>
    <w:rsid w:val="00552F07"/>
    <w:rsid w:val="00555F41"/>
    <w:rsid w:val="00556822"/>
    <w:rsid w:val="00556DFE"/>
    <w:rsid w:val="005625AA"/>
    <w:rsid w:val="005650C3"/>
    <w:rsid w:val="005700AB"/>
    <w:rsid w:val="00572139"/>
    <w:rsid w:val="005729A1"/>
    <w:rsid w:val="00572A8C"/>
    <w:rsid w:val="00573A40"/>
    <w:rsid w:val="00576834"/>
    <w:rsid w:val="005822D9"/>
    <w:rsid w:val="0058253B"/>
    <w:rsid w:val="00582ADB"/>
    <w:rsid w:val="005841A8"/>
    <w:rsid w:val="00584803"/>
    <w:rsid w:val="00586454"/>
    <w:rsid w:val="0058656E"/>
    <w:rsid w:val="00587198"/>
    <w:rsid w:val="00587AF0"/>
    <w:rsid w:val="005905FF"/>
    <w:rsid w:val="005907FE"/>
    <w:rsid w:val="00590FCF"/>
    <w:rsid w:val="0059363C"/>
    <w:rsid w:val="00593FAA"/>
    <w:rsid w:val="00595C88"/>
    <w:rsid w:val="00596D06"/>
    <w:rsid w:val="00597652"/>
    <w:rsid w:val="00597A80"/>
    <w:rsid w:val="005A1133"/>
    <w:rsid w:val="005A22C0"/>
    <w:rsid w:val="005A37D5"/>
    <w:rsid w:val="005A484E"/>
    <w:rsid w:val="005A772D"/>
    <w:rsid w:val="005B1BA7"/>
    <w:rsid w:val="005B1CBE"/>
    <w:rsid w:val="005B1D03"/>
    <w:rsid w:val="005B359B"/>
    <w:rsid w:val="005B48A1"/>
    <w:rsid w:val="005C0248"/>
    <w:rsid w:val="005C0A88"/>
    <w:rsid w:val="005C0FCC"/>
    <w:rsid w:val="005C1BB3"/>
    <w:rsid w:val="005C2162"/>
    <w:rsid w:val="005C2490"/>
    <w:rsid w:val="005C2EE6"/>
    <w:rsid w:val="005C42AF"/>
    <w:rsid w:val="005C5B0B"/>
    <w:rsid w:val="005C5BD1"/>
    <w:rsid w:val="005C65AB"/>
    <w:rsid w:val="005D1108"/>
    <w:rsid w:val="005D2270"/>
    <w:rsid w:val="005D2830"/>
    <w:rsid w:val="005D2860"/>
    <w:rsid w:val="005D3FEF"/>
    <w:rsid w:val="005E003C"/>
    <w:rsid w:val="005E0219"/>
    <w:rsid w:val="005E043E"/>
    <w:rsid w:val="005E0549"/>
    <w:rsid w:val="005E58C3"/>
    <w:rsid w:val="005E5E58"/>
    <w:rsid w:val="005E5EB8"/>
    <w:rsid w:val="005E68A9"/>
    <w:rsid w:val="005E6B06"/>
    <w:rsid w:val="005E6DC4"/>
    <w:rsid w:val="005E7E49"/>
    <w:rsid w:val="005F0003"/>
    <w:rsid w:val="005F10AB"/>
    <w:rsid w:val="005F22A3"/>
    <w:rsid w:val="005F50E0"/>
    <w:rsid w:val="005F7A52"/>
    <w:rsid w:val="00600A5D"/>
    <w:rsid w:val="006032E2"/>
    <w:rsid w:val="00606551"/>
    <w:rsid w:val="0061084C"/>
    <w:rsid w:val="00612C96"/>
    <w:rsid w:val="0061347B"/>
    <w:rsid w:val="00613B6A"/>
    <w:rsid w:val="00614129"/>
    <w:rsid w:val="0061432D"/>
    <w:rsid w:val="006150CB"/>
    <w:rsid w:val="00615668"/>
    <w:rsid w:val="006210DD"/>
    <w:rsid w:val="00621309"/>
    <w:rsid w:val="006221A2"/>
    <w:rsid w:val="006233D7"/>
    <w:rsid w:val="00623DAC"/>
    <w:rsid w:val="0062428C"/>
    <w:rsid w:val="00626D7F"/>
    <w:rsid w:val="006274BB"/>
    <w:rsid w:val="00630CD4"/>
    <w:rsid w:val="0063159C"/>
    <w:rsid w:val="00631FB6"/>
    <w:rsid w:val="006326A9"/>
    <w:rsid w:val="00632753"/>
    <w:rsid w:val="006346E2"/>
    <w:rsid w:val="00634826"/>
    <w:rsid w:val="006436DA"/>
    <w:rsid w:val="00643799"/>
    <w:rsid w:val="00645949"/>
    <w:rsid w:val="00645EF8"/>
    <w:rsid w:val="0064621F"/>
    <w:rsid w:val="00646C82"/>
    <w:rsid w:val="00650863"/>
    <w:rsid w:val="006516C3"/>
    <w:rsid w:val="006538F3"/>
    <w:rsid w:val="006548B4"/>
    <w:rsid w:val="006554D8"/>
    <w:rsid w:val="0065589B"/>
    <w:rsid w:val="006568CE"/>
    <w:rsid w:val="00656E08"/>
    <w:rsid w:val="00656FF2"/>
    <w:rsid w:val="0065710C"/>
    <w:rsid w:val="006634DE"/>
    <w:rsid w:val="00664E03"/>
    <w:rsid w:val="00670B1E"/>
    <w:rsid w:val="00672945"/>
    <w:rsid w:val="006735D6"/>
    <w:rsid w:val="00673AD2"/>
    <w:rsid w:val="00675E82"/>
    <w:rsid w:val="00681158"/>
    <w:rsid w:val="0068192D"/>
    <w:rsid w:val="00682AA9"/>
    <w:rsid w:val="00682D45"/>
    <w:rsid w:val="006835F5"/>
    <w:rsid w:val="006869AE"/>
    <w:rsid w:val="00687966"/>
    <w:rsid w:val="0069087D"/>
    <w:rsid w:val="00692F95"/>
    <w:rsid w:val="006946CC"/>
    <w:rsid w:val="00694C7B"/>
    <w:rsid w:val="00695C61"/>
    <w:rsid w:val="006966D5"/>
    <w:rsid w:val="0069698D"/>
    <w:rsid w:val="006A029E"/>
    <w:rsid w:val="006A1758"/>
    <w:rsid w:val="006A2F11"/>
    <w:rsid w:val="006A43E2"/>
    <w:rsid w:val="006A5E64"/>
    <w:rsid w:val="006A6684"/>
    <w:rsid w:val="006B062B"/>
    <w:rsid w:val="006B1F0C"/>
    <w:rsid w:val="006B27D5"/>
    <w:rsid w:val="006B4B72"/>
    <w:rsid w:val="006B7F4D"/>
    <w:rsid w:val="006C23CB"/>
    <w:rsid w:val="006C7F2F"/>
    <w:rsid w:val="006D1B13"/>
    <w:rsid w:val="006D2118"/>
    <w:rsid w:val="006D53D4"/>
    <w:rsid w:val="006D5E44"/>
    <w:rsid w:val="006D730B"/>
    <w:rsid w:val="006D7B8C"/>
    <w:rsid w:val="006E27D0"/>
    <w:rsid w:val="006E3C80"/>
    <w:rsid w:val="006E7168"/>
    <w:rsid w:val="006E77FE"/>
    <w:rsid w:val="006F064D"/>
    <w:rsid w:val="006F065A"/>
    <w:rsid w:val="006F1621"/>
    <w:rsid w:val="006F18E2"/>
    <w:rsid w:val="006F1979"/>
    <w:rsid w:val="006F1AC7"/>
    <w:rsid w:val="006F1C32"/>
    <w:rsid w:val="006F43C2"/>
    <w:rsid w:val="006F5B7E"/>
    <w:rsid w:val="006F6CC8"/>
    <w:rsid w:val="006F7503"/>
    <w:rsid w:val="0070131C"/>
    <w:rsid w:val="007020B7"/>
    <w:rsid w:val="007022E3"/>
    <w:rsid w:val="00705375"/>
    <w:rsid w:val="007053B6"/>
    <w:rsid w:val="0070590A"/>
    <w:rsid w:val="00705D69"/>
    <w:rsid w:val="00706364"/>
    <w:rsid w:val="00707FA2"/>
    <w:rsid w:val="007124B2"/>
    <w:rsid w:val="00712602"/>
    <w:rsid w:val="007128B1"/>
    <w:rsid w:val="00713743"/>
    <w:rsid w:val="00715379"/>
    <w:rsid w:val="0071772D"/>
    <w:rsid w:val="00723B6B"/>
    <w:rsid w:val="00724416"/>
    <w:rsid w:val="007267B4"/>
    <w:rsid w:val="007269A9"/>
    <w:rsid w:val="00730AAC"/>
    <w:rsid w:val="00733C65"/>
    <w:rsid w:val="00736A3C"/>
    <w:rsid w:val="0073777E"/>
    <w:rsid w:val="007378AD"/>
    <w:rsid w:val="00740914"/>
    <w:rsid w:val="00741632"/>
    <w:rsid w:val="007420BF"/>
    <w:rsid w:val="00742787"/>
    <w:rsid w:val="00743F7B"/>
    <w:rsid w:val="007444CD"/>
    <w:rsid w:val="0074469C"/>
    <w:rsid w:val="0075157E"/>
    <w:rsid w:val="007518DF"/>
    <w:rsid w:val="00751C11"/>
    <w:rsid w:val="00752D01"/>
    <w:rsid w:val="00753970"/>
    <w:rsid w:val="00753F62"/>
    <w:rsid w:val="007571A4"/>
    <w:rsid w:val="00765670"/>
    <w:rsid w:val="00766F5A"/>
    <w:rsid w:val="00767B4E"/>
    <w:rsid w:val="007718E9"/>
    <w:rsid w:val="00771984"/>
    <w:rsid w:val="007745E9"/>
    <w:rsid w:val="007764C4"/>
    <w:rsid w:val="00776606"/>
    <w:rsid w:val="00783203"/>
    <w:rsid w:val="00783D80"/>
    <w:rsid w:val="007844BC"/>
    <w:rsid w:val="00784B51"/>
    <w:rsid w:val="00784E82"/>
    <w:rsid w:val="00784F5E"/>
    <w:rsid w:val="0078531E"/>
    <w:rsid w:val="007853A8"/>
    <w:rsid w:val="00785BA1"/>
    <w:rsid w:val="007874DE"/>
    <w:rsid w:val="00790E27"/>
    <w:rsid w:val="00791FD2"/>
    <w:rsid w:val="0079311D"/>
    <w:rsid w:val="00793594"/>
    <w:rsid w:val="00793C8C"/>
    <w:rsid w:val="007940F3"/>
    <w:rsid w:val="00794967"/>
    <w:rsid w:val="007A1D03"/>
    <w:rsid w:val="007A331B"/>
    <w:rsid w:val="007A430C"/>
    <w:rsid w:val="007A512A"/>
    <w:rsid w:val="007A6B6E"/>
    <w:rsid w:val="007A6C78"/>
    <w:rsid w:val="007B0031"/>
    <w:rsid w:val="007B0889"/>
    <w:rsid w:val="007B2145"/>
    <w:rsid w:val="007B2485"/>
    <w:rsid w:val="007B29DD"/>
    <w:rsid w:val="007B3001"/>
    <w:rsid w:val="007B7106"/>
    <w:rsid w:val="007C0A29"/>
    <w:rsid w:val="007C1EDC"/>
    <w:rsid w:val="007C275E"/>
    <w:rsid w:val="007C3365"/>
    <w:rsid w:val="007C47DC"/>
    <w:rsid w:val="007C4DC0"/>
    <w:rsid w:val="007C523E"/>
    <w:rsid w:val="007C641C"/>
    <w:rsid w:val="007C707B"/>
    <w:rsid w:val="007C7643"/>
    <w:rsid w:val="007D13A7"/>
    <w:rsid w:val="007D44D0"/>
    <w:rsid w:val="007D5217"/>
    <w:rsid w:val="007D70E3"/>
    <w:rsid w:val="007D74B1"/>
    <w:rsid w:val="007D78E8"/>
    <w:rsid w:val="007E04E6"/>
    <w:rsid w:val="007E0D1B"/>
    <w:rsid w:val="007E0EFA"/>
    <w:rsid w:val="007E14BF"/>
    <w:rsid w:val="007E2CB8"/>
    <w:rsid w:val="007E4440"/>
    <w:rsid w:val="007E4624"/>
    <w:rsid w:val="007E5333"/>
    <w:rsid w:val="007E7459"/>
    <w:rsid w:val="007E750E"/>
    <w:rsid w:val="007E7723"/>
    <w:rsid w:val="007F03F4"/>
    <w:rsid w:val="007F2647"/>
    <w:rsid w:val="007F270E"/>
    <w:rsid w:val="007F2858"/>
    <w:rsid w:val="007F3258"/>
    <w:rsid w:val="007F3B92"/>
    <w:rsid w:val="007F5B61"/>
    <w:rsid w:val="007F5F18"/>
    <w:rsid w:val="007F6306"/>
    <w:rsid w:val="007F6682"/>
    <w:rsid w:val="007F6F09"/>
    <w:rsid w:val="007F7531"/>
    <w:rsid w:val="00800271"/>
    <w:rsid w:val="00800851"/>
    <w:rsid w:val="008036F5"/>
    <w:rsid w:val="008046F5"/>
    <w:rsid w:val="008049F1"/>
    <w:rsid w:val="00805541"/>
    <w:rsid w:val="00806DD3"/>
    <w:rsid w:val="00806FDB"/>
    <w:rsid w:val="00807158"/>
    <w:rsid w:val="00807B12"/>
    <w:rsid w:val="00810069"/>
    <w:rsid w:val="00814DA5"/>
    <w:rsid w:val="0081631B"/>
    <w:rsid w:val="008164B6"/>
    <w:rsid w:val="008166BD"/>
    <w:rsid w:val="00816891"/>
    <w:rsid w:val="0082139D"/>
    <w:rsid w:val="00821501"/>
    <w:rsid w:val="00821909"/>
    <w:rsid w:val="008265C5"/>
    <w:rsid w:val="00826DAF"/>
    <w:rsid w:val="0082705E"/>
    <w:rsid w:val="008273A0"/>
    <w:rsid w:val="00830DEE"/>
    <w:rsid w:val="0083131B"/>
    <w:rsid w:val="00832D83"/>
    <w:rsid w:val="0083366C"/>
    <w:rsid w:val="00833723"/>
    <w:rsid w:val="0083387A"/>
    <w:rsid w:val="00835339"/>
    <w:rsid w:val="00835819"/>
    <w:rsid w:val="00836989"/>
    <w:rsid w:val="00837BB5"/>
    <w:rsid w:val="0084271C"/>
    <w:rsid w:val="00842FC6"/>
    <w:rsid w:val="00843E51"/>
    <w:rsid w:val="00844328"/>
    <w:rsid w:val="00850678"/>
    <w:rsid w:val="00851BE7"/>
    <w:rsid w:val="0085310A"/>
    <w:rsid w:val="0085428A"/>
    <w:rsid w:val="00854E96"/>
    <w:rsid w:val="00854FF2"/>
    <w:rsid w:val="008554BF"/>
    <w:rsid w:val="00857D9D"/>
    <w:rsid w:val="008600FD"/>
    <w:rsid w:val="0086279A"/>
    <w:rsid w:val="00862ED4"/>
    <w:rsid w:val="00863AB3"/>
    <w:rsid w:val="008647FB"/>
    <w:rsid w:val="00867B55"/>
    <w:rsid w:val="00867CCD"/>
    <w:rsid w:val="00870313"/>
    <w:rsid w:val="00871085"/>
    <w:rsid w:val="008721A7"/>
    <w:rsid w:val="008746D9"/>
    <w:rsid w:val="00874D6B"/>
    <w:rsid w:val="00875123"/>
    <w:rsid w:val="00876456"/>
    <w:rsid w:val="00876650"/>
    <w:rsid w:val="00880FB4"/>
    <w:rsid w:val="00881918"/>
    <w:rsid w:val="00885266"/>
    <w:rsid w:val="00886E7F"/>
    <w:rsid w:val="008876AC"/>
    <w:rsid w:val="00891262"/>
    <w:rsid w:val="008934DA"/>
    <w:rsid w:val="00893CB1"/>
    <w:rsid w:val="00894460"/>
    <w:rsid w:val="00894C9E"/>
    <w:rsid w:val="0089580B"/>
    <w:rsid w:val="00895912"/>
    <w:rsid w:val="00895FDE"/>
    <w:rsid w:val="00896DDE"/>
    <w:rsid w:val="00897396"/>
    <w:rsid w:val="008974DB"/>
    <w:rsid w:val="008A3399"/>
    <w:rsid w:val="008A490D"/>
    <w:rsid w:val="008A5425"/>
    <w:rsid w:val="008A6626"/>
    <w:rsid w:val="008A7128"/>
    <w:rsid w:val="008B18C7"/>
    <w:rsid w:val="008B19C0"/>
    <w:rsid w:val="008B20F8"/>
    <w:rsid w:val="008B2650"/>
    <w:rsid w:val="008B31AA"/>
    <w:rsid w:val="008B59EA"/>
    <w:rsid w:val="008C2777"/>
    <w:rsid w:val="008C2A1D"/>
    <w:rsid w:val="008C2F1E"/>
    <w:rsid w:val="008C3057"/>
    <w:rsid w:val="008C307A"/>
    <w:rsid w:val="008C41C4"/>
    <w:rsid w:val="008C51AE"/>
    <w:rsid w:val="008C5663"/>
    <w:rsid w:val="008C6528"/>
    <w:rsid w:val="008C6599"/>
    <w:rsid w:val="008C6945"/>
    <w:rsid w:val="008C6F00"/>
    <w:rsid w:val="008D0734"/>
    <w:rsid w:val="008D11EF"/>
    <w:rsid w:val="008D208C"/>
    <w:rsid w:val="008D2EF7"/>
    <w:rsid w:val="008D47BE"/>
    <w:rsid w:val="008D5A0D"/>
    <w:rsid w:val="008D75B0"/>
    <w:rsid w:val="008D7BC9"/>
    <w:rsid w:val="008E0483"/>
    <w:rsid w:val="008E1E39"/>
    <w:rsid w:val="008E7527"/>
    <w:rsid w:val="008F0059"/>
    <w:rsid w:val="008F1082"/>
    <w:rsid w:val="008F23ED"/>
    <w:rsid w:val="008F2885"/>
    <w:rsid w:val="008F2A24"/>
    <w:rsid w:val="008F3602"/>
    <w:rsid w:val="008F4869"/>
    <w:rsid w:val="008F5311"/>
    <w:rsid w:val="008F5BB5"/>
    <w:rsid w:val="008F6565"/>
    <w:rsid w:val="008F65A7"/>
    <w:rsid w:val="00900238"/>
    <w:rsid w:val="0090049E"/>
    <w:rsid w:val="009014E0"/>
    <w:rsid w:val="009028BC"/>
    <w:rsid w:val="00904366"/>
    <w:rsid w:val="009047C8"/>
    <w:rsid w:val="00910C0F"/>
    <w:rsid w:val="00911682"/>
    <w:rsid w:val="00911A60"/>
    <w:rsid w:val="00912AFA"/>
    <w:rsid w:val="00914843"/>
    <w:rsid w:val="00914A57"/>
    <w:rsid w:val="00914EBE"/>
    <w:rsid w:val="009156CB"/>
    <w:rsid w:val="00916A42"/>
    <w:rsid w:val="0092007A"/>
    <w:rsid w:val="0092353E"/>
    <w:rsid w:val="0092731E"/>
    <w:rsid w:val="009277CF"/>
    <w:rsid w:val="009312F7"/>
    <w:rsid w:val="00931A2C"/>
    <w:rsid w:val="009320DA"/>
    <w:rsid w:val="009338C2"/>
    <w:rsid w:val="00936E01"/>
    <w:rsid w:val="009370FC"/>
    <w:rsid w:val="00940F54"/>
    <w:rsid w:val="00941816"/>
    <w:rsid w:val="009444EB"/>
    <w:rsid w:val="0094450D"/>
    <w:rsid w:val="00944797"/>
    <w:rsid w:val="00946F5C"/>
    <w:rsid w:val="00947BC8"/>
    <w:rsid w:val="00951399"/>
    <w:rsid w:val="00956F9D"/>
    <w:rsid w:val="00957755"/>
    <w:rsid w:val="00957A9C"/>
    <w:rsid w:val="009600E0"/>
    <w:rsid w:val="00960E6B"/>
    <w:rsid w:val="00964AD2"/>
    <w:rsid w:val="00965012"/>
    <w:rsid w:val="00966040"/>
    <w:rsid w:val="009675C1"/>
    <w:rsid w:val="009706FE"/>
    <w:rsid w:val="0097147A"/>
    <w:rsid w:val="00972CDE"/>
    <w:rsid w:val="00974678"/>
    <w:rsid w:val="009747AD"/>
    <w:rsid w:val="0097515F"/>
    <w:rsid w:val="0097665C"/>
    <w:rsid w:val="00976BC7"/>
    <w:rsid w:val="0097724E"/>
    <w:rsid w:val="00977528"/>
    <w:rsid w:val="0098086F"/>
    <w:rsid w:val="00981CEB"/>
    <w:rsid w:val="0098539C"/>
    <w:rsid w:val="00985B90"/>
    <w:rsid w:val="009861BE"/>
    <w:rsid w:val="0098671E"/>
    <w:rsid w:val="00986C03"/>
    <w:rsid w:val="00990877"/>
    <w:rsid w:val="0099191F"/>
    <w:rsid w:val="00992E94"/>
    <w:rsid w:val="00995936"/>
    <w:rsid w:val="0099672C"/>
    <w:rsid w:val="009A1B74"/>
    <w:rsid w:val="009A30D1"/>
    <w:rsid w:val="009A3425"/>
    <w:rsid w:val="009A42A6"/>
    <w:rsid w:val="009A5355"/>
    <w:rsid w:val="009A5E17"/>
    <w:rsid w:val="009A6D01"/>
    <w:rsid w:val="009B044E"/>
    <w:rsid w:val="009B13A7"/>
    <w:rsid w:val="009B1CA7"/>
    <w:rsid w:val="009B3CD5"/>
    <w:rsid w:val="009B4C02"/>
    <w:rsid w:val="009B620D"/>
    <w:rsid w:val="009B700A"/>
    <w:rsid w:val="009B70D2"/>
    <w:rsid w:val="009C037D"/>
    <w:rsid w:val="009C141D"/>
    <w:rsid w:val="009C1597"/>
    <w:rsid w:val="009C1733"/>
    <w:rsid w:val="009C36AE"/>
    <w:rsid w:val="009C44FA"/>
    <w:rsid w:val="009C575D"/>
    <w:rsid w:val="009C5829"/>
    <w:rsid w:val="009C67BB"/>
    <w:rsid w:val="009D1026"/>
    <w:rsid w:val="009D4796"/>
    <w:rsid w:val="009D51DF"/>
    <w:rsid w:val="009D5344"/>
    <w:rsid w:val="009D55BE"/>
    <w:rsid w:val="009D775C"/>
    <w:rsid w:val="009D7BDF"/>
    <w:rsid w:val="009E120E"/>
    <w:rsid w:val="009E3F8F"/>
    <w:rsid w:val="009E4A3A"/>
    <w:rsid w:val="009E51BE"/>
    <w:rsid w:val="009E5CD7"/>
    <w:rsid w:val="009E62EE"/>
    <w:rsid w:val="009E730A"/>
    <w:rsid w:val="009E7D71"/>
    <w:rsid w:val="009E7E24"/>
    <w:rsid w:val="009F00FA"/>
    <w:rsid w:val="009F22A8"/>
    <w:rsid w:val="009F2395"/>
    <w:rsid w:val="009F406E"/>
    <w:rsid w:val="009F688E"/>
    <w:rsid w:val="009F6E56"/>
    <w:rsid w:val="009F7AF9"/>
    <w:rsid w:val="00A03B7D"/>
    <w:rsid w:val="00A05EB2"/>
    <w:rsid w:val="00A1386F"/>
    <w:rsid w:val="00A14331"/>
    <w:rsid w:val="00A14B48"/>
    <w:rsid w:val="00A15DA1"/>
    <w:rsid w:val="00A2075D"/>
    <w:rsid w:val="00A212D3"/>
    <w:rsid w:val="00A22338"/>
    <w:rsid w:val="00A22F9D"/>
    <w:rsid w:val="00A23CF5"/>
    <w:rsid w:val="00A23E23"/>
    <w:rsid w:val="00A3062E"/>
    <w:rsid w:val="00A30C78"/>
    <w:rsid w:val="00A318B7"/>
    <w:rsid w:val="00A31B9E"/>
    <w:rsid w:val="00A33296"/>
    <w:rsid w:val="00A3656C"/>
    <w:rsid w:val="00A366BF"/>
    <w:rsid w:val="00A371A6"/>
    <w:rsid w:val="00A37761"/>
    <w:rsid w:val="00A42678"/>
    <w:rsid w:val="00A439F0"/>
    <w:rsid w:val="00A449A7"/>
    <w:rsid w:val="00A4540C"/>
    <w:rsid w:val="00A45944"/>
    <w:rsid w:val="00A45959"/>
    <w:rsid w:val="00A46143"/>
    <w:rsid w:val="00A50CCF"/>
    <w:rsid w:val="00A51E78"/>
    <w:rsid w:val="00A5629F"/>
    <w:rsid w:val="00A56558"/>
    <w:rsid w:val="00A57526"/>
    <w:rsid w:val="00A6008B"/>
    <w:rsid w:val="00A604DC"/>
    <w:rsid w:val="00A60829"/>
    <w:rsid w:val="00A6173D"/>
    <w:rsid w:val="00A62515"/>
    <w:rsid w:val="00A63F92"/>
    <w:rsid w:val="00A63F9A"/>
    <w:rsid w:val="00A651A5"/>
    <w:rsid w:val="00A7083B"/>
    <w:rsid w:val="00A71451"/>
    <w:rsid w:val="00A72030"/>
    <w:rsid w:val="00A75D53"/>
    <w:rsid w:val="00A76D19"/>
    <w:rsid w:val="00A77ABC"/>
    <w:rsid w:val="00A8198A"/>
    <w:rsid w:val="00A82384"/>
    <w:rsid w:val="00A825CE"/>
    <w:rsid w:val="00A848C3"/>
    <w:rsid w:val="00A84F5A"/>
    <w:rsid w:val="00A860C3"/>
    <w:rsid w:val="00A87D7B"/>
    <w:rsid w:val="00A902F1"/>
    <w:rsid w:val="00A939CA"/>
    <w:rsid w:val="00A93FF0"/>
    <w:rsid w:val="00A945B0"/>
    <w:rsid w:val="00A96056"/>
    <w:rsid w:val="00A962E2"/>
    <w:rsid w:val="00A96995"/>
    <w:rsid w:val="00AA079B"/>
    <w:rsid w:val="00AA0AF0"/>
    <w:rsid w:val="00AA1299"/>
    <w:rsid w:val="00AA2362"/>
    <w:rsid w:val="00AA2720"/>
    <w:rsid w:val="00AA766A"/>
    <w:rsid w:val="00AB2475"/>
    <w:rsid w:val="00AB2CCE"/>
    <w:rsid w:val="00AB3AE9"/>
    <w:rsid w:val="00AB48CD"/>
    <w:rsid w:val="00AC01F4"/>
    <w:rsid w:val="00AC0592"/>
    <w:rsid w:val="00AC07F0"/>
    <w:rsid w:val="00AC08F3"/>
    <w:rsid w:val="00AC0BF4"/>
    <w:rsid w:val="00AC0F0D"/>
    <w:rsid w:val="00AC29C4"/>
    <w:rsid w:val="00AC6789"/>
    <w:rsid w:val="00AD04C7"/>
    <w:rsid w:val="00AD21CF"/>
    <w:rsid w:val="00AD2D4E"/>
    <w:rsid w:val="00AD3A0D"/>
    <w:rsid w:val="00AD59DF"/>
    <w:rsid w:val="00AD6C92"/>
    <w:rsid w:val="00AD745C"/>
    <w:rsid w:val="00AE0A1D"/>
    <w:rsid w:val="00AE43BA"/>
    <w:rsid w:val="00AE4A24"/>
    <w:rsid w:val="00AE52BC"/>
    <w:rsid w:val="00AF0205"/>
    <w:rsid w:val="00AF0539"/>
    <w:rsid w:val="00AF07CA"/>
    <w:rsid w:val="00AF114C"/>
    <w:rsid w:val="00AF1EBA"/>
    <w:rsid w:val="00AF374C"/>
    <w:rsid w:val="00AF39FA"/>
    <w:rsid w:val="00AF3BE4"/>
    <w:rsid w:val="00AF5178"/>
    <w:rsid w:val="00B00510"/>
    <w:rsid w:val="00B009E0"/>
    <w:rsid w:val="00B00EED"/>
    <w:rsid w:val="00B013AD"/>
    <w:rsid w:val="00B0208F"/>
    <w:rsid w:val="00B028C0"/>
    <w:rsid w:val="00B03856"/>
    <w:rsid w:val="00B03ED3"/>
    <w:rsid w:val="00B05ADF"/>
    <w:rsid w:val="00B06171"/>
    <w:rsid w:val="00B062A0"/>
    <w:rsid w:val="00B076E9"/>
    <w:rsid w:val="00B1059A"/>
    <w:rsid w:val="00B14772"/>
    <w:rsid w:val="00B20922"/>
    <w:rsid w:val="00B21046"/>
    <w:rsid w:val="00B21E64"/>
    <w:rsid w:val="00B2269D"/>
    <w:rsid w:val="00B230C0"/>
    <w:rsid w:val="00B23681"/>
    <w:rsid w:val="00B2369A"/>
    <w:rsid w:val="00B23725"/>
    <w:rsid w:val="00B23EA1"/>
    <w:rsid w:val="00B2590E"/>
    <w:rsid w:val="00B26F9D"/>
    <w:rsid w:val="00B307B1"/>
    <w:rsid w:val="00B31E0B"/>
    <w:rsid w:val="00B340E8"/>
    <w:rsid w:val="00B342BE"/>
    <w:rsid w:val="00B4014B"/>
    <w:rsid w:val="00B41EB8"/>
    <w:rsid w:val="00B44A23"/>
    <w:rsid w:val="00B44D00"/>
    <w:rsid w:val="00B479A3"/>
    <w:rsid w:val="00B50297"/>
    <w:rsid w:val="00B5058D"/>
    <w:rsid w:val="00B51075"/>
    <w:rsid w:val="00B51DC2"/>
    <w:rsid w:val="00B52138"/>
    <w:rsid w:val="00B54018"/>
    <w:rsid w:val="00B5401F"/>
    <w:rsid w:val="00B546E9"/>
    <w:rsid w:val="00B54D41"/>
    <w:rsid w:val="00B566D8"/>
    <w:rsid w:val="00B569EC"/>
    <w:rsid w:val="00B62453"/>
    <w:rsid w:val="00B62829"/>
    <w:rsid w:val="00B65303"/>
    <w:rsid w:val="00B65348"/>
    <w:rsid w:val="00B653B9"/>
    <w:rsid w:val="00B6586E"/>
    <w:rsid w:val="00B65D6A"/>
    <w:rsid w:val="00B714BA"/>
    <w:rsid w:val="00B720BA"/>
    <w:rsid w:val="00B72342"/>
    <w:rsid w:val="00B73797"/>
    <w:rsid w:val="00B73D16"/>
    <w:rsid w:val="00B74535"/>
    <w:rsid w:val="00B74D59"/>
    <w:rsid w:val="00B750D8"/>
    <w:rsid w:val="00B771C3"/>
    <w:rsid w:val="00B77500"/>
    <w:rsid w:val="00B82A97"/>
    <w:rsid w:val="00B82E62"/>
    <w:rsid w:val="00B830FA"/>
    <w:rsid w:val="00B83CD6"/>
    <w:rsid w:val="00B84173"/>
    <w:rsid w:val="00B84DBE"/>
    <w:rsid w:val="00B85546"/>
    <w:rsid w:val="00B856AF"/>
    <w:rsid w:val="00B856E1"/>
    <w:rsid w:val="00B86EF8"/>
    <w:rsid w:val="00B9017A"/>
    <w:rsid w:val="00B91A5C"/>
    <w:rsid w:val="00B92943"/>
    <w:rsid w:val="00B94029"/>
    <w:rsid w:val="00B95334"/>
    <w:rsid w:val="00B95C0F"/>
    <w:rsid w:val="00B97BAE"/>
    <w:rsid w:val="00B97FA5"/>
    <w:rsid w:val="00BA089A"/>
    <w:rsid w:val="00BA0BF0"/>
    <w:rsid w:val="00BA4475"/>
    <w:rsid w:val="00BA597B"/>
    <w:rsid w:val="00BB09F0"/>
    <w:rsid w:val="00BB176E"/>
    <w:rsid w:val="00BB3A30"/>
    <w:rsid w:val="00BB3D29"/>
    <w:rsid w:val="00BB452B"/>
    <w:rsid w:val="00BB5542"/>
    <w:rsid w:val="00BB735C"/>
    <w:rsid w:val="00BC12AE"/>
    <w:rsid w:val="00BC3DF5"/>
    <w:rsid w:val="00BC3FAC"/>
    <w:rsid w:val="00BC7247"/>
    <w:rsid w:val="00BD2D08"/>
    <w:rsid w:val="00BD461A"/>
    <w:rsid w:val="00BD5118"/>
    <w:rsid w:val="00BD5209"/>
    <w:rsid w:val="00BD5522"/>
    <w:rsid w:val="00BD6073"/>
    <w:rsid w:val="00BD63DE"/>
    <w:rsid w:val="00BD68A2"/>
    <w:rsid w:val="00BD6B2F"/>
    <w:rsid w:val="00BE1A44"/>
    <w:rsid w:val="00BE2BC3"/>
    <w:rsid w:val="00BE42F2"/>
    <w:rsid w:val="00BF004D"/>
    <w:rsid w:val="00BF01D9"/>
    <w:rsid w:val="00BF08D7"/>
    <w:rsid w:val="00BF0C6F"/>
    <w:rsid w:val="00BF2EC7"/>
    <w:rsid w:val="00BF5009"/>
    <w:rsid w:val="00BF7DEB"/>
    <w:rsid w:val="00C015C0"/>
    <w:rsid w:val="00C0209E"/>
    <w:rsid w:val="00C0335A"/>
    <w:rsid w:val="00C043A3"/>
    <w:rsid w:val="00C05130"/>
    <w:rsid w:val="00C066DA"/>
    <w:rsid w:val="00C110B3"/>
    <w:rsid w:val="00C1197D"/>
    <w:rsid w:val="00C129AC"/>
    <w:rsid w:val="00C13EBD"/>
    <w:rsid w:val="00C14951"/>
    <w:rsid w:val="00C1515A"/>
    <w:rsid w:val="00C166FF"/>
    <w:rsid w:val="00C16981"/>
    <w:rsid w:val="00C1699E"/>
    <w:rsid w:val="00C173B2"/>
    <w:rsid w:val="00C17B9B"/>
    <w:rsid w:val="00C26DE1"/>
    <w:rsid w:val="00C279C1"/>
    <w:rsid w:val="00C302FC"/>
    <w:rsid w:val="00C3106A"/>
    <w:rsid w:val="00C32D2A"/>
    <w:rsid w:val="00C3387E"/>
    <w:rsid w:val="00C350E7"/>
    <w:rsid w:val="00C36716"/>
    <w:rsid w:val="00C36C7F"/>
    <w:rsid w:val="00C401DB"/>
    <w:rsid w:val="00C42CD3"/>
    <w:rsid w:val="00C430A5"/>
    <w:rsid w:val="00C43D72"/>
    <w:rsid w:val="00C4551A"/>
    <w:rsid w:val="00C45ECA"/>
    <w:rsid w:val="00C45F0F"/>
    <w:rsid w:val="00C463D1"/>
    <w:rsid w:val="00C500CE"/>
    <w:rsid w:val="00C5293B"/>
    <w:rsid w:val="00C54AD8"/>
    <w:rsid w:val="00C54DFE"/>
    <w:rsid w:val="00C60743"/>
    <w:rsid w:val="00C62277"/>
    <w:rsid w:val="00C627C6"/>
    <w:rsid w:val="00C67CB1"/>
    <w:rsid w:val="00C67E0B"/>
    <w:rsid w:val="00C7009C"/>
    <w:rsid w:val="00C70300"/>
    <w:rsid w:val="00C74B38"/>
    <w:rsid w:val="00C80575"/>
    <w:rsid w:val="00C8185A"/>
    <w:rsid w:val="00C81AE6"/>
    <w:rsid w:val="00C82777"/>
    <w:rsid w:val="00C82C2D"/>
    <w:rsid w:val="00C83CED"/>
    <w:rsid w:val="00C84E38"/>
    <w:rsid w:val="00C85684"/>
    <w:rsid w:val="00C85AEB"/>
    <w:rsid w:val="00C873E7"/>
    <w:rsid w:val="00C91E84"/>
    <w:rsid w:val="00C92045"/>
    <w:rsid w:val="00C925D7"/>
    <w:rsid w:val="00CA00C8"/>
    <w:rsid w:val="00CA536B"/>
    <w:rsid w:val="00CB1C21"/>
    <w:rsid w:val="00CB2CC3"/>
    <w:rsid w:val="00CB64F4"/>
    <w:rsid w:val="00CB777B"/>
    <w:rsid w:val="00CC2206"/>
    <w:rsid w:val="00CC2FFB"/>
    <w:rsid w:val="00CC38BA"/>
    <w:rsid w:val="00CC4E4D"/>
    <w:rsid w:val="00CC58AC"/>
    <w:rsid w:val="00CC5D6E"/>
    <w:rsid w:val="00CD05BC"/>
    <w:rsid w:val="00CD21D7"/>
    <w:rsid w:val="00CD3562"/>
    <w:rsid w:val="00CD3AA1"/>
    <w:rsid w:val="00CD45D1"/>
    <w:rsid w:val="00CD6EBB"/>
    <w:rsid w:val="00CD73AF"/>
    <w:rsid w:val="00CE0A02"/>
    <w:rsid w:val="00CE10C5"/>
    <w:rsid w:val="00CE1D9B"/>
    <w:rsid w:val="00CE27CF"/>
    <w:rsid w:val="00CE4DAB"/>
    <w:rsid w:val="00CE501B"/>
    <w:rsid w:val="00CE5235"/>
    <w:rsid w:val="00CE704E"/>
    <w:rsid w:val="00CF213A"/>
    <w:rsid w:val="00CF49D9"/>
    <w:rsid w:val="00CF4E88"/>
    <w:rsid w:val="00CF6C06"/>
    <w:rsid w:val="00CF79FA"/>
    <w:rsid w:val="00D011EE"/>
    <w:rsid w:val="00D04A00"/>
    <w:rsid w:val="00D052C0"/>
    <w:rsid w:val="00D058BB"/>
    <w:rsid w:val="00D061E3"/>
    <w:rsid w:val="00D101F2"/>
    <w:rsid w:val="00D126A9"/>
    <w:rsid w:val="00D1492D"/>
    <w:rsid w:val="00D16480"/>
    <w:rsid w:val="00D17D9F"/>
    <w:rsid w:val="00D20381"/>
    <w:rsid w:val="00D22228"/>
    <w:rsid w:val="00D22927"/>
    <w:rsid w:val="00D22BD6"/>
    <w:rsid w:val="00D22D30"/>
    <w:rsid w:val="00D23368"/>
    <w:rsid w:val="00D240AC"/>
    <w:rsid w:val="00D267B9"/>
    <w:rsid w:val="00D26C08"/>
    <w:rsid w:val="00D3068F"/>
    <w:rsid w:val="00D31990"/>
    <w:rsid w:val="00D32419"/>
    <w:rsid w:val="00D327C7"/>
    <w:rsid w:val="00D3646B"/>
    <w:rsid w:val="00D366C7"/>
    <w:rsid w:val="00D36C52"/>
    <w:rsid w:val="00D37731"/>
    <w:rsid w:val="00D37E0D"/>
    <w:rsid w:val="00D40858"/>
    <w:rsid w:val="00D44717"/>
    <w:rsid w:val="00D45FC1"/>
    <w:rsid w:val="00D5006E"/>
    <w:rsid w:val="00D50CC9"/>
    <w:rsid w:val="00D511C2"/>
    <w:rsid w:val="00D53672"/>
    <w:rsid w:val="00D54D5B"/>
    <w:rsid w:val="00D5502C"/>
    <w:rsid w:val="00D55E92"/>
    <w:rsid w:val="00D566D3"/>
    <w:rsid w:val="00D61CBC"/>
    <w:rsid w:val="00D629DE"/>
    <w:rsid w:val="00D64634"/>
    <w:rsid w:val="00D64E73"/>
    <w:rsid w:val="00D656D2"/>
    <w:rsid w:val="00D668A0"/>
    <w:rsid w:val="00D70493"/>
    <w:rsid w:val="00D704BE"/>
    <w:rsid w:val="00D705C6"/>
    <w:rsid w:val="00D705D6"/>
    <w:rsid w:val="00D705EF"/>
    <w:rsid w:val="00D726CD"/>
    <w:rsid w:val="00D73C53"/>
    <w:rsid w:val="00D74124"/>
    <w:rsid w:val="00D74E5F"/>
    <w:rsid w:val="00D75217"/>
    <w:rsid w:val="00D7523D"/>
    <w:rsid w:val="00D7560D"/>
    <w:rsid w:val="00D76670"/>
    <w:rsid w:val="00D81359"/>
    <w:rsid w:val="00D83AF0"/>
    <w:rsid w:val="00D84BA6"/>
    <w:rsid w:val="00D84D63"/>
    <w:rsid w:val="00D84E10"/>
    <w:rsid w:val="00D85903"/>
    <w:rsid w:val="00D85C64"/>
    <w:rsid w:val="00D86380"/>
    <w:rsid w:val="00D93452"/>
    <w:rsid w:val="00D943C5"/>
    <w:rsid w:val="00D946D7"/>
    <w:rsid w:val="00D94FCD"/>
    <w:rsid w:val="00D952F4"/>
    <w:rsid w:val="00D95A1D"/>
    <w:rsid w:val="00D96F86"/>
    <w:rsid w:val="00D97A27"/>
    <w:rsid w:val="00DA2648"/>
    <w:rsid w:val="00DA4216"/>
    <w:rsid w:val="00DA4750"/>
    <w:rsid w:val="00DA51C5"/>
    <w:rsid w:val="00DA5950"/>
    <w:rsid w:val="00DA5C97"/>
    <w:rsid w:val="00DA65E2"/>
    <w:rsid w:val="00DA6DDF"/>
    <w:rsid w:val="00DA7015"/>
    <w:rsid w:val="00DA7421"/>
    <w:rsid w:val="00DB178E"/>
    <w:rsid w:val="00DB2183"/>
    <w:rsid w:val="00DB2631"/>
    <w:rsid w:val="00DB5453"/>
    <w:rsid w:val="00DB548E"/>
    <w:rsid w:val="00DB63C9"/>
    <w:rsid w:val="00DB7D3C"/>
    <w:rsid w:val="00DC30FF"/>
    <w:rsid w:val="00DC4678"/>
    <w:rsid w:val="00DC492C"/>
    <w:rsid w:val="00DD6C2C"/>
    <w:rsid w:val="00DE1D22"/>
    <w:rsid w:val="00DE238B"/>
    <w:rsid w:val="00DE3B29"/>
    <w:rsid w:val="00DF0E67"/>
    <w:rsid w:val="00DF1214"/>
    <w:rsid w:val="00DF2F6A"/>
    <w:rsid w:val="00DF4108"/>
    <w:rsid w:val="00DF4749"/>
    <w:rsid w:val="00DF475F"/>
    <w:rsid w:val="00DF4BA9"/>
    <w:rsid w:val="00DF4CF0"/>
    <w:rsid w:val="00DF5B2F"/>
    <w:rsid w:val="00DF5F01"/>
    <w:rsid w:val="00DF7102"/>
    <w:rsid w:val="00E01196"/>
    <w:rsid w:val="00E030BE"/>
    <w:rsid w:val="00E102E7"/>
    <w:rsid w:val="00E11EF6"/>
    <w:rsid w:val="00E129FF"/>
    <w:rsid w:val="00E138F6"/>
    <w:rsid w:val="00E14A1D"/>
    <w:rsid w:val="00E14F79"/>
    <w:rsid w:val="00E17199"/>
    <w:rsid w:val="00E174CC"/>
    <w:rsid w:val="00E17637"/>
    <w:rsid w:val="00E17709"/>
    <w:rsid w:val="00E20CA7"/>
    <w:rsid w:val="00E20E22"/>
    <w:rsid w:val="00E21914"/>
    <w:rsid w:val="00E21CE5"/>
    <w:rsid w:val="00E24C43"/>
    <w:rsid w:val="00E2531B"/>
    <w:rsid w:val="00E25C5F"/>
    <w:rsid w:val="00E326D8"/>
    <w:rsid w:val="00E338EC"/>
    <w:rsid w:val="00E33BF0"/>
    <w:rsid w:val="00E34578"/>
    <w:rsid w:val="00E34811"/>
    <w:rsid w:val="00E34A6A"/>
    <w:rsid w:val="00E36110"/>
    <w:rsid w:val="00E36590"/>
    <w:rsid w:val="00E36E43"/>
    <w:rsid w:val="00E37320"/>
    <w:rsid w:val="00E37FCA"/>
    <w:rsid w:val="00E405BE"/>
    <w:rsid w:val="00E4094E"/>
    <w:rsid w:val="00E409F6"/>
    <w:rsid w:val="00E411AC"/>
    <w:rsid w:val="00E42148"/>
    <w:rsid w:val="00E42E46"/>
    <w:rsid w:val="00E43533"/>
    <w:rsid w:val="00E44246"/>
    <w:rsid w:val="00E4493D"/>
    <w:rsid w:val="00E4763A"/>
    <w:rsid w:val="00E50E3D"/>
    <w:rsid w:val="00E51844"/>
    <w:rsid w:val="00E51A90"/>
    <w:rsid w:val="00E556FB"/>
    <w:rsid w:val="00E56892"/>
    <w:rsid w:val="00E5791E"/>
    <w:rsid w:val="00E57A9E"/>
    <w:rsid w:val="00E60715"/>
    <w:rsid w:val="00E61159"/>
    <w:rsid w:val="00E642C7"/>
    <w:rsid w:val="00E64C67"/>
    <w:rsid w:val="00E64D56"/>
    <w:rsid w:val="00E658EA"/>
    <w:rsid w:val="00E6612A"/>
    <w:rsid w:val="00E701B5"/>
    <w:rsid w:val="00E70A89"/>
    <w:rsid w:val="00E718A1"/>
    <w:rsid w:val="00E725FF"/>
    <w:rsid w:val="00E7307D"/>
    <w:rsid w:val="00E73A1F"/>
    <w:rsid w:val="00E73C9C"/>
    <w:rsid w:val="00E74C1C"/>
    <w:rsid w:val="00E75059"/>
    <w:rsid w:val="00E75BF2"/>
    <w:rsid w:val="00E765DE"/>
    <w:rsid w:val="00E76BEB"/>
    <w:rsid w:val="00E76D9D"/>
    <w:rsid w:val="00E770DC"/>
    <w:rsid w:val="00E8209D"/>
    <w:rsid w:val="00E85F04"/>
    <w:rsid w:val="00E85FE8"/>
    <w:rsid w:val="00E96973"/>
    <w:rsid w:val="00E96F25"/>
    <w:rsid w:val="00E9799F"/>
    <w:rsid w:val="00E97FB3"/>
    <w:rsid w:val="00EA0679"/>
    <w:rsid w:val="00EA0883"/>
    <w:rsid w:val="00EA56BE"/>
    <w:rsid w:val="00EA75BB"/>
    <w:rsid w:val="00EB07A0"/>
    <w:rsid w:val="00EB27C5"/>
    <w:rsid w:val="00EB41CD"/>
    <w:rsid w:val="00EB5595"/>
    <w:rsid w:val="00EB6F4F"/>
    <w:rsid w:val="00EB770F"/>
    <w:rsid w:val="00EC1438"/>
    <w:rsid w:val="00EC19D4"/>
    <w:rsid w:val="00EC1F90"/>
    <w:rsid w:val="00EC25D7"/>
    <w:rsid w:val="00EC3944"/>
    <w:rsid w:val="00EC488F"/>
    <w:rsid w:val="00EC7194"/>
    <w:rsid w:val="00EC757A"/>
    <w:rsid w:val="00ED04DC"/>
    <w:rsid w:val="00ED3266"/>
    <w:rsid w:val="00ED4A30"/>
    <w:rsid w:val="00ED6CA4"/>
    <w:rsid w:val="00ED73F3"/>
    <w:rsid w:val="00EE06C9"/>
    <w:rsid w:val="00EE16E9"/>
    <w:rsid w:val="00EE3250"/>
    <w:rsid w:val="00EE4163"/>
    <w:rsid w:val="00EE474C"/>
    <w:rsid w:val="00EE63EB"/>
    <w:rsid w:val="00EE7FDA"/>
    <w:rsid w:val="00EF0844"/>
    <w:rsid w:val="00EF2A16"/>
    <w:rsid w:val="00EF3CEB"/>
    <w:rsid w:val="00EF4635"/>
    <w:rsid w:val="00EF504F"/>
    <w:rsid w:val="00EF5486"/>
    <w:rsid w:val="00EF5795"/>
    <w:rsid w:val="00EF5B62"/>
    <w:rsid w:val="00EF5D48"/>
    <w:rsid w:val="00EF6358"/>
    <w:rsid w:val="00EF76A4"/>
    <w:rsid w:val="00F00AB2"/>
    <w:rsid w:val="00F01E57"/>
    <w:rsid w:val="00F031A7"/>
    <w:rsid w:val="00F0377F"/>
    <w:rsid w:val="00F04ECE"/>
    <w:rsid w:val="00F06A33"/>
    <w:rsid w:val="00F07055"/>
    <w:rsid w:val="00F07C79"/>
    <w:rsid w:val="00F101AC"/>
    <w:rsid w:val="00F11C2F"/>
    <w:rsid w:val="00F12D4A"/>
    <w:rsid w:val="00F13E9A"/>
    <w:rsid w:val="00F14C26"/>
    <w:rsid w:val="00F1769F"/>
    <w:rsid w:val="00F17FC3"/>
    <w:rsid w:val="00F203F2"/>
    <w:rsid w:val="00F203F3"/>
    <w:rsid w:val="00F2153F"/>
    <w:rsid w:val="00F27813"/>
    <w:rsid w:val="00F27E23"/>
    <w:rsid w:val="00F30633"/>
    <w:rsid w:val="00F309C1"/>
    <w:rsid w:val="00F313D8"/>
    <w:rsid w:val="00F31D0F"/>
    <w:rsid w:val="00F31E54"/>
    <w:rsid w:val="00F40FA7"/>
    <w:rsid w:val="00F4324B"/>
    <w:rsid w:val="00F43D76"/>
    <w:rsid w:val="00F46090"/>
    <w:rsid w:val="00F464A8"/>
    <w:rsid w:val="00F47B69"/>
    <w:rsid w:val="00F47C0B"/>
    <w:rsid w:val="00F51187"/>
    <w:rsid w:val="00F5379B"/>
    <w:rsid w:val="00F547EC"/>
    <w:rsid w:val="00F607AE"/>
    <w:rsid w:val="00F62180"/>
    <w:rsid w:val="00F631A8"/>
    <w:rsid w:val="00F63ABA"/>
    <w:rsid w:val="00F642D2"/>
    <w:rsid w:val="00F6611A"/>
    <w:rsid w:val="00F66637"/>
    <w:rsid w:val="00F67B4C"/>
    <w:rsid w:val="00F71A72"/>
    <w:rsid w:val="00F734E6"/>
    <w:rsid w:val="00F80E24"/>
    <w:rsid w:val="00F81D86"/>
    <w:rsid w:val="00F827D5"/>
    <w:rsid w:val="00F832CA"/>
    <w:rsid w:val="00F83B20"/>
    <w:rsid w:val="00F84BB0"/>
    <w:rsid w:val="00F86960"/>
    <w:rsid w:val="00F87575"/>
    <w:rsid w:val="00F87A3F"/>
    <w:rsid w:val="00F95108"/>
    <w:rsid w:val="00F95572"/>
    <w:rsid w:val="00F9631A"/>
    <w:rsid w:val="00F965B7"/>
    <w:rsid w:val="00F96B98"/>
    <w:rsid w:val="00F96B9B"/>
    <w:rsid w:val="00F97DF9"/>
    <w:rsid w:val="00FA232F"/>
    <w:rsid w:val="00FA28F0"/>
    <w:rsid w:val="00FA3B4D"/>
    <w:rsid w:val="00FA3BDC"/>
    <w:rsid w:val="00FA578E"/>
    <w:rsid w:val="00FA6171"/>
    <w:rsid w:val="00FA71BD"/>
    <w:rsid w:val="00FA7899"/>
    <w:rsid w:val="00FB1AB0"/>
    <w:rsid w:val="00FB5E26"/>
    <w:rsid w:val="00FB62B1"/>
    <w:rsid w:val="00FB6325"/>
    <w:rsid w:val="00FB7570"/>
    <w:rsid w:val="00FB7F02"/>
    <w:rsid w:val="00FC09CF"/>
    <w:rsid w:val="00FC1198"/>
    <w:rsid w:val="00FC24EF"/>
    <w:rsid w:val="00FC2624"/>
    <w:rsid w:val="00FC503A"/>
    <w:rsid w:val="00FC54D8"/>
    <w:rsid w:val="00FC732A"/>
    <w:rsid w:val="00FD1D26"/>
    <w:rsid w:val="00FD1F56"/>
    <w:rsid w:val="00FD2621"/>
    <w:rsid w:val="00FD28CC"/>
    <w:rsid w:val="00FD307E"/>
    <w:rsid w:val="00FD4276"/>
    <w:rsid w:val="00FD5A6A"/>
    <w:rsid w:val="00FE0923"/>
    <w:rsid w:val="00FE27E6"/>
    <w:rsid w:val="00FE4572"/>
    <w:rsid w:val="00FE5B79"/>
    <w:rsid w:val="00FE64AF"/>
    <w:rsid w:val="00FE6F4E"/>
    <w:rsid w:val="00FE7114"/>
    <w:rsid w:val="00FE7512"/>
    <w:rsid w:val="00FF3EFB"/>
    <w:rsid w:val="00FF4653"/>
    <w:rsid w:val="00FF4687"/>
    <w:rsid w:val="00FF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2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FCF"/>
    <w:pPr>
      <w:spacing w:after="200" w:line="276" w:lineRule="auto"/>
    </w:pPr>
    <w:rPr>
      <w:rFonts w:cs="Calibri"/>
      <w:w w:val="105"/>
      <w:kern w:val="40"/>
      <w:sz w:val="22"/>
      <w:szCs w:val="22"/>
      <w:lang w:eastAsia="en-US"/>
    </w:rPr>
  </w:style>
  <w:style w:type="paragraph" w:styleId="Heading1">
    <w:name w:val="heading 1"/>
    <w:basedOn w:val="Normal"/>
    <w:next w:val="Normal"/>
    <w:link w:val="Heading1Char"/>
    <w:uiPriority w:val="9"/>
    <w:qFormat/>
    <w:rsid w:val="006150CB"/>
    <w:pPr>
      <w:keepNext/>
      <w:spacing w:after="0" w:line="240" w:lineRule="auto"/>
      <w:jc w:val="right"/>
      <w:outlineLvl w:val="0"/>
    </w:pPr>
    <w:rPr>
      <w:rFonts w:eastAsia="SimSun" w:cs="Angsana New"/>
      <w:b/>
      <w:bCs/>
      <w:color w:val="404040"/>
      <w:kern w:val="32"/>
      <w:sz w:val="52"/>
      <w:szCs w:val="52"/>
    </w:rPr>
  </w:style>
  <w:style w:type="paragraph" w:styleId="Heading2">
    <w:name w:val="heading 2"/>
    <w:basedOn w:val="Normal"/>
    <w:next w:val="Normal"/>
    <w:link w:val="Heading2Char"/>
    <w:uiPriority w:val="9"/>
    <w:unhideWhenUsed/>
    <w:qFormat/>
    <w:rsid w:val="00394664"/>
    <w:pPr>
      <w:keepNext/>
      <w:spacing w:before="240" w:after="60" w:line="240" w:lineRule="auto"/>
      <w:outlineLvl w:val="1"/>
    </w:pPr>
    <w:rPr>
      <w:rFonts w:eastAsia="SimSun" w:cs="Angsana New"/>
      <w:b/>
      <w:bCs/>
      <w:iCs/>
      <w:color w:val="4D738A"/>
      <w:sz w:val="40"/>
      <w:szCs w:val="48"/>
    </w:rPr>
  </w:style>
  <w:style w:type="paragraph" w:styleId="Heading3">
    <w:name w:val="heading 3"/>
    <w:basedOn w:val="Normal"/>
    <w:next w:val="Normal"/>
    <w:link w:val="Heading3Char"/>
    <w:uiPriority w:val="9"/>
    <w:unhideWhenUsed/>
    <w:qFormat/>
    <w:rsid w:val="006150CB"/>
    <w:pPr>
      <w:keepNext/>
      <w:spacing w:after="60" w:line="240" w:lineRule="auto"/>
      <w:outlineLvl w:val="2"/>
    </w:pPr>
    <w:rPr>
      <w:rFonts w:eastAsia="SimSun" w:cs="Angsana New"/>
      <w:b/>
      <w:bCs/>
      <w:color w:val="404040"/>
      <w:sz w:val="32"/>
      <w:szCs w:val="32"/>
    </w:rPr>
  </w:style>
  <w:style w:type="paragraph" w:styleId="Heading4">
    <w:name w:val="heading 4"/>
    <w:basedOn w:val="Heading3"/>
    <w:next w:val="Normal"/>
    <w:link w:val="Heading4Char"/>
    <w:uiPriority w:val="9"/>
    <w:unhideWhenUsed/>
    <w:qFormat/>
    <w:rsid w:val="0098671E"/>
    <w:pPr>
      <w:outlineLvl w:val="3"/>
    </w:pPr>
    <w:rPr>
      <w:color w:val="595959" w:themeColor="text1" w:themeTint="A6"/>
      <w:sz w:val="26"/>
      <w:szCs w:val="26"/>
    </w:rPr>
  </w:style>
  <w:style w:type="paragraph" w:styleId="Heading5">
    <w:name w:val="heading 5"/>
    <w:basedOn w:val="Normal"/>
    <w:next w:val="Normal"/>
    <w:link w:val="Heading5Char"/>
    <w:uiPriority w:val="9"/>
    <w:unhideWhenUsed/>
    <w:qFormat/>
    <w:rsid w:val="006568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50CB"/>
    <w:rPr>
      <w:rFonts w:eastAsia="SimSun" w:cs="Angsana New"/>
      <w:b/>
      <w:bCs/>
      <w:color w:val="404040"/>
      <w:w w:val="105"/>
      <w:kern w:val="32"/>
      <w:sz w:val="52"/>
      <w:szCs w:val="52"/>
      <w:lang w:eastAsia="en-US"/>
    </w:rPr>
  </w:style>
  <w:style w:type="paragraph" w:styleId="Title">
    <w:name w:val="Title"/>
    <w:basedOn w:val="Normal"/>
    <w:next w:val="Normal"/>
    <w:link w:val="TitleChar"/>
    <w:uiPriority w:val="10"/>
    <w:qFormat/>
    <w:rsid w:val="006150CB"/>
    <w:pPr>
      <w:spacing w:before="240" w:after="60" w:line="240" w:lineRule="auto"/>
      <w:outlineLvl w:val="0"/>
    </w:pPr>
    <w:rPr>
      <w:rFonts w:eastAsia="SimSun" w:cs="Angsana New"/>
      <w:b/>
      <w:bCs/>
      <w:noProof/>
      <w:kern w:val="28"/>
      <w:sz w:val="56"/>
      <w:szCs w:val="32"/>
    </w:rPr>
  </w:style>
  <w:style w:type="character" w:customStyle="1" w:styleId="TitleChar">
    <w:name w:val="Title Char"/>
    <w:link w:val="Title"/>
    <w:uiPriority w:val="10"/>
    <w:rsid w:val="006150CB"/>
    <w:rPr>
      <w:rFonts w:eastAsia="SimSun" w:cs="Angsana New"/>
      <w:b/>
      <w:bCs/>
      <w:noProof/>
      <w:w w:val="105"/>
      <w:kern w:val="28"/>
      <w:sz w:val="56"/>
      <w:szCs w:val="32"/>
      <w:lang w:eastAsia="en-US"/>
    </w:rPr>
  </w:style>
  <w:style w:type="character" w:customStyle="1" w:styleId="Heading2Char">
    <w:name w:val="Heading 2 Char"/>
    <w:link w:val="Heading2"/>
    <w:uiPriority w:val="9"/>
    <w:rsid w:val="00394664"/>
    <w:rPr>
      <w:rFonts w:eastAsia="SimSun" w:cs="Angsana New"/>
      <w:b/>
      <w:bCs/>
      <w:iCs/>
      <w:color w:val="4D738A"/>
      <w:w w:val="105"/>
      <w:kern w:val="40"/>
      <w:sz w:val="40"/>
      <w:szCs w:val="48"/>
      <w:lang w:eastAsia="en-US"/>
    </w:rPr>
  </w:style>
  <w:style w:type="paragraph" w:styleId="Subtitle">
    <w:name w:val="Subtitle"/>
    <w:basedOn w:val="Title"/>
    <w:next w:val="Normal"/>
    <w:link w:val="SubtitleChar"/>
    <w:uiPriority w:val="11"/>
    <w:qFormat/>
    <w:rsid w:val="006150CB"/>
    <w:pPr>
      <w:jc w:val="right"/>
    </w:pPr>
    <w:rPr>
      <w:sz w:val="28"/>
      <w:szCs w:val="28"/>
    </w:rPr>
  </w:style>
  <w:style w:type="character" w:customStyle="1" w:styleId="SubtitleChar">
    <w:name w:val="Subtitle Char"/>
    <w:link w:val="Subtitle"/>
    <w:uiPriority w:val="11"/>
    <w:rsid w:val="006150CB"/>
    <w:rPr>
      <w:rFonts w:eastAsia="SimSun" w:cs="Angsana New"/>
      <w:b/>
      <w:bCs/>
      <w:noProof/>
      <w:w w:val="105"/>
      <w:kern w:val="28"/>
      <w:sz w:val="28"/>
      <w:szCs w:val="28"/>
      <w:lang w:eastAsia="en-US"/>
    </w:rPr>
  </w:style>
  <w:style w:type="character" w:customStyle="1" w:styleId="Heading3Char">
    <w:name w:val="Heading 3 Char"/>
    <w:link w:val="Heading3"/>
    <w:uiPriority w:val="9"/>
    <w:rsid w:val="006150CB"/>
    <w:rPr>
      <w:rFonts w:eastAsia="SimSun" w:cs="Angsana New"/>
      <w:b/>
      <w:bCs/>
      <w:color w:val="404040"/>
      <w:w w:val="105"/>
      <w:kern w:val="40"/>
      <w:sz w:val="32"/>
      <w:szCs w:val="32"/>
      <w:lang w:eastAsia="en-US"/>
    </w:rPr>
  </w:style>
  <w:style w:type="paragraph" w:styleId="Header">
    <w:name w:val="header"/>
    <w:basedOn w:val="Normal"/>
    <w:link w:val="HeaderChar"/>
    <w:uiPriority w:val="99"/>
    <w:unhideWhenUsed/>
    <w:rsid w:val="006150CB"/>
    <w:pPr>
      <w:tabs>
        <w:tab w:val="center" w:pos="4513"/>
        <w:tab w:val="right" w:pos="9026"/>
      </w:tabs>
    </w:pPr>
  </w:style>
  <w:style w:type="character" w:customStyle="1" w:styleId="HeaderChar">
    <w:name w:val="Header Char"/>
    <w:link w:val="Header"/>
    <w:uiPriority w:val="99"/>
    <w:rsid w:val="006150CB"/>
    <w:rPr>
      <w:sz w:val="22"/>
      <w:szCs w:val="22"/>
      <w:lang w:eastAsia="en-US"/>
    </w:rPr>
  </w:style>
  <w:style w:type="paragraph" w:styleId="Footer">
    <w:name w:val="footer"/>
    <w:basedOn w:val="Normal"/>
    <w:link w:val="FooterChar"/>
    <w:uiPriority w:val="99"/>
    <w:unhideWhenUsed/>
    <w:rsid w:val="006150CB"/>
    <w:pPr>
      <w:tabs>
        <w:tab w:val="center" w:pos="4513"/>
        <w:tab w:val="right" w:pos="9026"/>
      </w:tabs>
    </w:pPr>
  </w:style>
  <w:style w:type="character" w:customStyle="1" w:styleId="FooterChar">
    <w:name w:val="Footer Char"/>
    <w:link w:val="Footer"/>
    <w:uiPriority w:val="99"/>
    <w:rsid w:val="006150CB"/>
    <w:rPr>
      <w:sz w:val="22"/>
      <w:szCs w:val="22"/>
      <w:lang w:eastAsia="en-US"/>
    </w:rPr>
  </w:style>
  <w:style w:type="paragraph" w:styleId="BalloonText">
    <w:name w:val="Balloon Text"/>
    <w:basedOn w:val="Normal"/>
    <w:link w:val="BalloonTextChar"/>
    <w:uiPriority w:val="99"/>
    <w:semiHidden/>
    <w:unhideWhenUsed/>
    <w:rsid w:val="005C1B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1BB3"/>
    <w:rPr>
      <w:rFonts w:ascii="Tahoma" w:hAnsi="Tahoma" w:cs="Tahoma"/>
      <w:w w:val="105"/>
      <w:kern w:val="40"/>
      <w:sz w:val="16"/>
      <w:szCs w:val="16"/>
      <w:lang w:eastAsia="en-US"/>
    </w:rPr>
  </w:style>
  <w:style w:type="paragraph" w:customStyle="1" w:styleId="Bullet1">
    <w:name w:val="Bullet 1"/>
    <w:basedOn w:val="ListBullet2"/>
    <w:autoRedefine/>
    <w:qFormat/>
    <w:rsid w:val="00151A0A"/>
    <w:pPr>
      <w:numPr>
        <w:ilvl w:val="0"/>
      </w:numPr>
      <w:ind w:left="567" w:hanging="567"/>
    </w:pPr>
  </w:style>
  <w:style w:type="numbering" w:customStyle="1" w:styleId="Bullet2">
    <w:name w:val="Bullet 2"/>
    <w:basedOn w:val="NoList"/>
    <w:uiPriority w:val="99"/>
    <w:rsid w:val="0011430B"/>
    <w:pPr>
      <w:numPr>
        <w:numId w:val="2"/>
      </w:numPr>
    </w:pPr>
  </w:style>
  <w:style w:type="paragraph" w:styleId="ListBullet2">
    <w:name w:val="List Bullet 2"/>
    <w:basedOn w:val="ListBullet"/>
    <w:autoRedefine/>
    <w:uiPriority w:val="99"/>
    <w:unhideWhenUsed/>
    <w:qFormat/>
    <w:rsid w:val="00151A0A"/>
    <w:pPr>
      <w:ind w:left="1134" w:hanging="567"/>
    </w:pPr>
  </w:style>
  <w:style w:type="character" w:customStyle="1" w:styleId="Heading4Char">
    <w:name w:val="Heading 4 Char"/>
    <w:basedOn w:val="DefaultParagraphFont"/>
    <w:link w:val="Heading4"/>
    <w:uiPriority w:val="9"/>
    <w:rsid w:val="0098671E"/>
    <w:rPr>
      <w:rFonts w:eastAsia="SimSun" w:cs="Angsana New"/>
      <w:b/>
      <w:bCs/>
      <w:color w:val="595959" w:themeColor="text1" w:themeTint="A6"/>
      <w:w w:val="105"/>
      <w:kern w:val="40"/>
      <w:sz w:val="26"/>
      <w:szCs w:val="26"/>
      <w:lang w:eastAsia="en-US"/>
    </w:rPr>
  </w:style>
  <w:style w:type="paragraph" w:styleId="ListBullet">
    <w:name w:val="List Bullet"/>
    <w:aliases w:val="List Bullet 1"/>
    <w:basedOn w:val="Normal"/>
    <w:uiPriority w:val="99"/>
    <w:unhideWhenUsed/>
    <w:rsid w:val="0011430B"/>
    <w:pPr>
      <w:numPr>
        <w:ilvl w:val="1"/>
        <w:numId w:val="1"/>
      </w:numPr>
      <w:ind w:left="1440"/>
      <w:contextualSpacing/>
    </w:pPr>
  </w:style>
  <w:style w:type="character" w:styleId="Strong">
    <w:name w:val="Strong"/>
    <w:basedOn w:val="DefaultParagraphFont"/>
    <w:uiPriority w:val="22"/>
    <w:rsid w:val="0011430B"/>
    <w:rPr>
      <w:b/>
      <w:bCs/>
    </w:rPr>
  </w:style>
  <w:style w:type="character" w:styleId="SubtleEmphasis">
    <w:name w:val="Subtle Emphasis"/>
    <w:basedOn w:val="DefaultParagraphFont"/>
    <w:uiPriority w:val="19"/>
    <w:rsid w:val="0011430B"/>
    <w:rPr>
      <w:i/>
      <w:iCs/>
      <w:color w:val="808080" w:themeColor="text1" w:themeTint="7F"/>
    </w:rPr>
  </w:style>
  <w:style w:type="character" w:styleId="CommentReference">
    <w:name w:val="annotation reference"/>
    <w:basedOn w:val="DefaultParagraphFont"/>
    <w:uiPriority w:val="99"/>
    <w:semiHidden/>
    <w:unhideWhenUsed/>
    <w:rsid w:val="00DF2F6A"/>
    <w:rPr>
      <w:sz w:val="16"/>
      <w:szCs w:val="16"/>
    </w:rPr>
  </w:style>
  <w:style w:type="paragraph" w:styleId="CommentText">
    <w:name w:val="annotation text"/>
    <w:basedOn w:val="Normal"/>
    <w:link w:val="CommentTextChar"/>
    <w:uiPriority w:val="99"/>
    <w:semiHidden/>
    <w:unhideWhenUsed/>
    <w:rsid w:val="00DF2F6A"/>
    <w:pPr>
      <w:spacing w:line="240" w:lineRule="auto"/>
    </w:pPr>
    <w:rPr>
      <w:sz w:val="20"/>
      <w:szCs w:val="20"/>
    </w:rPr>
  </w:style>
  <w:style w:type="character" w:customStyle="1" w:styleId="CommentTextChar">
    <w:name w:val="Comment Text Char"/>
    <w:basedOn w:val="DefaultParagraphFont"/>
    <w:link w:val="CommentText"/>
    <w:uiPriority w:val="99"/>
    <w:semiHidden/>
    <w:rsid w:val="00DF2F6A"/>
    <w:rPr>
      <w:rFonts w:cs="Calibri"/>
      <w:w w:val="105"/>
      <w:kern w:val="40"/>
      <w:lang w:eastAsia="en-US"/>
    </w:rPr>
  </w:style>
  <w:style w:type="paragraph" w:styleId="CommentSubject">
    <w:name w:val="annotation subject"/>
    <w:basedOn w:val="CommentText"/>
    <w:next w:val="CommentText"/>
    <w:link w:val="CommentSubjectChar"/>
    <w:uiPriority w:val="99"/>
    <w:semiHidden/>
    <w:unhideWhenUsed/>
    <w:rsid w:val="00DF2F6A"/>
    <w:rPr>
      <w:b/>
      <w:bCs/>
    </w:rPr>
  </w:style>
  <w:style w:type="character" w:customStyle="1" w:styleId="CommentSubjectChar">
    <w:name w:val="Comment Subject Char"/>
    <w:basedOn w:val="CommentTextChar"/>
    <w:link w:val="CommentSubject"/>
    <w:uiPriority w:val="99"/>
    <w:semiHidden/>
    <w:rsid w:val="00DF2F6A"/>
    <w:rPr>
      <w:rFonts w:cs="Calibri"/>
      <w:b/>
      <w:bCs/>
      <w:w w:val="105"/>
      <w:kern w:val="40"/>
      <w:lang w:eastAsia="en-US"/>
    </w:rPr>
  </w:style>
  <w:style w:type="paragraph" w:styleId="FootnoteText">
    <w:name w:val="footnote text"/>
    <w:aliases w:val="Footnotes Text,FSFootnotes Text,FSFootnote Text"/>
    <w:basedOn w:val="Normal"/>
    <w:link w:val="FootnoteTextChar"/>
    <w:uiPriority w:val="99"/>
    <w:unhideWhenUsed/>
    <w:qFormat/>
    <w:rsid w:val="00D84BA6"/>
    <w:pPr>
      <w:spacing w:after="0" w:line="240" w:lineRule="auto"/>
    </w:pPr>
    <w:rPr>
      <w:sz w:val="20"/>
      <w:szCs w:val="20"/>
    </w:rPr>
  </w:style>
  <w:style w:type="character" w:customStyle="1" w:styleId="FootnoteTextChar">
    <w:name w:val="Footnote Text Char"/>
    <w:aliases w:val="Footnotes Text Char,FSFootnotes Text Char,FSFootnote Text Char"/>
    <w:basedOn w:val="DefaultParagraphFont"/>
    <w:link w:val="FootnoteText"/>
    <w:uiPriority w:val="99"/>
    <w:rsid w:val="00D84BA6"/>
    <w:rPr>
      <w:rFonts w:cs="Calibri"/>
      <w:w w:val="105"/>
      <w:kern w:val="40"/>
      <w:lang w:eastAsia="en-US"/>
    </w:rPr>
  </w:style>
  <w:style w:type="character" w:styleId="FootnoteReference">
    <w:name w:val="footnote reference"/>
    <w:aliases w:val="NO"/>
    <w:basedOn w:val="DefaultParagraphFont"/>
    <w:uiPriority w:val="99"/>
    <w:unhideWhenUsed/>
    <w:rsid w:val="00D84BA6"/>
    <w:rPr>
      <w:vertAlign w:val="superscript"/>
    </w:rPr>
  </w:style>
  <w:style w:type="character" w:styleId="Hyperlink">
    <w:name w:val="Hyperlink"/>
    <w:basedOn w:val="DefaultParagraphFont"/>
    <w:uiPriority w:val="99"/>
    <w:unhideWhenUsed/>
    <w:rsid w:val="000A1A88"/>
    <w:rPr>
      <w:color w:val="0000FF" w:themeColor="hyperlink"/>
      <w:u w:val="single"/>
    </w:rPr>
  </w:style>
  <w:style w:type="paragraph" w:styleId="ListParagraph">
    <w:name w:val="List Paragraph"/>
    <w:aliases w:val="List Paragraph1,Recommendation,List Paragraph11,Brief List Paragraph 1,DDM Gen Text,L,Numbered paragraph,CV text,Table text,F5 List Paragraph,Dot pt,List Paragraph111,Medium Grid 1 - Accent 21,Numbered Paragraph,List Paragraph2,Bullets,列出"/>
    <w:basedOn w:val="Normal"/>
    <w:link w:val="ListParagraphChar"/>
    <w:uiPriority w:val="34"/>
    <w:qFormat/>
    <w:rsid w:val="00442FE1"/>
    <w:pPr>
      <w:ind w:left="720"/>
      <w:contextualSpacing/>
    </w:pPr>
  </w:style>
  <w:style w:type="character" w:customStyle="1" w:styleId="Heading5Char">
    <w:name w:val="Heading 5 Char"/>
    <w:basedOn w:val="DefaultParagraphFont"/>
    <w:link w:val="Heading5"/>
    <w:uiPriority w:val="9"/>
    <w:rsid w:val="006568CE"/>
    <w:rPr>
      <w:rFonts w:asciiTheme="majorHAnsi" w:eastAsiaTheme="majorEastAsia" w:hAnsiTheme="majorHAnsi" w:cstheme="majorBidi"/>
      <w:color w:val="243F60" w:themeColor="accent1" w:themeShade="7F"/>
      <w:w w:val="105"/>
      <w:kern w:val="40"/>
      <w:sz w:val="22"/>
      <w:szCs w:val="22"/>
      <w:lang w:eastAsia="en-US"/>
    </w:rPr>
  </w:style>
  <w:style w:type="paragraph" w:styleId="Revision">
    <w:name w:val="Revision"/>
    <w:hidden/>
    <w:uiPriority w:val="99"/>
    <w:semiHidden/>
    <w:rsid w:val="00297CA2"/>
    <w:rPr>
      <w:rFonts w:cs="Calibri"/>
      <w:w w:val="105"/>
      <w:kern w:val="40"/>
      <w:sz w:val="22"/>
      <w:szCs w:val="22"/>
      <w:lang w:eastAsia="en-US"/>
    </w:rPr>
  </w:style>
  <w:style w:type="character" w:styleId="FollowedHyperlink">
    <w:name w:val="FollowedHyperlink"/>
    <w:basedOn w:val="DefaultParagraphFont"/>
    <w:uiPriority w:val="99"/>
    <w:semiHidden/>
    <w:unhideWhenUsed/>
    <w:rsid w:val="00832D83"/>
    <w:rPr>
      <w:color w:val="800080" w:themeColor="followedHyperlink"/>
      <w:u w:val="single"/>
    </w:rPr>
  </w:style>
  <w:style w:type="paragraph" w:styleId="Caption">
    <w:name w:val="caption"/>
    <w:basedOn w:val="Normal"/>
    <w:next w:val="Normal"/>
    <w:uiPriority w:val="35"/>
    <w:semiHidden/>
    <w:unhideWhenUsed/>
    <w:qFormat/>
    <w:rsid w:val="00D726CD"/>
    <w:pPr>
      <w:spacing w:line="240" w:lineRule="auto"/>
    </w:pPr>
    <w:rPr>
      <w:b/>
      <w:bCs/>
      <w:color w:val="4F81BD" w:themeColor="accent1"/>
      <w:sz w:val="18"/>
      <w:szCs w:val="18"/>
    </w:rPr>
  </w:style>
  <w:style w:type="character" w:customStyle="1" w:styleId="ListParagraphChar">
    <w:name w:val="List Paragraph Char"/>
    <w:aliases w:val="List Paragraph1 Char,Recommendation Char,List Paragraph11 Char,Brief List Paragraph 1 Char,DDM Gen Text Char,L Char,Numbered paragraph Char,CV text Char,Table text Char,F5 List Paragraph Char,Dot pt Char,List Paragraph111 Char"/>
    <w:basedOn w:val="DefaultParagraphFont"/>
    <w:link w:val="ListParagraph"/>
    <w:uiPriority w:val="34"/>
    <w:locked/>
    <w:rsid w:val="00363FBF"/>
    <w:rPr>
      <w:rFonts w:cs="Calibri"/>
      <w:w w:val="105"/>
      <w:kern w:val="40"/>
      <w:sz w:val="22"/>
      <w:szCs w:val="22"/>
      <w:lang w:eastAsia="en-US"/>
    </w:rPr>
  </w:style>
  <w:style w:type="paragraph" w:styleId="NormalWeb">
    <w:name w:val="Normal (Web)"/>
    <w:basedOn w:val="Normal"/>
    <w:uiPriority w:val="99"/>
    <w:unhideWhenUsed/>
    <w:rsid w:val="00D23368"/>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table" w:styleId="TableGrid">
    <w:name w:val="Table Grid"/>
    <w:basedOn w:val="TableNormal"/>
    <w:uiPriority w:val="59"/>
    <w:rsid w:val="00EB41CD"/>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5F5"/>
    <w:pPr>
      <w:autoSpaceDE w:val="0"/>
      <w:autoSpaceDN w:val="0"/>
      <w:adjustRightInd w:val="0"/>
    </w:pPr>
    <w:rPr>
      <w:rFonts w:cs="Calibri"/>
      <w:color w:val="000000"/>
      <w:sz w:val="24"/>
      <w:szCs w:val="24"/>
    </w:rPr>
  </w:style>
  <w:style w:type="paragraph" w:customStyle="1" w:styleId="Celltext">
    <w:name w:val="Cell text"/>
    <w:basedOn w:val="Normal"/>
    <w:rsid w:val="00CC58AC"/>
    <w:pPr>
      <w:spacing w:before="120" w:after="0" w:line="240" w:lineRule="auto"/>
    </w:pPr>
    <w:rPr>
      <w:rFonts w:ascii="Times New Roman" w:eastAsia="Times New Roman" w:hAnsi="Times New Roman" w:cs="Times New Roman"/>
      <w:w w:val="100"/>
      <w:kern w:val="0"/>
      <w:sz w:val="24"/>
      <w:szCs w:val="20"/>
      <w:lang w:eastAsia="en-AU"/>
    </w:rPr>
  </w:style>
  <w:style w:type="paragraph" w:customStyle="1" w:styleId="paragraph">
    <w:name w:val="paragraph"/>
    <w:basedOn w:val="Normal"/>
    <w:rsid w:val="00406AEE"/>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character" w:customStyle="1" w:styleId="eop">
    <w:name w:val="eop"/>
    <w:basedOn w:val="DefaultParagraphFont"/>
    <w:rsid w:val="00406AEE"/>
  </w:style>
  <w:style w:type="paragraph" w:styleId="EndnoteText">
    <w:name w:val="endnote text"/>
    <w:basedOn w:val="Normal"/>
    <w:link w:val="EndnoteTextChar"/>
    <w:uiPriority w:val="99"/>
    <w:semiHidden/>
    <w:unhideWhenUsed/>
    <w:rsid w:val="00F40F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0FA7"/>
    <w:rPr>
      <w:rFonts w:cs="Calibri"/>
      <w:w w:val="105"/>
      <w:kern w:val="40"/>
      <w:lang w:eastAsia="en-US"/>
    </w:rPr>
  </w:style>
  <w:style w:type="character" w:styleId="EndnoteReference">
    <w:name w:val="endnote reference"/>
    <w:basedOn w:val="DefaultParagraphFont"/>
    <w:uiPriority w:val="99"/>
    <w:semiHidden/>
    <w:unhideWhenUsed/>
    <w:rsid w:val="00F40FA7"/>
    <w:rPr>
      <w:vertAlign w:val="superscript"/>
    </w:rPr>
  </w:style>
  <w:style w:type="paragraph" w:customStyle="1" w:styleId="tabletext">
    <w:name w:val="tabletext"/>
    <w:basedOn w:val="Normal"/>
    <w:rsid w:val="00E129FF"/>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paragraph" w:customStyle="1" w:styleId="tablea">
    <w:name w:val="tablea"/>
    <w:basedOn w:val="Normal"/>
    <w:rsid w:val="00E129FF"/>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paragraph" w:customStyle="1" w:styleId="subsection">
    <w:name w:val="subsection"/>
    <w:basedOn w:val="Normal"/>
    <w:rsid w:val="00E129FF"/>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paragraph" w:customStyle="1" w:styleId="Dotpoints">
    <w:name w:val="Dot points"/>
    <w:basedOn w:val="ListParagraph"/>
    <w:qFormat/>
    <w:rsid w:val="004A5F64"/>
    <w:pPr>
      <w:numPr>
        <w:numId w:val="30"/>
      </w:numPr>
      <w:tabs>
        <w:tab w:val="num" w:pos="360"/>
      </w:tabs>
      <w:ind w:firstLine="0"/>
    </w:pPr>
    <w:rPr>
      <w:rFonts w:asciiTheme="minorHAnsi" w:eastAsiaTheme="minorEastAsia" w:hAnsiTheme="minorHAnsi" w:cstheme="minorBidi"/>
      <w:w w:val="100"/>
      <w:kern w:val="0"/>
    </w:rPr>
  </w:style>
  <w:style w:type="paragraph" w:customStyle="1" w:styleId="Footnotes">
    <w:name w:val="Footnotes"/>
    <w:basedOn w:val="FootnoteText"/>
    <w:qFormat/>
    <w:rsid w:val="004A5F64"/>
    <w:pPr>
      <w:spacing w:after="40"/>
    </w:pPr>
    <w:rPr>
      <w:rFonts w:asciiTheme="minorHAnsi" w:eastAsiaTheme="minorHAnsi" w:hAnsiTheme="minorHAnsi" w:cstheme="minorBidi"/>
      <w:w w:val="1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0919">
      <w:bodyDiv w:val="1"/>
      <w:marLeft w:val="0"/>
      <w:marRight w:val="0"/>
      <w:marTop w:val="0"/>
      <w:marBottom w:val="0"/>
      <w:divBdr>
        <w:top w:val="none" w:sz="0" w:space="0" w:color="auto"/>
        <w:left w:val="none" w:sz="0" w:space="0" w:color="auto"/>
        <w:bottom w:val="none" w:sz="0" w:space="0" w:color="auto"/>
        <w:right w:val="none" w:sz="0" w:space="0" w:color="auto"/>
      </w:divBdr>
    </w:div>
    <w:div w:id="121315680">
      <w:bodyDiv w:val="1"/>
      <w:marLeft w:val="0"/>
      <w:marRight w:val="0"/>
      <w:marTop w:val="0"/>
      <w:marBottom w:val="0"/>
      <w:divBdr>
        <w:top w:val="none" w:sz="0" w:space="0" w:color="auto"/>
        <w:left w:val="none" w:sz="0" w:space="0" w:color="auto"/>
        <w:bottom w:val="none" w:sz="0" w:space="0" w:color="auto"/>
        <w:right w:val="none" w:sz="0" w:space="0" w:color="auto"/>
      </w:divBdr>
    </w:div>
    <w:div w:id="156308890">
      <w:bodyDiv w:val="1"/>
      <w:marLeft w:val="0"/>
      <w:marRight w:val="0"/>
      <w:marTop w:val="0"/>
      <w:marBottom w:val="0"/>
      <w:divBdr>
        <w:top w:val="none" w:sz="0" w:space="0" w:color="auto"/>
        <w:left w:val="none" w:sz="0" w:space="0" w:color="auto"/>
        <w:bottom w:val="none" w:sz="0" w:space="0" w:color="auto"/>
        <w:right w:val="none" w:sz="0" w:space="0" w:color="auto"/>
      </w:divBdr>
    </w:div>
    <w:div w:id="315690216">
      <w:bodyDiv w:val="1"/>
      <w:marLeft w:val="0"/>
      <w:marRight w:val="0"/>
      <w:marTop w:val="0"/>
      <w:marBottom w:val="0"/>
      <w:divBdr>
        <w:top w:val="none" w:sz="0" w:space="0" w:color="auto"/>
        <w:left w:val="none" w:sz="0" w:space="0" w:color="auto"/>
        <w:bottom w:val="none" w:sz="0" w:space="0" w:color="auto"/>
        <w:right w:val="none" w:sz="0" w:space="0" w:color="auto"/>
      </w:divBdr>
    </w:div>
    <w:div w:id="348333264">
      <w:bodyDiv w:val="1"/>
      <w:marLeft w:val="0"/>
      <w:marRight w:val="0"/>
      <w:marTop w:val="0"/>
      <w:marBottom w:val="0"/>
      <w:divBdr>
        <w:top w:val="none" w:sz="0" w:space="0" w:color="auto"/>
        <w:left w:val="none" w:sz="0" w:space="0" w:color="auto"/>
        <w:bottom w:val="none" w:sz="0" w:space="0" w:color="auto"/>
        <w:right w:val="none" w:sz="0" w:space="0" w:color="auto"/>
      </w:divBdr>
    </w:div>
    <w:div w:id="740174546">
      <w:bodyDiv w:val="1"/>
      <w:marLeft w:val="0"/>
      <w:marRight w:val="0"/>
      <w:marTop w:val="0"/>
      <w:marBottom w:val="0"/>
      <w:divBdr>
        <w:top w:val="none" w:sz="0" w:space="0" w:color="auto"/>
        <w:left w:val="none" w:sz="0" w:space="0" w:color="auto"/>
        <w:bottom w:val="none" w:sz="0" w:space="0" w:color="auto"/>
        <w:right w:val="none" w:sz="0" w:space="0" w:color="auto"/>
      </w:divBdr>
    </w:div>
    <w:div w:id="748425979">
      <w:bodyDiv w:val="1"/>
      <w:marLeft w:val="0"/>
      <w:marRight w:val="0"/>
      <w:marTop w:val="0"/>
      <w:marBottom w:val="0"/>
      <w:divBdr>
        <w:top w:val="none" w:sz="0" w:space="0" w:color="auto"/>
        <w:left w:val="none" w:sz="0" w:space="0" w:color="auto"/>
        <w:bottom w:val="none" w:sz="0" w:space="0" w:color="auto"/>
        <w:right w:val="none" w:sz="0" w:space="0" w:color="auto"/>
      </w:divBdr>
    </w:div>
    <w:div w:id="815994834">
      <w:bodyDiv w:val="1"/>
      <w:marLeft w:val="0"/>
      <w:marRight w:val="0"/>
      <w:marTop w:val="0"/>
      <w:marBottom w:val="0"/>
      <w:divBdr>
        <w:top w:val="none" w:sz="0" w:space="0" w:color="auto"/>
        <w:left w:val="none" w:sz="0" w:space="0" w:color="auto"/>
        <w:bottom w:val="none" w:sz="0" w:space="0" w:color="auto"/>
        <w:right w:val="none" w:sz="0" w:space="0" w:color="auto"/>
      </w:divBdr>
    </w:div>
    <w:div w:id="860125719">
      <w:bodyDiv w:val="1"/>
      <w:marLeft w:val="0"/>
      <w:marRight w:val="0"/>
      <w:marTop w:val="0"/>
      <w:marBottom w:val="0"/>
      <w:divBdr>
        <w:top w:val="none" w:sz="0" w:space="0" w:color="auto"/>
        <w:left w:val="none" w:sz="0" w:space="0" w:color="auto"/>
        <w:bottom w:val="none" w:sz="0" w:space="0" w:color="auto"/>
        <w:right w:val="none" w:sz="0" w:space="0" w:color="auto"/>
      </w:divBdr>
    </w:div>
    <w:div w:id="879054282">
      <w:bodyDiv w:val="1"/>
      <w:marLeft w:val="0"/>
      <w:marRight w:val="0"/>
      <w:marTop w:val="0"/>
      <w:marBottom w:val="0"/>
      <w:divBdr>
        <w:top w:val="none" w:sz="0" w:space="0" w:color="auto"/>
        <w:left w:val="none" w:sz="0" w:space="0" w:color="auto"/>
        <w:bottom w:val="none" w:sz="0" w:space="0" w:color="auto"/>
        <w:right w:val="none" w:sz="0" w:space="0" w:color="auto"/>
      </w:divBdr>
    </w:div>
    <w:div w:id="955523121">
      <w:bodyDiv w:val="1"/>
      <w:marLeft w:val="0"/>
      <w:marRight w:val="0"/>
      <w:marTop w:val="0"/>
      <w:marBottom w:val="0"/>
      <w:divBdr>
        <w:top w:val="none" w:sz="0" w:space="0" w:color="auto"/>
        <w:left w:val="none" w:sz="0" w:space="0" w:color="auto"/>
        <w:bottom w:val="none" w:sz="0" w:space="0" w:color="auto"/>
        <w:right w:val="none" w:sz="0" w:space="0" w:color="auto"/>
      </w:divBdr>
    </w:div>
    <w:div w:id="974140825">
      <w:bodyDiv w:val="1"/>
      <w:marLeft w:val="0"/>
      <w:marRight w:val="0"/>
      <w:marTop w:val="0"/>
      <w:marBottom w:val="0"/>
      <w:divBdr>
        <w:top w:val="none" w:sz="0" w:space="0" w:color="auto"/>
        <w:left w:val="none" w:sz="0" w:space="0" w:color="auto"/>
        <w:bottom w:val="none" w:sz="0" w:space="0" w:color="auto"/>
        <w:right w:val="none" w:sz="0" w:space="0" w:color="auto"/>
      </w:divBdr>
    </w:div>
    <w:div w:id="1764912245">
      <w:bodyDiv w:val="1"/>
      <w:marLeft w:val="0"/>
      <w:marRight w:val="0"/>
      <w:marTop w:val="0"/>
      <w:marBottom w:val="0"/>
      <w:divBdr>
        <w:top w:val="none" w:sz="0" w:space="0" w:color="auto"/>
        <w:left w:val="none" w:sz="0" w:space="0" w:color="auto"/>
        <w:bottom w:val="none" w:sz="0" w:space="0" w:color="auto"/>
        <w:right w:val="none" w:sz="0" w:space="0" w:color="auto"/>
      </w:divBdr>
    </w:div>
    <w:div w:id="1777868782">
      <w:bodyDiv w:val="1"/>
      <w:marLeft w:val="0"/>
      <w:marRight w:val="0"/>
      <w:marTop w:val="0"/>
      <w:marBottom w:val="0"/>
      <w:divBdr>
        <w:top w:val="none" w:sz="0" w:space="0" w:color="auto"/>
        <w:left w:val="none" w:sz="0" w:space="0" w:color="auto"/>
        <w:bottom w:val="none" w:sz="0" w:space="0" w:color="auto"/>
        <w:right w:val="none" w:sz="0" w:space="0" w:color="auto"/>
      </w:divBdr>
    </w:div>
    <w:div w:id="1800219116">
      <w:bodyDiv w:val="1"/>
      <w:marLeft w:val="0"/>
      <w:marRight w:val="0"/>
      <w:marTop w:val="0"/>
      <w:marBottom w:val="0"/>
      <w:divBdr>
        <w:top w:val="none" w:sz="0" w:space="0" w:color="auto"/>
        <w:left w:val="none" w:sz="0" w:space="0" w:color="auto"/>
        <w:bottom w:val="none" w:sz="0" w:space="0" w:color="auto"/>
        <w:right w:val="none" w:sz="0" w:space="0" w:color="auto"/>
      </w:divBdr>
    </w:div>
    <w:div w:id="2035228582">
      <w:bodyDiv w:val="1"/>
      <w:marLeft w:val="0"/>
      <w:marRight w:val="0"/>
      <w:marTop w:val="0"/>
      <w:marBottom w:val="0"/>
      <w:divBdr>
        <w:top w:val="none" w:sz="0" w:space="0" w:color="auto"/>
        <w:left w:val="none" w:sz="0" w:space="0" w:color="auto"/>
        <w:bottom w:val="none" w:sz="0" w:space="0" w:color="auto"/>
        <w:right w:val="none" w:sz="0" w:space="0" w:color="auto"/>
      </w:divBdr>
      <w:divsChild>
        <w:div w:id="2118022742">
          <w:marLeft w:val="0"/>
          <w:marRight w:val="0"/>
          <w:marTop w:val="0"/>
          <w:marBottom w:val="0"/>
          <w:divBdr>
            <w:top w:val="none" w:sz="0" w:space="0" w:color="auto"/>
            <w:left w:val="none" w:sz="0" w:space="0" w:color="auto"/>
            <w:bottom w:val="none" w:sz="0" w:space="0" w:color="auto"/>
            <w:right w:val="none" w:sz="0" w:space="0" w:color="auto"/>
          </w:divBdr>
          <w:divsChild>
            <w:div w:id="546377258">
              <w:marLeft w:val="0"/>
              <w:marRight w:val="0"/>
              <w:marTop w:val="0"/>
              <w:marBottom w:val="0"/>
              <w:divBdr>
                <w:top w:val="single" w:sz="6" w:space="0" w:color="CCCCCC"/>
                <w:left w:val="none" w:sz="0" w:space="0" w:color="auto"/>
                <w:bottom w:val="single" w:sz="6" w:space="0" w:color="FFFFFF"/>
                <w:right w:val="none" w:sz="0" w:space="0" w:color="auto"/>
              </w:divBdr>
              <w:divsChild>
                <w:div w:id="26296148">
                  <w:marLeft w:val="0"/>
                  <w:marRight w:val="0"/>
                  <w:marTop w:val="100"/>
                  <w:marBottom w:val="100"/>
                  <w:divBdr>
                    <w:top w:val="none" w:sz="0" w:space="0" w:color="auto"/>
                    <w:left w:val="none" w:sz="0" w:space="0" w:color="auto"/>
                    <w:bottom w:val="none" w:sz="0" w:space="0" w:color="auto"/>
                    <w:right w:val="none" w:sz="0" w:space="0" w:color="auto"/>
                  </w:divBdr>
                  <w:divsChild>
                    <w:div w:id="190225564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mailto:IRconsultation@ag.gov.a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8" Type="http://schemas.openxmlformats.org/officeDocument/2006/relationships/hyperlink" Target="https://treasury.gov.au/review/black-economy-taskforce/final-report" TargetMode="External"/><Relationship Id="rId13" Type="http://schemas.openxmlformats.org/officeDocument/2006/relationships/hyperlink" Target="http://www.ag.gov.au/industrial-relations/industrial-relations-publications/Pages/report-migrant-workers-taskforce.aspx" TargetMode="External"/><Relationship Id="rId3" Type="http://schemas.openxmlformats.org/officeDocument/2006/relationships/hyperlink" Target="http://consumerlaw.gov.au/consultations-and-reviews/australian-consumer-law-review/final-report" TargetMode="External"/><Relationship Id="rId7" Type="http://schemas.openxmlformats.org/officeDocument/2006/relationships/hyperlink" Target="https://www.fairwork.gov.au/about-us/news-and-media-releases/2019-media-releases/august-2019/20190821-sushi-79-penalty-media-release" TargetMode="External"/><Relationship Id="rId12" Type="http://schemas.openxmlformats.org/officeDocument/2006/relationships/hyperlink" Target="http://www.alrc.gov.au/inquiries/review-australia%E2%80%99s-corporate-criminal-responsibility-regime" TargetMode="External"/><Relationship Id="rId2" Type="http://schemas.openxmlformats.org/officeDocument/2006/relationships/hyperlink" Target="file:///C:/Users/ad0319/AppData/Local/Microsoft/Windows/INetCache/Content.Outlook/www.ag.gov.au/industrial-relations/industrial-relations-publications/Pages/report-migrant-workers-taskforce.aspx" TargetMode="External"/><Relationship Id="rId1" Type="http://schemas.openxmlformats.org/officeDocument/2006/relationships/hyperlink" Target="http://www.ag.gov.au/industrial-relations/industrial-relations-publications/Pages/report-migrant-workers-taskforce.aspx" TargetMode="External"/><Relationship Id="rId6" Type="http://schemas.openxmlformats.org/officeDocument/2006/relationships/hyperlink" Target="http://www.smh.com.au/business/the-economy/we-re-into-punishment-accc-wants-penalties-with-financial-pain-20190226-p5108d.html" TargetMode="External"/><Relationship Id="rId11" Type="http://schemas.openxmlformats.org/officeDocument/2006/relationships/hyperlink" Target="https://www.alrc.gov.au/report-103" TargetMode="External"/><Relationship Id="rId5" Type="http://schemas.openxmlformats.org/officeDocument/2006/relationships/hyperlink" Target="http://consumerlaw.gov.au/consultations-and-reviews/australian-consumer-law-review/final-report" TargetMode="External"/><Relationship Id="rId10" Type="http://schemas.openxmlformats.org/officeDocument/2006/relationships/hyperlink" Target="https://treasury.gov.au/review/black-economy-taskforce/final-report" TargetMode="External"/><Relationship Id="rId4" Type="http://schemas.openxmlformats.org/officeDocument/2006/relationships/hyperlink" Target="http://www.treasury.gov.au/review/asic-enforcement-review" TargetMode="External"/><Relationship Id="rId9" Type="http://schemas.openxmlformats.org/officeDocument/2006/relationships/hyperlink" Target="https://treasury.gov.au/review/black-economy-taskforce/fin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140C3C-DEE5-4DC9-9887-FD5E41C5E836}"/>
</file>

<file path=customXml/itemProps2.xml><?xml version="1.0" encoding="utf-8"?>
<ds:datastoreItem xmlns:ds="http://schemas.openxmlformats.org/officeDocument/2006/customXml" ds:itemID="{C1EED446-6641-4ECC-ACE2-3ECC86DE7ED1}"/>
</file>

<file path=customXml/itemProps3.xml><?xml version="1.0" encoding="utf-8"?>
<ds:datastoreItem xmlns:ds="http://schemas.openxmlformats.org/officeDocument/2006/customXml" ds:itemID="{F2CD4F33-FDD0-4969-9AAE-07AA65EFB979}"/>
</file>

<file path=customXml/itemProps4.xml><?xml version="1.0" encoding="utf-8"?>
<ds:datastoreItem xmlns:ds="http://schemas.openxmlformats.org/officeDocument/2006/customXml" ds:itemID="{33A23392-3458-4A35-ADA8-669BF6FD7D2A}"/>
</file>

<file path=docProps/app.xml><?xml version="1.0" encoding="utf-8"?>
<Properties xmlns="http://schemas.openxmlformats.org/officeDocument/2006/extended-properties" xmlns:vt="http://schemas.openxmlformats.org/officeDocument/2006/docPropsVTypes">
  <Template>Normal.dotm</Template>
  <TotalTime>0</TotalTime>
  <Pages>15</Pages>
  <Words>5517</Words>
  <Characters>31451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protections of employees’ wages and entitlements: strengthening penalties for non-compliance </dc:title>
  <dc:creator/>
  <cp:lastModifiedBy/>
  <cp:revision>1</cp:revision>
  <dcterms:created xsi:type="dcterms:W3CDTF">2019-09-18T22:36:00Z</dcterms:created>
  <dcterms:modified xsi:type="dcterms:W3CDTF">2019-09-18T22:36:00Z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y fmtid="{D5CDD505-2E9C-101B-9397-08002B2CF9AE}" pid="3" name="TemplateUrl">
    <vt:lpwstr/>
  </property>
  <property fmtid="{D5CDD505-2E9C-101B-9397-08002B2CF9AE}" pid="4" name="Order">
    <vt:r8>525200</vt:r8>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