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B56CA" w14:textId="77777777" w:rsidR="00394664" w:rsidRDefault="00BF004D" w:rsidP="00C279C1">
      <w:pPr>
        <w:ind w:left="-851"/>
        <w:sectPr w:rsidR="00394664" w:rsidSect="00E51B73">
          <w:headerReference w:type="default" r:id="rId8"/>
          <w:pgSz w:w="12240" w:h="15840"/>
          <w:pgMar w:top="142" w:right="964" w:bottom="964" w:left="964" w:header="142" w:footer="311" w:gutter="0"/>
          <w:pgNumType w:start="1"/>
          <w:cols w:space="708"/>
          <w:docGrid w:linePitch="360"/>
        </w:sectPr>
      </w:pPr>
      <w:r>
        <w:rPr>
          <w:noProof/>
          <w:lang w:eastAsia="en-AU"/>
        </w:rPr>
        <w:drawing>
          <wp:inline distT="0" distB="0" distL="0" distR="0" wp14:anchorId="6C3D3BE5" wp14:editId="042FAB0B">
            <wp:extent cx="7579290" cy="1470660"/>
            <wp:effectExtent l="0" t="0" r="3175" b="0"/>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4909" cy="1473691"/>
                    </a:xfrm>
                    <a:prstGeom prst="rect">
                      <a:avLst/>
                    </a:prstGeom>
                  </pic:spPr>
                </pic:pic>
              </a:graphicData>
            </a:graphic>
          </wp:inline>
        </w:drawing>
      </w:r>
    </w:p>
    <w:p w14:paraId="6E9D8C33" w14:textId="77777777" w:rsidR="00151A0A" w:rsidRPr="00852B60" w:rsidRDefault="007C6467" w:rsidP="00885266">
      <w:pPr>
        <w:spacing w:before="240" w:after="0"/>
        <w:jc w:val="right"/>
      </w:pPr>
      <w:r>
        <w:t>September</w:t>
      </w:r>
      <w:r w:rsidR="009E51BE">
        <w:t xml:space="preserve"> 2019</w:t>
      </w:r>
    </w:p>
    <w:p w14:paraId="2D187471" w14:textId="37E064DC" w:rsidR="00151A0A" w:rsidRPr="00EB7B29" w:rsidRDefault="00EB7B29" w:rsidP="00E36BF1">
      <w:pPr>
        <w:pStyle w:val="Heading1"/>
        <w:jc w:val="left"/>
      </w:pPr>
      <w:r w:rsidRPr="00EB7B29">
        <w:t xml:space="preserve">Attracting </w:t>
      </w:r>
      <w:r w:rsidR="000D7E8F">
        <w:t>m</w:t>
      </w:r>
      <w:r w:rsidR="00467755" w:rsidRPr="007D52E3">
        <w:t xml:space="preserve">ajor </w:t>
      </w:r>
      <w:r w:rsidR="000D7E8F">
        <w:t>i</w:t>
      </w:r>
      <w:r w:rsidR="00467755" w:rsidRPr="007D52E3">
        <w:t xml:space="preserve">nfrastructure, </w:t>
      </w:r>
      <w:r w:rsidR="000D7E8F">
        <w:t>r</w:t>
      </w:r>
      <w:r w:rsidR="00467755" w:rsidRPr="00467755">
        <w:t>esources</w:t>
      </w:r>
      <w:r w:rsidRPr="00EB7B29">
        <w:t xml:space="preserve"> and </w:t>
      </w:r>
      <w:r w:rsidR="000D7E8F">
        <w:t>e</w:t>
      </w:r>
      <w:r w:rsidR="00467755" w:rsidRPr="00632C93">
        <w:t xml:space="preserve">nergy </w:t>
      </w:r>
      <w:r w:rsidR="000D7E8F">
        <w:t>p</w:t>
      </w:r>
      <w:r w:rsidR="00467755" w:rsidRPr="00632C93">
        <w:t>rojects</w:t>
      </w:r>
      <w:r w:rsidRPr="00EB7B29">
        <w:t xml:space="preserve"> to </w:t>
      </w:r>
      <w:r w:rsidR="000D7E8F">
        <w:t>i</w:t>
      </w:r>
      <w:r w:rsidR="00E51B73">
        <w:t xml:space="preserve">ncrease </w:t>
      </w:r>
      <w:r w:rsidR="000D7E8F">
        <w:t>e</w:t>
      </w:r>
      <w:r w:rsidR="00E51B73">
        <w:t>mployment</w:t>
      </w:r>
      <w:r w:rsidR="00467755" w:rsidRPr="00632C93">
        <w:t xml:space="preserve"> - </w:t>
      </w:r>
      <w:r w:rsidR="000E1DAD">
        <w:t xml:space="preserve">Project </w:t>
      </w:r>
      <w:r w:rsidR="000D7E8F">
        <w:t>l</w:t>
      </w:r>
      <w:r w:rsidR="000E1DAD">
        <w:t xml:space="preserve">ife </w:t>
      </w:r>
      <w:r w:rsidR="000D7E8F">
        <w:t>g</w:t>
      </w:r>
      <w:r w:rsidR="000E1DAD">
        <w:t xml:space="preserve">reenfields </w:t>
      </w:r>
      <w:r w:rsidR="00EF569A">
        <w:t>a</w:t>
      </w:r>
      <w:r w:rsidR="000E1DAD">
        <w:t>greements</w:t>
      </w:r>
    </w:p>
    <w:p w14:paraId="1E37ECE4" w14:textId="514FD6E4" w:rsidR="00E51B73" w:rsidRPr="00AA1E98" w:rsidRDefault="00E51B73" w:rsidP="00E51B73">
      <w:r w:rsidRPr="00AA1E98">
        <w:t>Industrial relations can play an important role in contributing to the stre</w:t>
      </w:r>
      <w:r w:rsidR="002B3683">
        <w:t xml:space="preserve">ngth of the Australian economy. </w:t>
      </w:r>
      <w:r w:rsidRPr="00AA1E98">
        <w:t>Potential reform to, or changes within, the Australian industrial relations system should be measured against three criteria;</w:t>
      </w:r>
      <w:r w:rsidR="0018199E">
        <w:t xml:space="preserve"> driving jobs and wages growth</w:t>
      </w:r>
      <w:r w:rsidR="0018199E" w:rsidRPr="00B02CEE">
        <w:t>, boosting productivity and</w:t>
      </w:r>
      <w:r w:rsidRPr="00AA1E98">
        <w:t xml:space="preserve"> strengthening the economy, while ensuring protection of employees’ rights.</w:t>
      </w:r>
    </w:p>
    <w:p w14:paraId="6287B880" w14:textId="77777777" w:rsidR="00E51B73" w:rsidRPr="00AA1E98" w:rsidRDefault="00E51B73" w:rsidP="00E51B73">
      <w:r w:rsidRPr="00AA1E98">
        <w:t>Importantly, an effective industrial relations system should strive to achieve the best overall balance, having</w:t>
      </w:r>
      <w:r w:rsidR="00E615D9">
        <w:t> </w:t>
      </w:r>
      <w:r w:rsidRPr="00AA1E98">
        <w:t>regard to the needs of both employees and employers, including those engaged in small business.</w:t>
      </w:r>
    </w:p>
    <w:p w14:paraId="0BBDDFE5" w14:textId="77777777" w:rsidR="00E51B73" w:rsidRPr="00AA1E98" w:rsidRDefault="00E51B73" w:rsidP="00E51B73">
      <w:r w:rsidRPr="00AA1E98">
        <w:t>As recently announced, the Prime Minister has asked the Attorney-General in his capacity as Minister for Industrial Relations, to take a fresh look at the industrial relations system to identify how it is operating and</w:t>
      </w:r>
      <w:r w:rsidR="00E615D9">
        <w:t> </w:t>
      </w:r>
      <w:r w:rsidRPr="00AA1E98">
        <w:t>where there are impediments to shared gains for employers and employees.</w:t>
      </w:r>
    </w:p>
    <w:p w14:paraId="0E42FC0E" w14:textId="77777777" w:rsidR="008C307A" w:rsidRDefault="008C307A" w:rsidP="00A25324">
      <w:pPr>
        <w:pStyle w:val="Heading2"/>
      </w:pPr>
      <w:r w:rsidRPr="003507B8">
        <w:t>Request for public submissions</w:t>
      </w:r>
    </w:p>
    <w:p w14:paraId="3ACC70D7" w14:textId="77777777" w:rsidR="00260694" w:rsidRDefault="00260694" w:rsidP="00E36BF1">
      <w:r>
        <w:t xml:space="preserve">This paper provides </w:t>
      </w:r>
      <w:r w:rsidR="00E51B73">
        <w:t xml:space="preserve">background </w:t>
      </w:r>
      <w:r>
        <w:t xml:space="preserve">information on </w:t>
      </w:r>
      <w:r w:rsidR="00EF1932">
        <w:t xml:space="preserve">the </w:t>
      </w:r>
      <w:r w:rsidR="00887552">
        <w:t>greenfields enterprise agreement</w:t>
      </w:r>
      <w:r>
        <w:t xml:space="preserve"> provisions in the </w:t>
      </w:r>
      <w:r w:rsidRPr="00260694">
        <w:rPr>
          <w:i/>
        </w:rPr>
        <w:t>Fair</w:t>
      </w:r>
      <w:r w:rsidR="00017CB9">
        <w:rPr>
          <w:i/>
        </w:rPr>
        <w:t> </w:t>
      </w:r>
      <w:r w:rsidRPr="00260694">
        <w:rPr>
          <w:i/>
        </w:rPr>
        <w:t>Work</w:t>
      </w:r>
      <w:r w:rsidR="00017CB9">
        <w:rPr>
          <w:i/>
        </w:rPr>
        <w:t> </w:t>
      </w:r>
      <w:r w:rsidRPr="00260694">
        <w:rPr>
          <w:i/>
        </w:rPr>
        <w:t>Act</w:t>
      </w:r>
      <w:r w:rsidR="00017CB9">
        <w:rPr>
          <w:i/>
        </w:rPr>
        <w:t> </w:t>
      </w:r>
      <w:r w:rsidRPr="00260694">
        <w:rPr>
          <w:i/>
        </w:rPr>
        <w:t>2009</w:t>
      </w:r>
      <w:r w:rsidR="003D3710">
        <w:rPr>
          <w:i/>
        </w:rPr>
        <w:t xml:space="preserve"> </w:t>
      </w:r>
      <w:r w:rsidR="003D3710">
        <w:t>(Fair Work Act)</w:t>
      </w:r>
      <w:r w:rsidR="00EF1932">
        <w:t xml:space="preserve"> and seeks </w:t>
      </w:r>
      <w:r>
        <w:t xml:space="preserve">views (by way of written submissions) </w:t>
      </w:r>
      <w:r w:rsidRPr="00531832">
        <w:t>on</w:t>
      </w:r>
      <w:r w:rsidR="00E51B73" w:rsidRPr="00531832">
        <w:t xml:space="preserve"> whether and how enterprise agreements might be applied for</w:t>
      </w:r>
      <w:r w:rsidRPr="00531832">
        <w:t xml:space="preserve"> the life of </w:t>
      </w:r>
      <w:r w:rsidR="00887552" w:rsidRPr="00531832">
        <w:t>greenfields</w:t>
      </w:r>
      <w:r w:rsidR="00166B5D" w:rsidRPr="00531832">
        <w:t> </w:t>
      </w:r>
      <w:r w:rsidR="00E51B73" w:rsidRPr="00531832">
        <w:t>projects</w:t>
      </w:r>
      <w:r w:rsidRPr="00531832">
        <w:t>.</w:t>
      </w:r>
      <w:r>
        <w:t xml:space="preserve"> While this paper directs submissions to specific questions</w:t>
      </w:r>
      <w:r w:rsidR="00EF1932">
        <w:t xml:space="preserve"> below</w:t>
      </w:r>
      <w:r>
        <w:t>, submissions may</w:t>
      </w:r>
      <w:r w:rsidR="00166B5D">
        <w:t> </w:t>
      </w:r>
      <w:r>
        <w:t xml:space="preserve">provide any information and make suggestions relevant to the topic of this paper. </w:t>
      </w:r>
    </w:p>
    <w:p w14:paraId="5011B415" w14:textId="77777777" w:rsidR="00260694" w:rsidRDefault="00260694" w:rsidP="00E36BF1">
      <w:r>
        <w:t xml:space="preserve">Submissions can be made </w:t>
      </w:r>
      <w:r w:rsidRPr="00166B5D">
        <w:t xml:space="preserve">to </w:t>
      </w:r>
      <w:hyperlink r:id="rId10" w:history="1">
        <w:r w:rsidR="00166B5D" w:rsidRPr="00166B5D">
          <w:rPr>
            <w:rStyle w:val="Hyperlink"/>
          </w:rPr>
          <w:t>IRconsultation@ag.gov.au</w:t>
        </w:r>
      </w:hyperlink>
      <w:r w:rsidR="00E02C41">
        <w:t xml:space="preserve"> </w:t>
      </w:r>
      <w:r>
        <w:t xml:space="preserve"> </w:t>
      </w:r>
    </w:p>
    <w:p w14:paraId="52366A83" w14:textId="77777777" w:rsidR="00EF1932" w:rsidRDefault="00260694" w:rsidP="00E36BF1">
      <w:r w:rsidRPr="008C307A">
        <w:rPr>
          <w:b/>
        </w:rPr>
        <w:t xml:space="preserve">The closing date for submissions </w:t>
      </w:r>
      <w:r w:rsidRPr="00B02CEE">
        <w:rPr>
          <w:b/>
        </w:rPr>
        <w:t xml:space="preserve">is </w:t>
      </w:r>
      <w:r w:rsidR="00E51B73" w:rsidRPr="00B02CEE">
        <w:rPr>
          <w:b/>
        </w:rPr>
        <w:t>1 November</w:t>
      </w:r>
      <w:r w:rsidR="00E02C41" w:rsidRPr="00B02CEE">
        <w:rPr>
          <w:b/>
        </w:rPr>
        <w:t xml:space="preserve"> 2019</w:t>
      </w:r>
      <w:r w:rsidRPr="00B02CEE">
        <w:t>.</w:t>
      </w:r>
      <w:r>
        <w:t xml:space="preserve"> </w:t>
      </w:r>
    </w:p>
    <w:p w14:paraId="0CA0F81D" w14:textId="77777777" w:rsidR="00260694" w:rsidRDefault="00260694" w:rsidP="00E36BF1">
      <w:r>
        <w:t>Submissions will be made public (by being published on the Attorney-General’s Department website) unless</w:t>
      </w:r>
      <w:r w:rsidR="00166B5D">
        <w:t> </w:t>
      </w:r>
      <w:r>
        <w:t>an express statement is included in the submission requesting confidentiality. If you request that your</w:t>
      </w:r>
      <w:r w:rsidR="00166B5D">
        <w:t> </w:t>
      </w:r>
      <w:r>
        <w:t xml:space="preserve">submission remain confidential, you are encouraged to consider whether the whole submission is confidential or whether some parts of the submission may be made public. </w:t>
      </w:r>
    </w:p>
    <w:p w14:paraId="165B1FD1" w14:textId="087462CC" w:rsidR="00C70300" w:rsidRDefault="00C70300" w:rsidP="006F1621"/>
    <w:p w14:paraId="40E06001" w14:textId="3F5D4735" w:rsidR="003D3710" w:rsidRDefault="003D3710" w:rsidP="006F1621">
      <w:pPr>
        <w:sectPr w:rsidR="003D3710" w:rsidSect="00151A0A">
          <w:footerReference w:type="default" r:id="rId11"/>
          <w:type w:val="continuous"/>
          <w:pgSz w:w="12240" w:h="15840"/>
          <w:pgMar w:top="532" w:right="964" w:bottom="964" w:left="964" w:header="142" w:footer="709" w:gutter="0"/>
          <w:cols w:space="708"/>
          <w:docGrid w:linePitch="360"/>
        </w:sectPr>
      </w:pPr>
    </w:p>
    <w:p w14:paraId="7ACFE059" w14:textId="77777777" w:rsidR="00BD2653" w:rsidRPr="00C93B21" w:rsidRDefault="00BD2653" w:rsidP="00A25324">
      <w:pPr>
        <w:pStyle w:val="Heading2"/>
      </w:pPr>
      <w:r w:rsidRPr="00C93B21">
        <w:lastRenderedPageBreak/>
        <w:t xml:space="preserve">Background </w:t>
      </w:r>
    </w:p>
    <w:p w14:paraId="13DEBC4F" w14:textId="77777777" w:rsidR="00BD2653" w:rsidRDefault="00BD2653" w:rsidP="00E36BF1">
      <w:r>
        <w:t xml:space="preserve">Under the </w:t>
      </w:r>
      <w:r w:rsidRPr="00E33584">
        <w:rPr>
          <w:i/>
        </w:rPr>
        <w:t>Fair Work Act 2009</w:t>
      </w:r>
      <w:r>
        <w:t xml:space="preserve"> (Fair Work Act), </w:t>
      </w:r>
      <w:r w:rsidR="00E51B73">
        <w:t xml:space="preserve">a greenfields agreement is </w:t>
      </w:r>
      <w:r w:rsidR="00250546">
        <w:t xml:space="preserve">an agreement that relates to a new business, activity, project or undertaking </w:t>
      </w:r>
      <w:r w:rsidR="00F61BF2">
        <w:t>prior</w:t>
      </w:r>
      <w:r w:rsidR="00960976">
        <w:t xml:space="preserve"> to the employment of employees</w:t>
      </w:r>
      <w:r w:rsidR="00324E0F">
        <w:t>.</w:t>
      </w:r>
      <w:r>
        <w:rPr>
          <w:rStyle w:val="FootnoteReference"/>
        </w:rPr>
        <w:footnoteReference w:id="2"/>
      </w:r>
      <w:r>
        <w:t xml:space="preserve"> </w:t>
      </w:r>
    </w:p>
    <w:p w14:paraId="62EACD7B" w14:textId="77777777" w:rsidR="00BD2653" w:rsidRDefault="00BD2653" w:rsidP="00E36BF1">
      <w:r>
        <w:t>A</w:t>
      </w:r>
      <w:r w:rsidR="00534EEB">
        <w:t>t present, a</w:t>
      </w:r>
      <w:r>
        <w:t xml:space="preserve"> greenfields agreement </w:t>
      </w:r>
      <w:r w:rsidRPr="003D3710">
        <w:t>may</w:t>
      </w:r>
      <w:r>
        <w:t xml:space="preserve"> </w:t>
      </w:r>
      <w:r w:rsidRPr="003D3710">
        <w:t xml:space="preserve">be made between </w:t>
      </w:r>
      <w:r>
        <w:t xml:space="preserve">an </w:t>
      </w:r>
      <w:r w:rsidRPr="003D3710">
        <w:t>employer</w:t>
      </w:r>
      <w:r>
        <w:t xml:space="preserve"> </w:t>
      </w:r>
      <w:r w:rsidR="00534EEB">
        <w:t>(</w:t>
      </w:r>
      <w:r>
        <w:t>or employers</w:t>
      </w:r>
      <w:r w:rsidR="00534EEB">
        <w:t>)</w:t>
      </w:r>
      <w:r w:rsidRPr="003D3710">
        <w:t xml:space="preserve"> and a union </w:t>
      </w:r>
      <w:r w:rsidR="00534EEB">
        <w:t>(</w:t>
      </w:r>
      <w:r w:rsidRPr="003D3710">
        <w:t>or</w:t>
      </w:r>
      <w:r w:rsidR="00E615D9">
        <w:t> </w:t>
      </w:r>
      <w:r w:rsidRPr="003D3710">
        <w:t>unions</w:t>
      </w:r>
      <w:r w:rsidR="00534EEB">
        <w:t>)</w:t>
      </w:r>
      <w:r w:rsidRPr="003D3710">
        <w:t xml:space="preserve"> able to represent the </w:t>
      </w:r>
      <w:r w:rsidR="00715C1C">
        <w:t xml:space="preserve">industrial interests of a </w:t>
      </w:r>
      <w:r w:rsidRPr="003D3710">
        <w:t>majority of employees who will be covered by the agreement.</w:t>
      </w:r>
      <w:r>
        <w:t xml:space="preserve"> In such cases, the parties must sign the agreement before submitt</w:t>
      </w:r>
      <w:r w:rsidR="006D4AE5">
        <w:t>ing it</w:t>
      </w:r>
      <w:r w:rsidR="003C3AB2">
        <w:t xml:space="preserve"> for approval</w:t>
      </w:r>
      <w:r>
        <w:t xml:space="preserve"> to the Fair</w:t>
      </w:r>
      <w:r w:rsidR="00E615D9">
        <w:t> </w:t>
      </w:r>
      <w:r>
        <w:t>Work Commission.</w:t>
      </w:r>
      <w:r w:rsidRPr="003D3710">
        <w:t xml:space="preserve">  </w:t>
      </w:r>
    </w:p>
    <w:p w14:paraId="64D9DD05" w14:textId="77777777" w:rsidR="004C6BC7" w:rsidRPr="003D3710" w:rsidRDefault="00BD2653" w:rsidP="00E36BF1">
      <w:r w:rsidRPr="004C0FCD">
        <w:t xml:space="preserve">A </w:t>
      </w:r>
      <w:r w:rsidR="00715C1C" w:rsidRPr="004C0FCD">
        <w:t xml:space="preserve">single-enterprise </w:t>
      </w:r>
      <w:r w:rsidRPr="004C0FCD">
        <w:t>greenfields agreement may also be made where bargaining r</w:t>
      </w:r>
      <w:r w:rsidR="003C3AB2">
        <w:t>e</w:t>
      </w:r>
      <w:r w:rsidR="004F544A">
        <w:t>presentatives for the employer or employers</w:t>
      </w:r>
      <w:r w:rsidR="003C3AB2">
        <w:t xml:space="preserve"> </w:t>
      </w:r>
      <w:r w:rsidRPr="004C0FCD">
        <w:t xml:space="preserve">have given </w:t>
      </w:r>
      <w:r w:rsidR="00715C1C" w:rsidRPr="004C0FCD">
        <w:t>union</w:t>
      </w:r>
      <w:r w:rsidRPr="004C0FCD">
        <w:t xml:space="preserve"> bargaining representatives a reasonable opportun</w:t>
      </w:r>
      <w:r w:rsidR="003C3AB2">
        <w:t>ity to sign the agreement and the six</w:t>
      </w:r>
      <w:r w:rsidR="002B3683">
        <w:t xml:space="preserve"> </w:t>
      </w:r>
      <w:r w:rsidR="003C3AB2">
        <w:t xml:space="preserve">month </w:t>
      </w:r>
      <w:r w:rsidRPr="004C0FCD">
        <w:t>notified negotiati</w:t>
      </w:r>
      <w:r w:rsidR="003C3AB2">
        <w:t>on period has passed</w:t>
      </w:r>
      <w:r w:rsidRPr="004C0FCD">
        <w:rPr>
          <w:rStyle w:val="FootnoteReference"/>
        </w:rPr>
        <w:footnoteReference w:id="3"/>
      </w:r>
      <w:r w:rsidR="00166B5D">
        <w:t xml:space="preserve"> </w:t>
      </w:r>
      <w:r w:rsidR="003C3AB2">
        <w:t>without agreement being reached. In this circumstance, the</w:t>
      </w:r>
      <w:r w:rsidR="009056C7" w:rsidRPr="004C0FCD">
        <w:t xml:space="preserve"> </w:t>
      </w:r>
      <w:r w:rsidRPr="004C0FCD">
        <w:t>employer</w:t>
      </w:r>
      <w:r w:rsidR="004F544A">
        <w:t xml:space="preserve"> or employers </w:t>
      </w:r>
      <w:r w:rsidR="003C3AB2">
        <w:t>m</w:t>
      </w:r>
      <w:r w:rsidR="00094374" w:rsidRPr="004C0FCD">
        <w:t>ay</w:t>
      </w:r>
      <w:r w:rsidRPr="004C0FCD">
        <w:t xml:space="preserve"> submit </w:t>
      </w:r>
      <w:r w:rsidR="003C3AB2">
        <w:t>the</w:t>
      </w:r>
      <w:r w:rsidRPr="004C0FCD">
        <w:t xml:space="preserve"> agreement to the Fair Work Commission for approval. </w:t>
      </w:r>
      <w:r w:rsidR="009056C7" w:rsidRPr="004C0FCD">
        <w:t xml:space="preserve">The agreement is required to satisfy the usual agreement approval tests under the Fair Work Act and an additional requirement that the agreement, considered on an overall basis, provides for pay and conditions that are consistent with the </w:t>
      </w:r>
      <w:r w:rsidR="009056C7" w:rsidRPr="00420850">
        <w:t xml:space="preserve">prevailing </w:t>
      </w:r>
      <w:r w:rsidR="004C6BC7" w:rsidRPr="00420850">
        <w:t>pay</w:t>
      </w:r>
      <w:r w:rsidR="009056C7" w:rsidRPr="00420850">
        <w:t xml:space="preserve"> and conditions within that industry for equivalent work.</w:t>
      </w:r>
      <w:r w:rsidR="009056C7" w:rsidRPr="004C0FCD">
        <w:t xml:space="preserve"> In </w:t>
      </w:r>
      <w:r w:rsidR="003C3AB2">
        <w:t>applying</w:t>
      </w:r>
      <w:r w:rsidR="009056C7" w:rsidRPr="004C0FCD">
        <w:t xml:space="preserve"> the prevailing pay and conditions </w:t>
      </w:r>
      <w:r w:rsidR="003C3AB2">
        <w:t>test</w:t>
      </w:r>
      <w:r w:rsidR="009056C7" w:rsidRPr="004C0FCD">
        <w:t>, the Fair Work Commission may have regard to the prevailing pay and conditions in the relevant geographical area</w:t>
      </w:r>
      <w:r w:rsidR="00324E0F">
        <w:t>.</w:t>
      </w:r>
      <w:r w:rsidR="007F67AC" w:rsidRPr="004C0FCD">
        <w:rPr>
          <w:rStyle w:val="FootnoteReference"/>
        </w:rPr>
        <w:footnoteReference w:id="4"/>
      </w:r>
      <w:r w:rsidR="009056C7" w:rsidRPr="004C0FCD">
        <w:t xml:space="preserve"> </w:t>
      </w:r>
    </w:p>
    <w:p w14:paraId="1500F3E4" w14:textId="1DB9867A" w:rsidR="00BD2653" w:rsidRDefault="00534EEB" w:rsidP="00E36BF1">
      <w:r>
        <w:t>Critical to the issue upon which submissions are sought by this paper</w:t>
      </w:r>
      <w:r w:rsidR="00BD2653">
        <w:t xml:space="preserve">, </w:t>
      </w:r>
      <w:r w:rsidR="00BD2653" w:rsidRPr="003D3710">
        <w:t>all agreements made under the Fair</w:t>
      </w:r>
      <w:r w:rsidR="00E615D9">
        <w:t> </w:t>
      </w:r>
      <w:r w:rsidR="00BD2653" w:rsidRPr="003D3710">
        <w:t xml:space="preserve">Work Act </w:t>
      </w:r>
      <w:r>
        <w:t>(</w:t>
      </w:r>
      <w:r w:rsidR="00BD2653">
        <w:t>including greenfields agreements</w:t>
      </w:r>
      <w:r>
        <w:t>)</w:t>
      </w:r>
      <w:r w:rsidR="00BD2653">
        <w:t xml:space="preserve"> </w:t>
      </w:r>
      <w:r w:rsidR="00BD2653" w:rsidRPr="003D3710">
        <w:t>must include a nominal expiry date</w:t>
      </w:r>
      <w:r w:rsidR="00BD2653">
        <w:t xml:space="preserve"> </w:t>
      </w:r>
      <w:r w:rsidR="00BD2653" w:rsidRPr="003D3710">
        <w:t xml:space="preserve">that is </w:t>
      </w:r>
      <w:r w:rsidR="00BD2653" w:rsidRPr="00534EEB">
        <w:rPr>
          <w:u w:val="single"/>
        </w:rPr>
        <w:t>not more than four years after the day the Fair Work Commission approves the agreement</w:t>
      </w:r>
      <w:r w:rsidR="0085030D" w:rsidRPr="00571462">
        <w:rPr>
          <w:u w:val="single"/>
        </w:rPr>
        <w:t>.</w:t>
      </w:r>
      <w:r w:rsidR="0085030D">
        <w:t xml:space="preserve"> While all enterprise agreements must include a nominal expiry date, the Fair Work Act provides</w:t>
      </w:r>
      <w:r w:rsidR="003C3AB2">
        <w:t xml:space="preserve"> </w:t>
      </w:r>
      <w:r w:rsidR="0085030D">
        <w:t xml:space="preserve">that </w:t>
      </w:r>
      <w:r w:rsidR="003C3AB2">
        <w:t>enterprise agreements continue in place unless terminated or replaced</w:t>
      </w:r>
      <w:r w:rsidR="00BD2653">
        <w:t xml:space="preserve">. </w:t>
      </w:r>
      <w:r w:rsidR="003C3AB2">
        <w:t xml:space="preserve">In </w:t>
      </w:r>
      <w:r>
        <w:t>practice</w:t>
      </w:r>
      <w:r w:rsidR="00166B5D">
        <w:t>,</w:t>
      </w:r>
      <w:r w:rsidR="00BD2653" w:rsidRPr="003D3710">
        <w:t xml:space="preserve"> </w:t>
      </w:r>
      <w:r w:rsidR="000D212D">
        <w:t xml:space="preserve">many </w:t>
      </w:r>
      <w:r>
        <w:t xml:space="preserve">large greenfields </w:t>
      </w:r>
      <w:r w:rsidR="00BD2653">
        <w:t xml:space="preserve">projects </w:t>
      </w:r>
      <w:r>
        <w:t>will</w:t>
      </w:r>
      <w:r w:rsidR="00BD2653">
        <w:t xml:space="preserve"> </w:t>
      </w:r>
      <w:r w:rsidR="003C3AB2">
        <w:t>extend</w:t>
      </w:r>
      <w:r w:rsidR="00BD2653">
        <w:t xml:space="preserve"> beyond the nominal expiry date</w:t>
      </w:r>
      <w:r>
        <w:t xml:space="preserve"> of their enterprise agreement</w:t>
      </w:r>
      <w:r w:rsidR="00BD2653">
        <w:t xml:space="preserve">. </w:t>
      </w:r>
      <w:r w:rsidR="003C3AB2">
        <w:t>Where an agreement has passed its nominal expiry date, e</w:t>
      </w:r>
      <w:r w:rsidR="001B6364" w:rsidRPr="004C0FCD">
        <w:t xml:space="preserve">mployees can </w:t>
      </w:r>
      <w:r w:rsidR="00EA5164" w:rsidRPr="004C0FCD">
        <w:t>access</w:t>
      </w:r>
      <w:r w:rsidR="003C3AB2">
        <w:t xml:space="preserve"> protected industrial action, </w:t>
      </w:r>
      <w:r w:rsidR="001B6364" w:rsidRPr="004C0FCD">
        <w:t>if bargaining has commenced for a new agreement</w:t>
      </w:r>
      <w:r w:rsidR="00EA5164" w:rsidRPr="004C0FCD">
        <w:t xml:space="preserve"> and the action is authorised by a protected action ballot</w:t>
      </w:r>
      <w:r w:rsidR="004C6BC7" w:rsidRPr="004C0FCD">
        <w:t xml:space="preserve">. </w:t>
      </w:r>
    </w:p>
    <w:p w14:paraId="60993AF5" w14:textId="77777777" w:rsidR="00BD2653" w:rsidRDefault="00BD2653" w:rsidP="00E36BF1">
      <w:r w:rsidRPr="003D3710">
        <w:t>As at 31</w:t>
      </w:r>
      <w:r>
        <w:t> </w:t>
      </w:r>
      <w:r w:rsidRPr="003D3710">
        <w:t>March 2019, 51</w:t>
      </w:r>
      <w:r>
        <w:t xml:space="preserve"> per cent </w:t>
      </w:r>
      <w:r w:rsidRPr="003D3710">
        <w:t xml:space="preserve">of </w:t>
      </w:r>
      <w:r>
        <w:t xml:space="preserve">all </w:t>
      </w:r>
      <w:r w:rsidRPr="003D3710">
        <w:t xml:space="preserve">current </w:t>
      </w:r>
      <w:r>
        <w:t xml:space="preserve">greenfields enterprise </w:t>
      </w:r>
      <w:r w:rsidRPr="003D3710">
        <w:t xml:space="preserve">agreements were in the </w:t>
      </w:r>
      <w:r>
        <w:t xml:space="preserve">building and </w:t>
      </w:r>
      <w:r w:rsidRPr="003D3710">
        <w:t xml:space="preserve">construction </w:t>
      </w:r>
      <w:r>
        <w:t xml:space="preserve">industry, </w:t>
      </w:r>
      <w:r w:rsidR="00534EEB">
        <w:t>a critical</w:t>
      </w:r>
      <w:r>
        <w:t xml:space="preserve"> contributor to the Australian economy. The </w:t>
      </w:r>
      <w:r w:rsidR="00534EEB">
        <w:t xml:space="preserve">building and construction </w:t>
      </w:r>
      <w:r>
        <w:t xml:space="preserve">industry has approximately $713.8 billion invested in current and planned projects, with over $97 billion invested by the Commonwealth in current and upcoming projects. The Gross Value Add (GVA) of the building and construction industry is $138.3 billion per year and </w:t>
      </w:r>
      <w:r w:rsidR="006F2277">
        <w:t xml:space="preserve">the industry </w:t>
      </w:r>
      <w:r>
        <w:t>is the third largest contributor to Gross Domestic Product (GDP) at 7.5</w:t>
      </w:r>
      <w:r w:rsidR="000D212D">
        <w:t> </w:t>
      </w:r>
      <w:r>
        <w:t>per</w:t>
      </w:r>
      <w:r w:rsidR="000D212D">
        <w:t> </w:t>
      </w:r>
      <w:r w:rsidR="006F2277">
        <w:t>cent</w:t>
      </w:r>
      <w:r w:rsidR="00324E0F">
        <w:t>.</w:t>
      </w:r>
      <w:r>
        <w:rPr>
          <w:rStyle w:val="FootnoteReference"/>
        </w:rPr>
        <w:footnoteReference w:id="5"/>
      </w:r>
    </w:p>
    <w:p w14:paraId="7177ADA1" w14:textId="527DA86C" w:rsidR="006257C8" w:rsidRDefault="0085030D" w:rsidP="00E36BF1">
      <w:r>
        <w:t>Further, greenfields agreements in the m</w:t>
      </w:r>
      <w:r w:rsidR="00BD2653" w:rsidRPr="00F5259B">
        <w:t>ining industry represent 5.2 per cent of all current greenfields enterpr</w:t>
      </w:r>
      <w:r>
        <w:t>ise agreements. The GVA of the m</w:t>
      </w:r>
      <w:r w:rsidR="00BD2653" w:rsidRPr="00F5259B">
        <w:t xml:space="preserve">ining industry is $144.6 billion per year and it is the second largest </w:t>
      </w:r>
      <w:r w:rsidR="00BD2653" w:rsidRPr="00F5259B">
        <w:lastRenderedPageBreak/>
        <w:t>con</w:t>
      </w:r>
      <w:r w:rsidR="006F2277">
        <w:t>tributor to GDP at 7.8 per cent</w:t>
      </w:r>
      <w:r w:rsidR="00324E0F">
        <w:t>.</w:t>
      </w:r>
      <w:r w:rsidR="00BD2653">
        <w:rPr>
          <w:rStyle w:val="FootnoteReference"/>
        </w:rPr>
        <w:footnoteReference w:id="6"/>
      </w:r>
      <w:r w:rsidR="00BD2653">
        <w:t xml:space="preserve"> Chevron Australia</w:t>
      </w:r>
      <w:r>
        <w:t xml:space="preserve"> estimates</w:t>
      </w:r>
      <w:r w:rsidR="00BD2653">
        <w:t xml:space="preserve"> for example, </w:t>
      </w:r>
      <w:r>
        <w:t xml:space="preserve">that </w:t>
      </w:r>
      <w:r w:rsidR="00BD2653">
        <w:t>the Gorgon and Wheatstone natural gas projects</w:t>
      </w:r>
      <w:r w:rsidR="00D326E1">
        <w:t xml:space="preserve"> in Western Australia </w:t>
      </w:r>
      <w:r w:rsidR="00BD2653">
        <w:t xml:space="preserve">together </w:t>
      </w:r>
      <w:r w:rsidR="006257C8">
        <w:t>co</w:t>
      </w:r>
      <w:r>
        <w:t>n</w:t>
      </w:r>
      <w:r w:rsidR="00D326E1">
        <w:t>tri</w:t>
      </w:r>
      <w:r>
        <w:t>bute</w:t>
      </w:r>
      <w:r w:rsidR="006257C8">
        <w:t xml:space="preserve"> </w:t>
      </w:r>
      <w:r w:rsidR="00BD2653">
        <w:t xml:space="preserve">$60 billion to the Australian economy. </w:t>
      </w:r>
    </w:p>
    <w:p w14:paraId="174CF785" w14:textId="361A0070" w:rsidR="00BD2653" w:rsidRDefault="00D326E1" w:rsidP="00E36BF1">
      <w:r>
        <w:t xml:space="preserve">The contribution of these large construction and resource projects to job creation is immense. </w:t>
      </w:r>
      <w:r w:rsidR="00BD2653">
        <w:t>Over the life of the Wheat</w:t>
      </w:r>
      <w:r w:rsidR="00C21C36">
        <w:t>stone project (2009-40)</w:t>
      </w:r>
      <w:r>
        <w:t xml:space="preserve"> for instance</w:t>
      </w:r>
      <w:r w:rsidR="00BD2653">
        <w:t>, Chevron estimate</w:t>
      </w:r>
      <w:r>
        <w:t>s</w:t>
      </w:r>
      <w:r w:rsidR="00BD2653">
        <w:t xml:space="preserve"> that 30,000 direct and indirect jobs will be created, at a rate of 1000 a year </w:t>
      </w:r>
      <w:r w:rsidR="006F2277">
        <w:t>adding over $180 billion to GDP</w:t>
      </w:r>
      <w:r w:rsidR="00BD2653">
        <w:rPr>
          <w:rStyle w:val="FootnoteReference"/>
        </w:rPr>
        <w:footnoteReference w:id="7"/>
      </w:r>
      <w:r w:rsidR="00CD3925">
        <w:t xml:space="preserve"> and </w:t>
      </w:r>
      <w:r w:rsidR="00CD3925" w:rsidRPr="009A3CB4">
        <w:t xml:space="preserve">contributing </w:t>
      </w:r>
      <w:r w:rsidR="00E0117A" w:rsidRPr="009A3CB4">
        <w:t xml:space="preserve">significant amounts </w:t>
      </w:r>
      <w:r w:rsidR="00CD3925" w:rsidRPr="009A3CB4">
        <w:t>to state and federal revenues</w:t>
      </w:r>
      <w:r w:rsidR="00C075F1" w:rsidRPr="009A3CB4">
        <w:t>.</w:t>
      </w:r>
      <w:r w:rsidR="00BD2653">
        <w:t xml:space="preserve"> </w:t>
      </w:r>
    </w:p>
    <w:p w14:paraId="074123B5" w14:textId="59C34096" w:rsidR="00E0117A" w:rsidRDefault="00E0117A" w:rsidP="00E0117A">
      <w:pPr>
        <w:rPr>
          <w:w w:val="100"/>
          <w:kern w:val="0"/>
          <w:lang w:eastAsia="en-AU"/>
        </w:rPr>
      </w:pPr>
      <w:r>
        <w:rPr>
          <w:lang w:eastAsia="en-AU"/>
        </w:rPr>
        <w:t xml:space="preserve">Similarly, Woodside’s </w:t>
      </w:r>
      <w:r>
        <w:t>Burrup Hub natural gas project is estimated to support the creation of an average of 4,000 full-time equivalent jobs per annum nationally over a 40-year timeframe (about half those jobs will be located in northern Western Australia). The Burrup Hub project is further estimated to have significant long</w:t>
      </w:r>
      <w:r w:rsidR="007038DC">
        <w:noBreakHyphen/>
      </w:r>
      <w:r>
        <w:t>term flow on effects to the Australian economy by boosting Australia’s G</w:t>
      </w:r>
      <w:r w:rsidR="009A3CB4">
        <w:t>DP</w:t>
      </w:r>
      <w:r>
        <w:t xml:space="preserve"> by $414 billion between the present and 2063 </w:t>
      </w:r>
      <w:r w:rsidRPr="009A3CB4">
        <w:t>and contributing significant amounts to state and federal revenues.</w:t>
      </w:r>
    </w:p>
    <w:p w14:paraId="37B706C2" w14:textId="77777777" w:rsidR="00D326E1" w:rsidRDefault="00AD6A0F" w:rsidP="00B0370A">
      <w:pPr>
        <w:rPr>
          <w:w w:val="100"/>
          <w:lang w:eastAsia="en-AU"/>
        </w:rPr>
      </w:pPr>
      <w:r w:rsidRPr="00AD6A0F">
        <w:rPr>
          <w:w w:val="100"/>
          <w:lang w:eastAsia="en-AU"/>
        </w:rPr>
        <w:t>Industries with the highest use of greenfields agreements, after the Construction industry (51 percent), are the</w:t>
      </w:r>
      <w:r w:rsidR="00D326E1">
        <w:rPr>
          <w:w w:val="100"/>
          <w:lang w:eastAsia="en-AU"/>
        </w:rPr>
        <w:t>:</w:t>
      </w:r>
    </w:p>
    <w:p w14:paraId="038B221D" w14:textId="77777777" w:rsidR="00D326E1" w:rsidRDefault="00AD6A0F" w:rsidP="00D326E1">
      <w:pPr>
        <w:pStyle w:val="ListParagraph"/>
        <w:numPr>
          <w:ilvl w:val="0"/>
          <w:numId w:val="25"/>
        </w:numPr>
        <w:rPr>
          <w:w w:val="100"/>
          <w:lang w:eastAsia="en-AU"/>
        </w:rPr>
      </w:pPr>
      <w:r w:rsidRPr="00D326E1">
        <w:rPr>
          <w:w w:val="100"/>
          <w:lang w:eastAsia="en-AU"/>
        </w:rPr>
        <w:t>Transport, Postal and Warehousi</w:t>
      </w:r>
      <w:r w:rsidR="00D326E1">
        <w:rPr>
          <w:w w:val="100"/>
          <w:lang w:eastAsia="en-AU"/>
        </w:rPr>
        <w:t xml:space="preserve">ng industry (12.7 per cent), </w:t>
      </w:r>
      <w:r w:rsidRPr="00D326E1">
        <w:rPr>
          <w:w w:val="100"/>
          <w:lang w:eastAsia="en-AU"/>
        </w:rPr>
        <w:t xml:space="preserve"> </w:t>
      </w:r>
    </w:p>
    <w:p w14:paraId="0BA859A7" w14:textId="77777777" w:rsidR="00D326E1" w:rsidRDefault="00AD6A0F" w:rsidP="00D326E1">
      <w:pPr>
        <w:pStyle w:val="ListParagraph"/>
        <w:numPr>
          <w:ilvl w:val="0"/>
          <w:numId w:val="25"/>
        </w:numPr>
        <w:rPr>
          <w:w w:val="100"/>
          <w:lang w:eastAsia="en-AU"/>
        </w:rPr>
      </w:pPr>
      <w:r w:rsidRPr="00D326E1">
        <w:rPr>
          <w:w w:val="100"/>
          <w:lang w:eastAsia="en-AU"/>
        </w:rPr>
        <w:t xml:space="preserve">Administrative and Support Services industry (12.4 per cent), </w:t>
      </w:r>
    </w:p>
    <w:p w14:paraId="54840819" w14:textId="77777777" w:rsidR="00D326E1" w:rsidRDefault="00AD6A0F" w:rsidP="00D326E1">
      <w:pPr>
        <w:pStyle w:val="ListParagraph"/>
        <w:numPr>
          <w:ilvl w:val="0"/>
          <w:numId w:val="25"/>
        </w:numPr>
        <w:rPr>
          <w:w w:val="100"/>
          <w:lang w:eastAsia="en-AU"/>
        </w:rPr>
      </w:pPr>
      <w:r w:rsidRPr="00D326E1">
        <w:rPr>
          <w:w w:val="100"/>
          <w:lang w:eastAsia="en-AU"/>
        </w:rPr>
        <w:t xml:space="preserve">Mining industry </w:t>
      </w:r>
      <w:r w:rsidR="00D326E1">
        <w:rPr>
          <w:w w:val="100"/>
          <w:lang w:eastAsia="en-AU"/>
        </w:rPr>
        <w:t xml:space="preserve">(5.2 per cent) </w:t>
      </w:r>
      <w:r w:rsidRPr="00D326E1">
        <w:rPr>
          <w:w w:val="100"/>
          <w:lang w:eastAsia="en-AU"/>
        </w:rPr>
        <w:t xml:space="preserve">and </w:t>
      </w:r>
    </w:p>
    <w:p w14:paraId="68379C45" w14:textId="6753211E" w:rsidR="00D326E1" w:rsidRDefault="00AD6A0F" w:rsidP="00D326E1">
      <w:pPr>
        <w:pStyle w:val="ListParagraph"/>
        <w:numPr>
          <w:ilvl w:val="0"/>
          <w:numId w:val="25"/>
        </w:numPr>
        <w:rPr>
          <w:w w:val="100"/>
          <w:lang w:eastAsia="en-AU"/>
        </w:rPr>
      </w:pPr>
      <w:r w:rsidRPr="00D326E1">
        <w:rPr>
          <w:w w:val="100"/>
          <w:lang w:eastAsia="en-AU"/>
        </w:rPr>
        <w:t>Manufacturing industry (5.2 per cent)</w:t>
      </w:r>
      <w:r w:rsidR="00324E0F">
        <w:rPr>
          <w:w w:val="100"/>
          <w:lang w:eastAsia="en-AU"/>
        </w:rPr>
        <w:t>.</w:t>
      </w:r>
      <w:r>
        <w:rPr>
          <w:rStyle w:val="FootnoteReference"/>
          <w:color w:val="000000"/>
          <w:w w:val="100"/>
          <w:kern w:val="0"/>
          <w:lang w:eastAsia="en-AU"/>
        </w:rPr>
        <w:footnoteReference w:id="8"/>
      </w:r>
      <w:r w:rsidRPr="00D326E1">
        <w:rPr>
          <w:w w:val="100"/>
          <w:lang w:eastAsia="en-AU"/>
        </w:rPr>
        <w:t xml:space="preserve"> </w:t>
      </w:r>
    </w:p>
    <w:p w14:paraId="3872E034" w14:textId="45906B55" w:rsidR="00B3627A" w:rsidRPr="00D326E1" w:rsidRDefault="00AD6A0F" w:rsidP="00472E65">
      <w:pPr>
        <w:rPr>
          <w:w w:val="100"/>
          <w:lang w:eastAsia="en-AU"/>
        </w:rPr>
      </w:pPr>
      <w:r w:rsidRPr="00D326E1">
        <w:rPr>
          <w:w w:val="100"/>
          <w:lang w:eastAsia="en-AU"/>
        </w:rPr>
        <w:t>Collectively, these five industries represent around 28.8 per cent of annual GDP</w:t>
      </w:r>
      <w:r w:rsidR="00324E0F">
        <w:rPr>
          <w:w w:val="100"/>
          <w:lang w:eastAsia="en-AU"/>
        </w:rPr>
        <w:t>.</w:t>
      </w:r>
      <w:r>
        <w:rPr>
          <w:rStyle w:val="FootnoteReference"/>
          <w:color w:val="000000"/>
          <w:w w:val="100"/>
          <w:kern w:val="0"/>
          <w:lang w:eastAsia="en-AU"/>
        </w:rPr>
        <w:footnoteReference w:id="9"/>
      </w:r>
      <w:r w:rsidRPr="00D326E1">
        <w:rPr>
          <w:w w:val="100"/>
          <w:lang w:eastAsia="en-AU"/>
        </w:rPr>
        <w:t xml:space="preserve"> </w:t>
      </w:r>
    </w:p>
    <w:p w14:paraId="2A0FFC44" w14:textId="77777777" w:rsidR="00BD2653" w:rsidRPr="00AD6A0F" w:rsidRDefault="00BD2653" w:rsidP="00B0370A">
      <w:pPr>
        <w:rPr>
          <w:w w:val="100"/>
          <w:lang w:eastAsia="en-AU"/>
        </w:rPr>
      </w:pPr>
      <w:r w:rsidRPr="00AD6A0F">
        <w:rPr>
          <w:w w:val="100"/>
          <w:lang w:eastAsia="en-AU"/>
        </w:rPr>
        <w:t xml:space="preserve">The incidence of greenfields agreements as a proportion of all current </w:t>
      </w:r>
      <w:r w:rsidR="00472E65">
        <w:rPr>
          <w:w w:val="100"/>
          <w:lang w:eastAsia="en-AU"/>
        </w:rPr>
        <w:t xml:space="preserve">enterprise </w:t>
      </w:r>
      <w:r w:rsidRPr="00AD6A0F">
        <w:rPr>
          <w:w w:val="100"/>
          <w:lang w:eastAsia="en-AU"/>
        </w:rPr>
        <w:t>agreements has declined significantly over</w:t>
      </w:r>
      <w:r w:rsidR="006257C8">
        <w:rPr>
          <w:w w:val="100"/>
          <w:lang w:eastAsia="en-AU"/>
        </w:rPr>
        <w:t> </w:t>
      </w:r>
      <w:r w:rsidRPr="00AD6A0F">
        <w:rPr>
          <w:w w:val="100"/>
          <w:lang w:eastAsia="en-AU"/>
        </w:rPr>
        <w:t xml:space="preserve">the past five years, from 8.35 per cent in 2014 to 3.12 per cent as at March 2019. </w:t>
      </w:r>
      <w:r w:rsidR="00FB7E1F" w:rsidRPr="00AD6A0F">
        <w:rPr>
          <w:w w:val="100"/>
          <w:lang w:eastAsia="en-AU"/>
        </w:rPr>
        <w:t xml:space="preserve">The </w:t>
      </w:r>
      <w:r w:rsidRPr="00AD6A0F">
        <w:rPr>
          <w:w w:val="100"/>
          <w:lang w:eastAsia="en-AU"/>
        </w:rPr>
        <w:t xml:space="preserve">average duration of greenfields agreements has remained constant and in line with other agreements, at 3.23 years. </w:t>
      </w:r>
    </w:p>
    <w:p w14:paraId="424D7A38" w14:textId="77777777" w:rsidR="0043385F" w:rsidRPr="00A25324" w:rsidRDefault="0043385F" w:rsidP="00A25324">
      <w:pPr>
        <w:pStyle w:val="Heading2"/>
      </w:pPr>
      <w:r w:rsidRPr="00A25324">
        <w:t xml:space="preserve">Issue </w:t>
      </w:r>
    </w:p>
    <w:p w14:paraId="7F9089B7" w14:textId="77777777" w:rsidR="00571462" w:rsidRDefault="00571462" w:rsidP="00571462">
      <w:r>
        <w:t>B</w:t>
      </w:r>
      <w:r w:rsidRPr="006353AF">
        <w:t>usinesses</w:t>
      </w:r>
      <w:r>
        <w:t>, communities and governments require infrastructure projects to be delivered on time and on budget. These projects often cover the construction of much-needed public infrastructure, such as hospitals, roads and schools, and require complex long-term planning and future investment in these projects will depend, in large part, on Australia being able to demonstrate an ability and track record of being able to deliver such projects without uncertainty about costs (including labour costs) and project delays. In this sense, the ability to predict the budget of the projects and deliver the project within a reasonable budget is the key to attracting investment and so create jobs.</w:t>
      </w:r>
    </w:p>
    <w:p w14:paraId="61A10457" w14:textId="607813C8" w:rsidR="0043385F" w:rsidRDefault="0043385F" w:rsidP="00E36BF1">
      <w:r>
        <w:t>I</w:t>
      </w:r>
      <w:r w:rsidRPr="00AE39B2">
        <w:t>n 2015, t</w:t>
      </w:r>
      <w:r w:rsidRPr="003E0A43">
        <w:t xml:space="preserve">he Productivity Commission </w:t>
      </w:r>
      <w:r>
        <w:t>acknowledged this, finding</w:t>
      </w:r>
      <w:r w:rsidRPr="003E0A43">
        <w:t xml:space="preserve"> </w:t>
      </w:r>
      <w:r>
        <w:t xml:space="preserve">that </w:t>
      </w:r>
      <w:r w:rsidRPr="003E0A43">
        <w:t>‘large capital-intensive projects require some</w:t>
      </w:r>
      <w:r>
        <w:t> </w:t>
      </w:r>
      <w:r w:rsidRPr="003E0A43">
        <w:t xml:space="preserve">certainty about the start date of the project to secure finance, to plan the project </w:t>
      </w:r>
      <w:r w:rsidR="00622173">
        <w:t>[</w:t>
      </w:r>
      <w:r w:rsidRPr="003E0A43">
        <w:t>…</w:t>
      </w:r>
      <w:r w:rsidR="00622173">
        <w:t>]</w:t>
      </w:r>
      <w:r w:rsidRPr="003E0A43">
        <w:t xml:space="preserve"> and to </w:t>
      </w:r>
      <w:r w:rsidR="00622173">
        <w:t>[</w:t>
      </w:r>
      <w:r w:rsidRPr="003E0A43">
        <w:t>…</w:t>
      </w:r>
      <w:r w:rsidR="00622173">
        <w:t>]</w:t>
      </w:r>
      <w:r w:rsidRPr="003E0A43">
        <w:t xml:space="preserve"> manage risk’</w:t>
      </w:r>
      <w:r>
        <w:rPr>
          <w:rStyle w:val="FootnoteReference"/>
        </w:rPr>
        <w:footnoteReference w:id="10"/>
      </w:r>
      <w:r>
        <w:t xml:space="preserve"> and </w:t>
      </w:r>
      <w:r w:rsidRPr="003E0A43">
        <w:t xml:space="preserve">acknowledged that ‘[s]ecuring a greenfields agreement can be important for negotiating finance and securing </w:t>
      </w:r>
      <w:r w:rsidRPr="00AE39B2">
        <w:t xml:space="preserve">investment’ necessary for </w:t>
      </w:r>
      <w:r w:rsidRPr="00736C42">
        <w:t>undertaking a</w:t>
      </w:r>
      <w:r w:rsidR="00960976">
        <w:t xml:space="preserve"> project</w:t>
      </w:r>
      <w:r w:rsidR="00324E0F">
        <w:t>.</w:t>
      </w:r>
      <w:r>
        <w:rPr>
          <w:rStyle w:val="FootnoteReference"/>
        </w:rPr>
        <w:footnoteReference w:id="11"/>
      </w:r>
      <w:r>
        <w:t xml:space="preserve"> </w:t>
      </w:r>
    </w:p>
    <w:p w14:paraId="793057AB" w14:textId="77777777" w:rsidR="0043385F" w:rsidRDefault="0043385F" w:rsidP="00E36BF1">
      <w:r>
        <w:t>Importantly, g</w:t>
      </w:r>
      <w:r w:rsidRPr="006353AF">
        <w:t>reenfields agreement</w:t>
      </w:r>
      <w:r w:rsidRPr="009337B1">
        <w:t xml:space="preserve">s </w:t>
      </w:r>
      <w:r w:rsidR="00472E65">
        <w:t xml:space="preserve">can substantially </w:t>
      </w:r>
      <w:r>
        <w:t>assist in providing</w:t>
      </w:r>
      <w:r w:rsidRPr="006353AF">
        <w:t xml:space="preserve"> greater certainty about </w:t>
      </w:r>
      <w:r>
        <w:t>overall project c</w:t>
      </w:r>
      <w:r w:rsidRPr="009337B1">
        <w:t>osts</w:t>
      </w:r>
      <w:r>
        <w:t xml:space="preserve"> and timeframes. They are often an essential step in securing finance and other project approvals</w:t>
      </w:r>
      <w:r w:rsidR="006C2661">
        <w:t>,</w:t>
      </w:r>
      <w:r>
        <w:t xml:space="preserve"> and reduce the possibility of project delays through a moratorium on industrial action until the agreement expires.</w:t>
      </w:r>
    </w:p>
    <w:p w14:paraId="4EA021B3" w14:textId="77777777" w:rsidR="006257C8" w:rsidRDefault="0043385F" w:rsidP="00E36BF1">
      <w:r>
        <w:t>When project delays do occur, for example due to industrial action, businesses are likely to continue to have financial obligations for projects, plant and equipment hire. The</w:t>
      </w:r>
      <w:r w:rsidRPr="003E0A43">
        <w:t xml:space="preserve"> construction </w:t>
      </w:r>
      <w:r w:rsidRPr="00525B22">
        <w:t xml:space="preserve">industry </w:t>
      </w:r>
      <w:r>
        <w:t>has reported</w:t>
      </w:r>
      <w:r w:rsidRPr="003E0A43">
        <w:t xml:space="preserve"> that the expiry of greenfields agreements before the end of a project can </w:t>
      </w:r>
      <w:r w:rsidRPr="00525B22">
        <w:t xml:space="preserve">increase construction costs. </w:t>
      </w:r>
    </w:p>
    <w:p w14:paraId="70399D20" w14:textId="56F431AB" w:rsidR="0043385F" w:rsidRDefault="0043385F" w:rsidP="00E36BF1">
      <w:r>
        <w:t>In particular, the</w:t>
      </w:r>
      <w:r w:rsidRPr="00525B22">
        <w:t xml:space="preserve"> Master Builders Australia’s analysis of the building and construction industry and the working days lost to industrial </w:t>
      </w:r>
      <w:r w:rsidR="009F72D1">
        <w:t>disputation</w:t>
      </w:r>
      <w:r w:rsidRPr="00525B22">
        <w:t xml:space="preserve"> found </w:t>
      </w:r>
      <w:r>
        <w:t xml:space="preserve">that </w:t>
      </w:r>
      <w:r w:rsidRPr="00525B22">
        <w:t xml:space="preserve">union activity </w:t>
      </w:r>
      <w:r>
        <w:t xml:space="preserve">can </w:t>
      </w:r>
      <w:r w:rsidRPr="00525B22">
        <w:t>increase project costs by ‘up to 30</w:t>
      </w:r>
      <w:r w:rsidR="006257C8">
        <w:t> </w:t>
      </w:r>
      <w:r w:rsidRPr="00525B22">
        <w:t>per</w:t>
      </w:r>
      <w:r w:rsidR="006257C8">
        <w:t> </w:t>
      </w:r>
      <w:r w:rsidRPr="00525B22">
        <w:t>cent</w:t>
      </w:r>
      <w:r>
        <w:t>’</w:t>
      </w:r>
      <w:r w:rsidR="00324E0F">
        <w:t>.</w:t>
      </w:r>
      <w:r>
        <w:rPr>
          <w:rStyle w:val="FootnoteReference"/>
        </w:rPr>
        <w:footnoteReference w:id="12"/>
      </w:r>
    </w:p>
    <w:p w14:paraId="6D4DD14E" w14:textId="17DD8417" w:rsidR="0043385F" w:rsidRDefault="0043385F" w:rsidP="00E36BF1">
      <w:r w:rsidRPr="00DC29C2">
        <w:t>Overall</w:t>
      </w:r>
      <w:r>
        <w:t>,</w:t>
      </w:r>
      <w:r w:rsidRPr="00DC29C2">
        <w:t xml:space="preserve"> industrial uncertainty and the impact of industrial action can add significant cost</w:t>
      </w:r>
      <w:r>
        <w:t>s</w:t>
      </w:r>
      <w:r w:rsidRPr="00DC29C2">
        <w:t xml:space="preserve"> and delay to major infrastructure projects, many of which are</w:t>
      </w:r>
      <w:r>
        <w:t>,</w:t>
      </w:r>
      <w:r w:rsidRPr="00DC29C2">
        <w:t xml:space="preserve"> at least in part, funded by the taxpayer.</w:t>
      </w:r>
      <w:r>
        <w:t xml:space="preserve"> Th</w:t>
      </w:r>
      <w:r w:rsidRPr="003E0A43">
        <w:t>e</w:t>
      </w:r>
      <w:r w:rsidRPr="003D3710">
        <w:t xml:space="preserve"> Productivity Commission</w:t>
      </w:r>
      <w:r>
        <w:t xml:space="preserve"> stated </w:t>
      </w:r>
      <w:r w:rsidRPr="003D3710">
        <w:t xml:space="preserve">that </w:t>
      </w:r>
      <w:r>
        <w:t xml:space="preserve">any </w:t>
      </w:r>
      <w:r w:rsidRPr="003D3710">
        <w:t>weaknesses in bargaining</w:t>
      </w:r>
      <w:r>
        <w:t xml:space="preserve"> </w:t>
      </w:r>
      <w:r w:rsidRPr="003D3710">
        <w:t xml:space="preserve">for a </w:t>
      </w:r>
      <w:r>
        <w:t>greenfields agreement</w:t>
      </w:r>
      <w:r w:rsidRPr="003D3710">
        <w:t xml:space="preserve"> can have ‘potentially large impacts on major project investment in Australia’ and that current arrangements ‘pose risks for large capital</w:t>
      </w:r>
      <w:r w:rsidR="006257C8">
        <w:noBreakHyphen/>
      </w:r>
      <w:r w:rsidRPr="003D3710">
        <w:t xml:space="preserve">intensive projects with urgent </w:t>
      </w:r>
      <w:r w:rsidR="00201166" w:rsidRPr="003D3710">
        <w:t>timeframes</w:t>
      </w:r>
      <w:r w:rsidR="00201166">
        <w:t>’</w:t>
      </w:r>
      <w:r w:rsidR="00324E0F">
        <w:t>.</w:t>
      </w:r>
      <w:r>
        <w:rPr>
          <w:rStyle w:val="FootnoteReference"/>
        </w:rPr>
        <w:footnoteReference w:id="13"/>
      </w:r>
      <w:r w:rsidR="00201166">
        <w:t xml:space="preserve"> This, in turn, poses significant risks to job creation in Australia.</w:t>
      </w:r>
    </w:p>
    <w:p w14:paraId="5D6380C4" w14:textId="2800D105" w:rsidR="00DB24D0" w:rsidRPr="00C93B21" w:rsidRDefault="00960976" w:rsidP="00A25324">
      <w:pPr>
        <w:pStyle w:val="Heading2"/>
      </w:pPr>
      <w:bookmarkStart w:id="0" w:name="_GoBack"/>
      <w:bookmarkEnd w:id="0"/>
      <w:r>
        <w:t>Reform o</w:t>
      </w:r>
      <w:r w:rsidR="00467755" w:rsidRPr="00C93B21">
        <w:t>ption</w:t>
      </w:r>
    </w:p>
    <w:p w14:paraId="4D4FBA8A" w14:textId="6D603704" w:rsidR="002871D9" w:rsidRDefault="00B827BD" w:rsidP="00E36BF1">
      <w:r>
        <w:t>T</w:t>
      </w:r>
      <w:r w:rsidR="00DD080A">
        <w:t>he</w:t>
      </w:r>
      <w:r w:rsidR="003D3710" w:rsidRPr="003D3710">
        <w:t xml:space="preserve"> Productivity Commission</w:t>
      </w:r>
      <w:r w:rsidR="00DD080A">
        <w:t xml:space="preserve"> </w:t>
      </w:r>
      <w:r>
        <w:t xml:space="preserve">and some industry stakeholders </w:t>
      </w:r>
      <w:r w:rsidR="00DD080A">
        <w:t xml:space="preserve">have indicated there </w:t>
      </w:r>
      <w:r w:rsidR="001152E9">
        <w:t>may be</w:t>
      </w:r>
      <w:r w:rsidR="00DD080A">
        <w:t xml:space="preserve"> merit in allowing </w:t>
      </w:r>
      <w:r w:rsidR="001C19A5">
        <w:t xml:space="preserve">the </w:t>
      </w:r>
      <w:r w:rsidR="00467755">
        <w:t xml:space="preserve">nominal expiry date </w:t>
      </w:r>
      <w:r w:rsidR="003D3710" w:rsidRPr="003D3710">
        <w:t xml:space="preserve">of a </w:t>
      </w:r>
      <w:r w:rsidR="00D07CA7">
        <w:t>g</w:t>
      </w:r>
      <w:r w:rsidR="00887552">
        <w:t>reenfields enterprise agreement</w:t>
      </w:r>
      <w:r w:rsidR="003D3710" w:rsidRPr="003D3710">
        <w:t xml:space="preserve"> </w:t>
      </w:r>
      <w:r w:rsidR="00DD080A">
        <w:t>to better align with the life of longer</w:t>
      </w:r>
      <w:r w:rsidR="00C1729A">
        <w:t>-</w:t>
      </w:r>
      <w:r w:rsidR="00DD080A">
        <w:t>term building and construction projects or similar</w:t>
      </w:r>
      <w:r w:rsidR="00887552">
        <w:t xml:space="preserve"> types of major projects.</w:t>
      </w:r>
      <w:r w:rsidR="00C1729A">
        <w:t xml:space="preserve"> </w:t>
      </w:r>
      <w:r>
        <w:t>In fact, t</w:t>
      </w:r>
      <w:r w:rsidR="00C1729A" w:rsidRPr="00C1729A">
        <w:t xml:space="preserve">he Productivity Commission </w:t>
      </w:r>
      <w:r w:rsidR="008D69EF">
        <w:t>estimated</w:t>
      </w:r>
      <w:r w:rsidR="00C1729A" w:rsidRPr="00C1729A">
        <w:t xml:space="preserve"> that extending the nominal expiry date of a greenfields agreement would capture the full length of</w:t>
      </w:r>
      <w:r w:rsidR="006257C8">
        <w:t> </w:t>
      </w:r>
      <w:r w:rsidR="00C1729A" w:rsidRPr="00C1729A">
        <w:t>an additional 9 per cent of construction projects</w:t>
      </w:r>
      <w:r w:rsidR="00324E0F">
        <w:t>.</w:t>
      </w:r>
      <w:r w:rsidR="00E9041F">
        <w:rPr>
          <w:rStyle w:val="FootnoteReference"/>
        </w:rPr>
        <w:footnoteReference w:id="14"/>
      </w:r>
      <w:r w:rsidR="00887552">
        <w:t xml:space="preserve"> </w:t>
      </w:r>
      <w:r w:rsidR="009F67CE">
        <w:t>P</w:t>
      </w:r>
      <w:r w:rsidR="00E40AD6">
        <w:t>rior to the last election, the Labor Opposition indicated that it was open</w:t>
      </w:r>
      <w:r w:rsidR="00383227">
        <w:t>-</w:t>
      </w:r>
      <w:r w:rsidR="00E40AD6">
        <w:t>minded to reform of this type</w:t>
      </w:r>
      <w:r w:rsidR="00324E0F">
        <w:t>.</w:t>
      </w:r>
      <w:r w:rsidR="00E02447">
        <w:rPr>
          <w:rStyle w:val="FootnoteReference"/>
        </w:rPr>
        <w:footnoteReference w:id="15"/>
      </w:r>
    </w:p>
    <w:p w14:paraId="48BF3B53" w14:textId="77777777" w:rsidR="00201166" w:rsidRDefault="00887552" w:rsidP="00E36BF1">
      <w:r>
        <w:t xml:space="preserve">Potential </w:t>
      </w:r>
      <w:r w:rsidR="00DD080A">
        <w:t xml:space="preserve">benefits </w:t>
      </w:r>
      <w:r w:rsidR="001C19A5">
        <w:t xml:space="preserve">of </w:t>
      </w:r>
      <w:r w:rsidR="005E469E">
        <w:t xml:space="preserve">longer </w:t>
      </w:r>
      <w:r w:rsidR="00467755">
        <w:t>project agreement</w:t>
      </w:r>
      <w:r w:rsidR="005E469E">
        <w:t>s</w:t>
      </w:r>
      <w:r w:rsidR="00467755">
        <w:t xml:space="preserve"> </w:t>
      </w:r>
      <w:r w:rsidR="00DD080A">
        <w:t xml:space="preserve">include </w:t>
      </w:r>
      <w:r w:rsidR="00201166">
        <w:t>the following:</w:t>
      </w:r>
    </w:p>
    <w:p w14:paraId="6B53B4DE" w14:textId="77777777" w:rsidR="00201166" w:rsidRDefault="00DD080A" w:rsidP="00201166">
      <w:pPr>
        <w:pStyle w:val="ListParagraph"/>
        <w:numPr>
          <w:ilvl w:val="0"/>
          <w:numId w:val="26"/>
        </w:numPr>
      </w:pPr>
      <w:r>
        <w:t>industrial certai</w:t>
      </w:r>
      <w:r w:rsidR="005166A3">
        <w:t xml:space="preserve">nty for employers and investors, </w:t>
      </w:r>
    </w:p>
    <w:p w14:paraId="054EA110" w14:textId="483FFE60" w:rsidR="00201166" w:rsidRDefault="00DD080A" w:rsidP="00201166">
      <w:pPr>
        <w:pStyle w:val="ListParagraph"/>
        <w:numPr>
          <w:ilvl w:val="0"/>
          <w:numId w:val="26"/>
        </w:numPr>
      </w:pPr>
      <w:r>
        <w:t xml:space="preserve">better wages and conditions </w:t>
      </w:r>
      <w:r w:rsidR="00887552">
        <w:t>for employees</w:t>
      </w:r>
      <w:r w:rsidR="00201166">
        <w:t>,</w:t>
      </w:r>
      <w:r w:rsidR="005166A3">
        <w:t xml:space="preserve"> and </w:t>
      </w:r>
    </w:p>
    <w:p w14:paraId="20A7763A" w14:textId="77777777" w:rsidR="00195E26" w:rsidRDefault="00195E26" w:rsidP="00195E26">
      <w:pPr>
        <w:pStyle w:val="ListParagraph"/>
      </w:pPr>
    </w:p>
    <w:p w14:paraId="28D602E0" w14:textId="77777777" w:rsidR="00195E26" w:rsidRDefault="00195E26" w:rsidP="00195E26">
      <w:pPr>
        <w:pStyle w:val="ListParagraph"/>
      </w:pPr>
    </w:p>
    <w:p w14:paraId="34859265" w14:textId="0FE394F4" w:rsidR="00695EED" w:rsidRDefault="005166A3" w:rsidP="00201166">
      <w:pPr>
        <w:pStyle w:val="ListParagraph"/>
        <w:numPr>
          <w:ilvl w:val="0"/>
          <w:numId w:val="26"/>
        </w:numPr>
      </w:pPr>
      <w:r>
        <w:t xml:space="preserve">to the extent </w:t>
      </w:r>
      <w:r w:rsidR="005E469E">
        <w:t>it</w:t>
      </w:r>
      <w:r>
        <w:t xml:space="preserve"> encourage</w:t>
      </w:r>
      <w:r w:rsidR="005E469E">
        <w:t>s</w:t>
      </w:r>
      <w:r>
        <w:t xml:space="preserve"> the making of </w:t>
      </w:r>
      <w:r w:rsidR="00887552">
        <w:t>greenfields agreements</w:t>
      </w:r>
      <w:r>
        <w:t>, improve</w:t>
      </w:r>
      <w:r w:rsidR="001152E9">
        <w:t>d</w:t>
      </w:r>
      <w:r w:rsidR="00713A79">
        <w:t xml:space="preserve"> </w:t>
      </w:r>
      <w:r w:rsidR="003B740A">
        <w:t>engagement with</w:t>
      </w:r>
      <w:r w:rsidR="001C19A5">
        <w:t> </w:t>
      </w:r>
      <w:r w:rsidR="00F661A9">
        <w:t xml:space="preserve">enterprise </w:t>
      </w:r>
      <w:r w:rsidR="00713A79">
        <w:t>bargaining</w:t>
      </w:r>
      <w:r w:rsidR="00D07CA7">
        <w:t xml:space="preserve"> generally</w:t>
      </w:r>
      <w:r>
        <w:t xml:space="preserve">, </w:t>
      </w:r>
      <w:r w:rsidR="00713A79">
        <w:t>consistent with Fair</w:t>
      </w:r>
      <w:r w:rsidR="002871D9">
        <w:t> </w:t>
      </w:r>
      <w:r w:rsidR="00713A79">
        <w:t>Work Act objectives</w:t>
      </w:r>
      <w:r w:rsidR="00E40AD6">
        <w:t xml:space="preserve"> and the opportunity to</w:t>
      </w:r>
      <w:r w:rsidR="00201166">
        <w:t xml:space="preserve"> generate higher rates </w:t>
      </w:r>
      <w:r w:rsidR="006C2661">
        <w:t xml:space="preserve">of </w:t>
      </w:r>
      <w:r w:rsidR="00201166">
        <w:t>involvement in these types of projects and so supercharge Australia’s job growth</w:t>
      </w:r>
      <w:r w:rsidR="00DD080A">
        <w:t xml:space="preserve">. </w:t>
      </w:r>
    </w:p>
    <w:p w14:paraId="034DED49" w14:textId="77777777" w:rsidR="00DD080A" w:rsidRDefault="002871D9" w:rsidP="00E36BF1">
      <w:r>
        <w:t xml:space="preserve">Conversely, some parties </w:t>
      </w:r>
      <w:r w:rsidR="00F661A9">
        <w:t xml:space="preserve">have expressed </w:t>
      </w:r>
      <w:r>
        <w:t xml:space="preserve">concern that </w:t>
      </w:r>
      <w:r w:rsidR="005E469E">
        <w:t xml:space="preserve">permitting a </w:t>
      </w:r>
      <w:r>
        <w:t xml:space="preserve">longer </w:t>
      </w:r>
      <w:r w:rsidR="00EA22E3">
        <w:t>nominal expiry date</w:t>
      </w:r>
      <w:r w:rsidR="00F661A9">
        <w:t xml:space="preserve"> for a greenfields agreement,</w:t>
      </w:r>
      <w:r>
        <w:t xml:space="preserve"> </w:t>
      </w:r>
      <w:r w:rsidR="00EB7F5A">
        <w:t>decreases flexibility</w:t>
      </w:r>
      <w:r>
        <w:t xml:space="preserve"> over the long term, </w:t>
      </w:r>
      <w:r w:rsidR="005E469E">
        <w:t>and</w:t>
      </w:r>
      <w:r w:rsidR="00F661A9">
        <w:t xml:space="preserve"> </w:t>
      </w:r>
      <w:r>
        <w:t>prevent</w:t>
      </w:r>
      <w:r w:rsidR="005E469E">
        <w:t>s</w:t>
      </w:r>
      <w:r>
        <w:t xml:space="preserve"> </w:t>
      </w:r>
      <w:r w:rsidR="005E469E">
        <w:t>the parties</w:t>
      </w:r>
      <w:r w:rsidR="00220E26">
        <w:t>’ ability to</w:t>
      </w:r>
      <w:r w:rsidR="005E469E">
        <w:t xml:space="preserve"> </w:t>
      </w:r>
      <w:r w:rsidR="00220E26">
        <w:t xml:space="preserve">adapt </w:t>
      </w:r>
      <w:r>
        <w:t>to change</w:t>
      </w:r>
      <w:r w:rsidR="00B827BD">
        <w:t>d</w:t>
      </w:r>
      <w:r>
        <w:t xml:space="preserve"> economic and market conditions</w:t>
      </w:r>
      <w:r w:rsidR="00F661A9">
        <w:t xml:space="preserve"> and other unforeseen events</w:t>
      </w:r>
      <w:r>
        <w:t xml:space="preserve">. </w:t>
      </w:r>
    </w:p>
    <w:p w14:paraId="5F94ACA9" w14:textId="77777777" w:rsidR="00DD080A" w:rsidRPr="00C93B21" w:rsidRDefault="00DD080A" w:rsidP="00A25324">
      <w:pPr>
        <w:pStyle w:val="Heading2"/>
      </w:pPr>
      <w:r w:rsidRPr="00C93B21">
        <w:t>Discussion Questions</w:t>
      </w:r>
    </w:p>
    <w:p w14:paraId="65B0B081" w14:textId="77777777" w:rsidR="00FB2BF9" w:rsidRDefault="00FB2BF9" w:rsidP="006257C8">
      <w:pPr>
        <w:pStyle w:val="Default"/>
        <w:numPr>
          <w:ilvl w:val="0"/>
          <w:numId w:val="22"/>
        </w:numPr>
        <w:spacing w:before="120"/>
        <w:ind w:left="714" w:hanging="357"/>
        <w:rPr>
          <w:sz w:val="22"/>
          <w:szCs w:val="22"/>
        </w:rPr>
      </w:pPr>
      <w:r>
        <w:rPr>
          <w:sz w:val="22"/>
          <w:szCs w:val="22"/>
        </w:rPr>
        <w:t xml:space="preserve">Are there </w:t>
      </w:r>
      <w:r w:rsidRPr="007A6F2F">
        <w:rPr>
          <w:sz w:val="22"/>
          <w:szCs w:val="22"/>
        </w:rPr>
        <w:t>examples o</w:t>
      </w:r>
      <w:r>
        <w:rPr>
          <w:sz w:val="22"/>
          <w:szCs w:val="22"/>
        </w:rPr>
        <w:t>r</w:t>
      </w:r>
      <w:r w:rsidRPr="007A6F2F">
        <w:rPr>
          <w:sz w:val="22"/>
          <w:szCs w:val="22"/>
        </w:rPr>
        <w:t xml:space="preserve"> case studies where projects have been delayed or </w:t>
      </w:r>
      <w:r w:rsidR="005166A3">
        <w:rPr>
          <w:sz w:val="22"/>
          <w:szCs w:val="22"/>
        </w:rPr>
        <w:t>deferred</w:t>
      </w:r>
      <w:r w:rsidRPr="007A6F2F">
        <w:rPr>
          <w:sz w:val="22"/>
          <w:szCs w:val="22"/>
        </w:rPr>
        <w:t xml:space="preserve"> </w:t>
      </w:r>
      <w:r w:rsidR="005166A3">
        <w:rPr>
          <w:sz w:val="22"/>
          <w:szCs w:val="22"/>
        </w:rPr>
        <w:t>because a greenfields agreement has reached its nominal expiry date, and there is difficulty in negotiating a new agreement</w:t>
      </w:r>
      <w:r>
        <w:rPr>
          <w:sz w:val="22"/>
          <w:szCs w:val="22"/>
        </w:rPr>
        <w:t>?</w:t>
      </w:r>
    </w:p>
    <w:p w14:paraId="46701EED" w14:textId="77777777" w:rsidR="00632C93" w:rsidRDefault="00632C93" w:rsidP="006257C8">
      <w:pPr>
        <w:pStyle w:val="Default"/>
        <w:numPr>
          <w:ilvl w:val="0"/>
          <w:numId w:val="22"/>
        </w:numPr>
        <w:spacing w:before="120"/>
        <w:ind w:left="714" w:hanging="357"/>
        <w:rPr>
          <w:sz w:val="22"/>
          <w:szCs w:val="22"/>
        </w:rPr>
      </w:pPr>
      <w:r>
        <w:rPr>
          <w:sz w:val="22"/>
          <w:szCs w:val="22"/>
        </w:rPr>
        <w:t>What are the implications of this occurr</w:t>
      </w:r>
      <w:r w:rsidR="007D52E3">
        <w:rPr>
          <w:sz w:val="22"/>
          <w:szCs w:val="22"/>
        </w:rPr>
        <w:t>ing</w:t>
      </w:r>
      <w:r>
        <w:rPr>
          <w:sz w:val="22"/>
          <w:szCs w:val="22"/>
        </w:rPr>
        <w:t>?</w:t>
      </w:r>
    </w:p>
    <w:p w14:paraId="565F50AC" w14:textId="44FC604B" w:rsidR="00632C93" w:rsidRDefault="007A6F2F" w:rsidP="006257C8">
      <w:pPr>
        <w:pStyle w:val="Default"/>
        <w:numPr>
          <w:ilvl w:val="0"/>
          <w:numId w:val="22"/>
        </w:numPr>
        <w:spacing w:before="120"/>
        <w:ind w:left="714" w:hanging="357"/>
        <w:rPr>
          <w:sz w:val="22"/>
          <w:szCs w:val="22"/>
        </w:rPr>
      </w:pPr>
      <w:r w:rsidRPr="00C1729A">
        <w:rPr>
          <w:sz w:val="22"/>
          <w:szCs w:val="22"/>
        </w:rPr>
        <w:t xml:space="preserve">Does the current 4 year maximum term for a </w:t>
      </w:r>
      <w:r w:rsidR="005166A3" w:rsidRPr="00C1729A">
        <w:rPr>
          <w:sz w:val="22"/>
          <w:szCs w:val="22"/>
        </w:rPr>
        <w:t>g</w:t>
      </w:r>
      <w:r w:rsidR="00887552" w:rsidRPr="00C1729A">
        <w:rPr>
          <w:sz w:val="22"/>
          <w:szCs w:val="22"/>
        </w:rPr>
        <w:t>reenfields enterprise agreement</w:t>
      </w:r>
      <w:r w:rsidRPr="00C1729A">
        <w:rPr>
          <w:sz w:val="22"/>
          <w:szCs w:val="22"/>
        </w:rPr>
        <w:t xml:space="preserve"> represent a significant problem for employers, workers </w:t>
      </w:r>
      <w:r w:rsidR="00EB7F5A">
        <w:rPr>
          <w:sz w:val="22"/>
          <w:szCs w:val="22"/>
        </w:rPr>
        <w:t>and proponents of</w:t>
      </w:r>
      <w:r w:rsidR="00CD3925">
        <w:rPr>
          <w:sz w:val="22"/>
          <w:szCs w:val="22"/>
        </w:rPr>
        <w:t>,</w:t>
      </w:r>
      <w:r w:rsidR="00EB7F5A">
        <w:rPr>
          <w:sz w:val="22"/>
          <w:szCs w:val="22"/>
        </w:rPr>
        <w:t xml:space="preserve"> or </w:t>
      </w:r>
      <w:r w:rsidRPr="00C1729A">
        <w:rPr>
          <w:sz w:val="22"/>
          <w:szCs w:val="22"/>
        </w:rPr>
        <w:t>investors</w:t>
      </w:r>
      <w:r w:rsidR="00EB7F5A">
        <w:rPr>
          <w:sz w:val="22"/>
          <w:szCs w:val="22"/>
        </w:rPr>
        <w:t xml:space="preserve"> in</w:t>
      </w:r>
      <w:r w:rsidR="00CD3925">
        <w:rPr>
          <w:sz w:val="22"/>
          <w:szCs w:val="22"/>
        </w:rPr>
        <w:t>,</w:t>
      </w:r>
      <w:r w:rsidR="00EB7F5A">
        <w:rPr>
          <w:sz w:val="22"/>
          <w:szCs w:val="22"/>
        </w:rPr>
        <w:t xml:space="preserve"> greenfields projects</w:t>
      </w:r>
      <w:r w:rsidRPr="00C1729A">
        <w:rPr>
          <w:sz w:val="22"/>
          <w:szCs w:val="22"/>
        </w:rPr>
        <w:t xml:space="preserve">? </w:t>
      </w:r>
    </w:p>
    <w:p w14:paraId="21A6C9E0" w14:textId="77777777" w:rsidR="00E36BF1" w:rsidRPr="00647DBF" w:rsidRDefault="00EB7F5A" w:rsidP="006257C8">
      <w:pPr>
        <w:pStyle w:val="Default"/>
        <w:numPr>
          <w:ilvl w:val="0"/>
          <w:numId w:val="22"/>
        </w:numPr>
        <w:spacing w:before="120"/>
        <w:ind w:left="714" w:hanging="357"/>
        <w:rPr>
          <w:sz w:val="22"/>
          <w:szCs w:val="22"/>
        </w:rPr>
      </w:pPr>
      <w:r>
        <w:rPr>
          <w:sz w:val="22"/>
          <w:szCs w:val="22"/>
        </w:rPr>
        <w:t>Should there need to be a</w:t>
      </w:r>
      <w:r w:rsidR="00E36BF1" w:rsidRPr="00647DBF">
        <w:rPr>
          <w:sz w:val="22"/>
          <w:szCs w:val="22"/>
        </w:rPr>
        <w:t xml:space="preserve"> maximum length</w:t>
      </w:r>
      <w:r w:rsidR="00E36BF1">
        <w:rPr>
          <w:sz w:val="22"/>
          <w:szCs w:val="22"/>
        </w:rPr>
        <w:t xml:space="preserve"> </w:t>
      </w:r>
      <w:r>
        <w:rPr>
          <w:sz w:val="22"/>
          <w:szCs w:val="22"/>
        </w:rPr>
        <w:t>to</w:t>
      </w:r>
      <w:r w:rsidR="00E36BF1">
        <w:rPr>
          <w:sz w:val="22"/>
          <w:szCs w:val="22"/>
        </w:rPr>
        <w:t xml:space="preserve"> a greenfields enterprise agreement</w:t>
      </w:r>
      <w:r>
        <w:rPr>
          <w:sz w:val="22"/>
          <w:szCs w:val="22"/>
        </w:rPr>
        <w:t xml:space="preserve"> at all, and if so what should it</w:t>
      </w:r>
      <w:r w:rsidR="00E36BF1" w:rsidRPr="00647DBF">
        <w:rPr>
          <w:sz w:val="22"/>
          <w:szCs w:val="22"/>
        </w:rPr>
        <w:t xml:space="preserve"> be and why? </w:t>
      </w:r>
    </w:p>
    <w:p w14:paraId="169B65BA" w14:textId="77777777" w:rsidR="00FC32B0" w:rsidRDefault="00632C93" w:rsidP="006257C8">
      <w:pPr>
        <w:pStyle w:val="Default"/>
        <w:numPr>
          <w:ilvl w:val="0"/>
          <w:numId w:val="22"/>
        </w:numPr>
        <w:spacing w:before="120"/>
        <w:ind w:left="714" w:hanging="357"/>
        <w:rPr>
          <w:sz w:val="22"/>
          <w:szCs w:val="22"/>
        </w:rPr>
      </w:pPr>
      <w:r>
        <w:rPr>
          <w:sz w:val="22"/>
          <w:szCs w:val="22"/>
        </w:rPr>
        <w:t xml:space="preserve">What benefits are likely to arise for employers, workers and the community if length of project greenfields agreements </w:t>
      </w:r>
      <w:r w:rsidR="00EB7F5A">
        <w:rPr>
          <w:sz w:val="22"/>
          <w:szCs w:val="22"/>
        </w:rPr>
        <w:t>were possible</w:t>
      </w:r>
      <w:r>
        <w:rPr>
          <w:sz w:val="22"/>
          <w:szCs w:val="22"/>
        </w:rPr>
        <w:t>?</w:t>
      </w:r>
    </w:p>
    <w:p w14:paraId="629A51C2" w14:textId="5D8AA33C" w:rsidR="00647DBF" w:rsidRDefault="00EB7F5A" w:rsidP="006257C8">
      <w:pPr>
        <w:pStyle w:val="Default"/>
        <w:numPr>
          <w:ilvl w:val="0"/>
          <w:numId w:val="22"/>
        </w:numPr>
        <w:spacing w:before="120"/>
        <w:ind w:left="714" w:hanging="357"/>
        <w:rPr>
          <w:sz w:val="22"/>
          <w:szCs w:val="22"/>
        </w:rPr>
      </w:pPr>
      <w:r>
        <w:rPr>
          <w:sz w:val="22"/>
          <w:szCs w:val="22"/>
        </w:rPr>
        <w:t>Are there any known risks that</w:t>
      </w:r>
      <w:r w:rsidR="00FC32B0">
        <w:rPr>
          <w:sz w:val="22"/>
          <w:szCs w:val="22"/>
        </w:rPr>
        <w:t xml:space="preserve"> might </w:t>
      </w:r>
      <w:r w:rsidR="00E40AD6">
        <w:rPr>
          <w:sz w:val="22"/>
          <w:szCs w:val="22"/>
        </w:rPr>
        <w:t>arise</w:t>
      </w:r>
      <w:r w:rsidR="00FC32B0">
        <w:rPr>
          <w:sz w:val="22"/>
          <w:szCs w:val="22"/>
        </w:rPr>
        <w:t xml:space="preserve"> </w:t>
      </w:r>
      <w:r w:rsidR="005166A3" w:rsidRPr="00C1729A">
        <w:rPr>
          <w:sz w:val="22"/>
          <w:szCs w:val="22"/>
        </w:rPr>
        <w:t>for em</w:t>
      </w:r>
      <w:r w:rsidR="00647DBF" w:rsidRPr="00C1729A">
        <w:rPr>
          <w:sz w:val="22"/>
          <w:szCs w:val="22"/>
        </w:rPr>
        <w:t>p</w:t>
      </w:r>
      <w:r w:rsidR="005166A3" w:rsidRPr="00C1729A">
        <w:rPr>
          <w:sz w:val="22"/>
          <w:szCs w:val="22"/>
        </w:rPr>
        <w:t>loyers, employees</w:t>
      </w:r>
      <w:r w:rsidR="00E40AD6">
        <w:rPr>
          <w:sz w:val="22"/>
          <w:szCs w:val="22"/>
        </w:rPr>
        <w:t>, promoters of</w:t>
      </w:r>
      <w:r w:rsidR="00CD3925">
        <w:rPr>
          <w:sz w:val="22"/>
          <w:szCs w:val="22"/>
        </w:rPr>
        <w:t>,</w:t>
      </w:r>
      <w:r w:rsidR="00E40AD6">
        <w:rPr>
          <w:sz w:val="22"/>
          <w:szCs w:val="22"/>
        </w:rPr>
        <w:t xml:space="preserve"> </w:t>
      </w:r>
      <w:r w:rsidR="00647DBF" w:rsidRPr="00C1729A">
        <w:rPr>
          <w:sz w:val="22"/>
          <w:szCs w:val="22"/>
        </w:rPr>
        <w:t xml:space="preserve">and investors </w:t>
      </w:r>
      <w:r w:rsidR="00E40AD6">
        <w:rPr>
          <w:sz w:val="22"/>
          <w:szCs w:val="22"/>
        </w:rPr>
        <w:t>in</w:t>
      </w:r>
      <w:r w:rsidR="00CD3925">
        <w:rPr>
          <w:sz w:val="22"/>
          <w:szCs w:val="22"/>
        </w:rPr>
        <w:t>,</w:t>
      </w:r>
      <w:r w:rsidR="00E40AD6">
        <w:rPr>
          <w:sz w:val="22"/>
          <w:szCs w:val="22"/>
        </w:rPr>
        <w:t xml:space="preserve"> greenfields </w:t>
      </w:r>
      <w:r w:rsidR="00BC7D1E">
        <w:rPr>
          <w:sz w:val="22"/>
          <w:szCs w:val="22"/>
        </w:rPr>
        <w:t>projects</w:t>
      </w:r>
      <w:r w:rsidR="00E40AD6">
        <w:rPr>
          <w:sz w:val="22"/>
          <w:szCs w:val="22"/>
        </w:rPr>
        <w:t xml:space="preserve"> </w:t>
      </w:r>
      <w:r w:rsidR="00FC32B0">
        <w:rPr>
          <w:sz w:val="22"/>
          <w:szCs w:val="22"/>
        </w:rPr>
        <w:t xml:space="preserve">if </w:t>
      </w:r>
      <w:r w:rsidR="00647DBF" w:rsidRPr="00C1729A">
        <w:rPr>
          <w:sz w:val="22"/>
          <w:szCs w:val="22"/>
        </w:rPr>
        <w:t>greenfields agreement</w:t>
      </w:r>
      <w:r w:rsidR="00F661A9">
        <w:rPr>
          <w:sz w:val="22"/>
          <w:szCs w:val="22"/>
        </w:rPr>
        <w:t>s</w:t>
      </w:r>
      <w:r w:rsidR="00647DBF" w:rsidRPr="00C1729A">
        <w:rPr>
          <w:sz w:val="22"/>
          <w:szCs w:val="22"/>
        </w:rPr>
        <w:t xml:space="preserve"> </w:t>
      </w:r>
      <w:r w:rsidR="00FC32B0">
        <w:rPr>
          <w:sz w:val="22"/>
          <w:szCs w:val="22"/>
        </w:rPr>
        <w:t>w</w:t>
      </w:r>
      <w:r w:rsidR="00F661A9">
        <w:rPr>
          <w:sz w:val="22"/>
          <w:szCs w:val="22"/>
        </w:rPr>
        <w:t>ere</w:t>
      </w:r>
      <w:r w:rsidR="00FC32B0">
        <w:rPr>
          <w:sz w:val="22"/>
          <w:szCs w:val="22"/>
        </w:rPr>
        <w:t xml:space="preserve"> allowed to </w:t>
      </w:r>
      <w:r w:rsidR="00647DBF" w:rsidRPr="00C1729A">
        <w:rPr>
          <w:sz w:val="22"/>
          <w:szCs w:val="22"/>
        </w:rPr>
        <w:t xml:space="preserve">operate for </w:t>
      </w:r>
      <w:r w:rsidR="00FC32B0">
        <w:rPr>
          <w:sz w:val="22"/>
          <w:szCs w:val="22"/>
        </w:rPr>
        <w:t>a</w:t>
      </w:r>
      <w:r w:rsidR="00647DBF" w:rsidRPr="00C1729A">
        <w:rPr>
          <w:sz w:val="22"/>
          <w:szCs w:val="22"/>
        </w:rPr>
        <w:t xml:space="preserve"> project</w:t>
      </w:r>
      <w:r w:rsidR="00FC32B0">
        <w:rPr>
          <w:sz w:val="22"/>
          <w:szCs w:val="22"/>
        </w:rPr>
        <w:t>’s</w:t>
      </w:r>
      <w:r w:rsidR="00647DBF" w:rsidRPr="00C1729A">
        <w:rPr>
          <w:sz w:val="22"/>
          <w:szCs w:val="22"/>
        </w:rPr>
        <w:t xml:space="preserve"> length</w:t>
      </w:r>
      <w:r w:rsidR="00CD3925">
        <w:rPr>
          <w:sz w:val="22"/>
          <w:szCs w:val="22"/>
        </w:rPr>
        <w:t>,</w:t>
      </w:r>
      <w:r w:rsidR="00647DBF" w:rsidRPr="00C1729A">
        <w:rPr>
          <w:sz w:val="22"/>
          <w:szCs w:val="22"/>
        </w:rPr>
        <w:t xml:space="preserve"> and how </w:t>
      </w:r>
      <w:r w:rsidR="009B13D3" w:rsidRPr="00C1729A">
        <w:rPr>
          <w:sz w:val="22"/>
          <w:szCs w:val="22"/>
        </w:rPr>
        <w:t xml:space="preserve">might </w:t>
      </w:r>
      <w:r w:rsidR="00FC32B0">
        <w:rPr>
          <w:sz w:val="22"/>
          <w:szCs w:val="22"/>
        </w:rPr>
        <w:t xml:space="preserve">any risks be mitigated? </w:t>
      </w:r>
      <w:r w:rsidR="00647DBF" w:rsidRPr="00C1729A">
        <w:rPr>
          <w:sz w:val="22"/>
          <w:szCs w:val="22"/>
        </w:rPr>
        <w:t xml:space="preserve"> </w:t>
      </w:r>
    </w:p>
    <w:p w14:paraId="553F5A5D" w14:textId="77777777" w:rsidR="00632C93" w:rsidRPr="00C1729A" w:rsidRDefault="00632C93" w:rsidP="006257C8">
      <w:pPr>
        <w:pStyle w:val="Default"/>
        <w:numPr>
          <w:ilvl w:val="0"/>
          <w:numId w:val="22"/>
        </w:numPr>
        <w:spacing w:before="120"/>
        <w:ind w:left="714" w:hanging="357"/>
        <w:rPr>
          <w:sz w:val="22"/>
          <w:szCs w:val="22"/>
        </w:rPr>
      </w:pPr>
      <w:r>
        <w:rPr>
          <w:sz w:val="22"/>
          <w:szCs w:val="22"/>
        </w:rPr>
        <w:t xml:space="preserve">Should </w:t>
      </w:r>
      <w:r w:rsidR="00F73021">
        <w:rPr>
          <w:sz w:val="22"/>
          <w:szCs w:val="22"/>
        </w:rPr>
        <w:t>longer</w:t>
      </w:r>
      <w:r>
        <w:rPr>
          <w:sz w:val="22"/>
          <w:szCs w:val="22"/>
        </w:rPr>
        <w:t xml:space="preserve"> project agreements </w:t>
      </w:r>
      <w:r w:rsidR="00E36BF1">
        <w:rPr>
          <w:sz w:val="22"/>
          <w:szCs w:val="22"/>
        </w:rPr>
        <w:t>be</w:t>
      </w:r>
      <w:r>
        <w:rPr>
          <w:sz w:val="22"/>
          <w:szCs w:val="22"/>
        </w:rPr>
        <w:t xml:space="preserve"> require</w:t>
      </w:r>
      <w:r w:rsidR="00E36BF1">
        <w:rPr>
          <w:sz w:val="22"/>
          <w:szCs w:val="22"/>
        </w:rPr>
        <w:t xml:space="preserve">d </w:t>
      </w:r>
      <w:r w:rsidR="005E526E">
        <w:rPr>
          <w:sz w:val="22"/>
          <w:szCs w:val="22"/>
        </w:rPr>
        <w:t xml:space="preserve">to </w:t>
      </w:r>
      <w:r w:rsidR="00E40AD6">
        <w:rPr>
          <w:sz w:val="22"/>
          <w:szCs w:val="22"/>
        </w:rPr>
        <w:t>allow some form of escalation in</w:t>
      </w:r>
      <w:r>
        <w:rPr>
          <w:sz w:val="22"/>
          <w:szCs w:val="22"/>
        </w:rPr>
        <w:t xml:space="preserve"> wage rates over the period of the agreement?</w:t>
      </w:r>
    </w:p>
    <w:p w14:paraId="7A7A8849" w14:textId="77777777" w:rsidR="000951D9" w:rsidRPr="00BA1A84" w:rsidRDefault="00AA51B8" w:rsidP="006257C8">
      <w:pPr>
        <w:pStyle w:val="Default"/>
        <w:numPr>
          <w:ilvl w:val="0"/>
          <w:numId w:val="22"/>
        </w:numPr>
        <w:spacing w:before="120"/>
        <w:ind w:left="714" w:hanging="357"/>
        <w:rPr>
          <w:sz w:val="22"/>
          <w:szCs w:val="22"/>
        </w:rPr>
      </w:pPr>
      <w:r w:rsidRPr="007A6F2F">
        <w:rPr>
          <w:sz w:val="22"/>
          <w:szCs w:val="22"/>
        </w:rPr>
        <w:t>Should there be a mechanism to extend, or to shorten, a</w:t>
      </w:r>
      <w:r>
        <w:rPr>
          <w:sz w:val="22"/>
          <w:szCs w:val="22"/>
        </w:rPr>
        <w:t xml:space="preserve">n existing </w:t>
      </w:r>
      <w:r w:rsidR="00647DBF">
        <w:rPr>
          <w:sz w:val="22"/>
          <w:szCs w:val="22"/>
        </w:rPr>
        <w:t>g</w:t>
      </w:r>
      <w:r w:rsidR="00887552">
        <w:rPr>
          <w:sz w:val="22"/>
          <w:szCs w:val="22"/>
        </w:rPr>
        <w:t>reenfields enterprise agreement</w:t>
      </w:r>
      <w:r>
        <w:rPr>
          <w:sz w:val="22"/>
          <w:szCs w:val="22"/>
        </w:rPr>
        <w:t>?</w:t>
      </w:r>
      <w:r w:rsidRPr="007A6F2F">
        <w:rPr>
          <w:sz w:val="22"/>
          <w:szCs w:val="22"/>
        </w:rPr>
        <w:t xml:space="preserve"> </w:t>
      </w:r>
      <w:r>
        <w:rPr>
          <w:sz w:val="22"/>
          <w:szCs w:val="22"/>
        </w:rPr>
        <w:t>If so, h</w:t>
      </w:r>
      <w:r w:rsidRPr="007A6F2F">
        <w:rPr>
          <w:sz w:val="22"/>
          <w:szCs w:val="22"/>
        </w:rPr>
        <w:t>ow might th</w:t>
      </w:r>
      <w:r>
        <w:rPr>
          <w:sz w:val="22"/>
          <w:szCs w:val="22"/>
        </w:rPr>
        <w:t xml:space="preserve">is </w:t>
      </w:r>
      <w:r w:rsidRPr="007A6F2F">
        <w:rPr>
          <w:sz w:val="22"/>
          <w:szCs w:val="22"/>
        </w:rPr>
        <w:t>work?</w:t>
      </w:r>
    </w:p>
    <w:sectPr w:rsidR="000951D9" w:rsidRPr="00BA1A84" w:rsidSect="00C70300">
      <w:pgSz w:w="12240" w:h="15840"/>
      <w:pgMar w:top="532" w:right="964" w:bottom="964" w:left="964"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205E5" w14:textId="77777777" w:rsidR="006563D2" w:rsidRDefault="006563D2" w:rsidP="006150CB">
      <w:r>
        <w:separator/>
      </w:r>
    </w:p>
  </w:endnote>
  <w:endnote w:type="continuationSeparator" w:id="0">
    <w:p w14:paraId="60392080" w14:textId="77777777" w:rsidR="006563D2" w:rsidRDefault="006563D2" w:rsidP="006150CB">
      <w:r>
        <w:continuationSeparator/>
      </w:r>
    </w:p>
  </w:endnote>
  <w:endnote w:type="continuationNotice" w:id="1">
    <w:p w14:paraId="528ECA72" w14:textId="77777777" w:rsidR="006563D2" w:rsidRDefault="006563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useo Sans 300">
    <w:altName w:val="Museo Sans 300"/>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542592"/>
      <w:docPartObj>
        <w:docPartGallery w:val="Page Numbers (Bottom of Page)"/>
        <w:docPartUnique/>
      </w:docPartObj>
    </w:sdtPr>
    <w:sdtEndPr/>
    <w:sdtContent>
      <w:sdt>
        <w:sdtPr>
          <w:id w:val="860082579"/>
          <w:docPartObj>
            <w:docPartGallery w:val="Page Numbers (Top of Page)"/>
            <w:docPartUnique/>
          </w:docPartObj>
        </w:sdtPr>
        <w:sdtEndPr/>
        <w:sdtContent>
          <w:p w14:paraId="5CB67D16" w14:textId="3D934B4B" w:rsidR="00E51B73" w:rsidRDefault="00E51B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301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301A">
              <w:rPr>
                <w:b/>
                <w:bCs/>
                <w:noProof/>
              </w:rPr>
              <w:t>5</w:t>
            </w:r>
            <w:r>
              <w:rPr>
                <w:b/>
                <w:bCs/>
                <w:sz w:val="24"/>
                <w:szCs w:val="24"/>
              </w:rPr>
              <w:fldChar w:fldCharType="end"/>
            </w:r>
          </w:p>
        </w:sdtContent>
      </w:sdt>
    </w:sdtContent>
  </w:sdt>
  <w:p w14:paraId="5FE9AE86" w14:textId="77777777" w:rsidR="00DD080A" w:rsidRPr="003507B8" w:rsidRDefault="00DD080A" w:rsidP="00350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7D958" w14:textId="77777777" w:rsidR="006563D2" w:rsidRDefault="006563D2" w:rsidP="006150CB">
      <w:r>
        <w:separator/>
      </w:r>
    </w:p>
  </w:footnote>
  <w:footnote w:type="continuationSeparator" w:id="0">
    <w:p w14:paraId="2892AD8E" w14:textId="77777777" w:rsidR="006563D2" w:rsidRDefault="006563D2" w:rsidP="006150CB">
      <w:r>
        <w:continuationSeparator/>
      </w:r>
    </w:p>
  </w:footnote>
  <w:footnote w:type="continuationNotice" w:id="1">
    <w:p w14:paraId="3E68EEFD" w14:textId="77777777" w:rsidR="006563D2" w:rsidRDefault="006563D2">
      <w:pPr>
        <w:spacing w:after="0" w:line="240" w:lineRule="auto"/>
      </w:pPr>
    </w:p>
  </w:footnote>
  <w:footnote w:id="2">
    <w:p w14:paraId="49CB44F1" w14:textId="77777777" w:rsidR="00BD2653" w:rsidRDefault="00BD2653" w:rsidP="00052020">
      <w:pPr>
        <w:pStyle w:val="FootnoteText"/>
        <w:ind w:left="142" w:hanging="142"/>
      </w:pPr>
      <w:r>
        <w:rPr>
          <w:rStyle w:val="FootnoteReference"/>
        </w:rPr>
        <w:footnoteRef/>
      </w:r>
      <w:r>
        <w:t xml:space="preserve"> See footnote at s.172(2), Fair Work Act.</w:t>
      </w:r>
    </w:p>
  </w:footnote>
  <w:footnote w:id="3">
    <w:p w14:paraId="1620A519" w14:textId="77777777" w:rsidR="00BD2653" w:rsidRDefault="00BD2653" w:rsidP="00052020">
      <w:pPr>
        <w:pStyle w:val="FootnoteText"/>
        <w:ind w:left="142" w:hanging="142"/>
      </w:pPr>
      <w:r>
        <w:rPr>
          <w:rStyle w:val="FootnoteReference"/>
        </w:rPr>
        <w:footnoteRef/>
      </w:r>
      <w:r>
        <w:t xml:space="preserve"> See s.182(4), Fair Work Act.</w:t>
      </w:r>
    </w:p>
  </w:footnote>
  <w:footnote w:id="4">
    <w:p w14:paraId="7D6A77DC" w14:textId="77777777" w:rsidR="007F67AC" w:rsidRDefault="007F67AC" w:rsidP="00052020">
      <w:pPr>
        <w:pStyle w:val="FootnoteText"/>
        <w:ind w:left="142" w:hanging="142"/>
      </w:pPr>
      <w:r>
        <w:rPr>
          <w:rStyle w:val="FootnoteReference"/>
        </w:rPr>
        <w:footnoteRef/>
      </w:r>
      <w:r>
        <w:t xml:space="preserve"> See s.187(6), Fair Work Act.</w:t>
      </w:r>
    </w:p>
  </w:footnote>
  <w:footnote w:id="5">
    <w:p w14:paraId="78853392" w14:textId="77777777" w:rsidR="00BD2653" w:rsidRDefault="00BD2653" w:rsidP="00052020">
      <w:pPr>
        <w:pStyle w:val="FootnoteText"/>
        <w:ind w:left="142" w:hanging="142"/>
      </w:pPr>
      <w:r>
        <w:rPr>
          <w:rStyle w:val="FootnoteReference"/>
        </w:rPr>
        <w:footnoteRef/>
      </w:r>
      <w:r>
        <w:t xml:space="preserve"> </w:t>
      </w:r>
      <w:r w:rsidRPr="003D0396">
        <w:t>ABS (2019) Australian National Accounts: National Income, Expenditure and Product, Mar 2019, released 5 Jun 2019 (ABS Cat.5206.0)</w:t>
      </w:r>
    </w:p>
  </w:footnote>
  <w:footnote w:id="6">
    <w:p w14:paraId="29186399" w14:textId="77777777" w:rsidR="00BD2653" w:rsidRDefault="00BD2653" w:rsidP="00571462">
      <w:pPr>
        <w:pStyle w:val="FootnoteText"/>
        <w:ind w:left="142" w:hanging="142"/>
      </w:pPr>
      <w:r>
        <w:rPr>
          <w:rStyle w:val="FootnoteReference"/>
        </w:rPr>
        <w:footnoteRef/>
      </w:r>
      <w:r>
        <w:t xml:space="preserve"> </w:t>
      </w:r>
      <w:r w:rsidRPr="003D0396">
        <w:t>ABS (2019) Australian National Accounts: National Income, Expenditure and Product, Mar 2019 (ABS Cat.</w:t>
      </w:r>
      <w:r w:rsidR="005B5477">
        <w:t>5206.0) – Table 6, Mining (B), s</w:t>
      </w:r>
      <w:r w:rsidRPr="003D0396">
        <w:t>easonally adjusted data.</w:t>
      </w:r>
    </w:p>
  </w:footnote>
  <w:footnote w:id="7">
    <w:p w14:paraId="27B1AC4A" w14:textId="77777777" w:rsidR="00BD2653" w:rsidRDefault="00BD2653" w:rsidP="00571462">
      <w:pPr>
        <w:pStyle w:val="FootnoteText"/>
        <w:ind w:left="142" w:hanging="142"/>
      </w:pPr>
      <w:r>
        <w:rPr>
          <w:rStyle w:val="FootnoteReference"/>
        </w:rPr>
        <w:footnoteRef/>
      </w:r>
      <w:r w:rsidR="002B3683">
        <w:rPr>
          <w:iCs/>
          <w:lang w:val="en"/>
        </w:rPr>
        <w:t xml:space="preserve"> </w:t>
      </w:r>
      <w:r w:rsidRPr="001317D0">
        <w:rPr>
          <w:iCs/>
          <w:lang w:val="en"/>
        </w:rPr>
        <w:t>Economic forecasts are based on the period 2009 – 2040. Source: ACIL Allen Consulting independent research report October 2015.</w:t>
      </w:r>
    </w:p>
  </w:footnote>
  <w:footnote w:id="8">
    <w:p w14:paraId="5E4A82A3" w14:textId="77777777" w:rsidR="00AD6A0F" w:rsidRDefault="00AD6A0F" w:rsidP="00571462">
      <w:pPr>
        <w:pStyle w:val="FootnoteText"/>
        <w:ind w:left="142" w:hanging="142"/>
      </w:pPr>
      <w:r>
        <w:rPr>
          <w:rStyle w:val="FootnoteReference"/>
        </w:rPr>
        <w:footnoteRef/>
      </w:r>
      <w:r>
        <w:t xml:space="preserve"> </w:t>
      </w:r>
      <w:r w:rsidRPr="00AD6A0F">
        <w:rPr>
          <w:iCs/>
        </w:rPr>
        <w:t>Workplace Agreements Database, Attorney-General’s Department, March 2019</w:t>
      </w:r>
      <w:r w:rsidR="00622173">
        <w:t>.</w:t>
      </w:r>
    </w:p>
  </w:footnote>
  <w:footnote w:id="9">
    <w:p w14:paraId="6B82A192" w14:textId="25AA29C3" w:rsidR="00AD6A0F" w:rsidRDefault="00AD6A0F" w:rsidP="00571462">
      <w:pPr>
        <w:pStyle w:val="FootnoteText"/>
        <w:ind w:left="142" w:hanging="142"/>
      </w:pPr>
      <w:r>
        <w:rPr>
          <w:rStyle w:val="FootnoteReference"/>
        </w:rPr>
        <w:footnoteRef/>
      </w:r>
      <w:r>
        <w:t xml:space="preserve"> </w:t>
      </w:r>
      <w:r w:rsidRPr="00AD6A0F">
        <w:rPr>
          <w:iCs/>
        </w:rPr>
        <w:t>ABS (2019) Australian National Accounts: National Income, Expenditure and Product, Mar 2019 (ABS Cat.5206.0)</w:t>
      </w:r>
      <w:r w:rsidR="00622173">
        <w:t>.</w:t>
      </w:r>
    </w:p>
  </w:footnote>
  <w:footnote w:id="10">
    <w:p w14:paraId="0D7D4FA2" w14:textId="77777777" w:rsidR="0043385F" w:rsidRDefault="0043385F" w:rsidP="00571462">
      <w:pPr>
        <w:pStyle w:val="FootnoteText"/>
        <w:ind w:left="284" w:hanging="284"/>
      </w:pPr>
      <w:r>
        <w:rPr>
          <w:rStyle w:val="FootnoteReference"/>
        </w:rPr>
        <w:footnoteRef/>
      </w:r>
      <w:r>
        <w:t xml:space="preserve"> Productivity Commission Inquiry into the Workplace Relations Framework, 2015 Volume 1, page 36</w:t>
      </w:r>
      <w:r w:rsidRPr="00654D33">
        <w:rPr>
          <w:rStyle w:val="Hyperlink"/>
          <w:u w:val="none"/>
        </w:rPr>
        <w:t>.</w:t>
      </w:r>
    </w:p>
  </w:footnote>
  <w:footnote w:id="11">
    <w:p w14:paraId="1B64BB6B" w14:textId="77777777" w:rsidR="0043385F" w:rsidRDefault="0043385F" w:rsidP="00571462">
      <w:pPr>
        <w:pStyle w:val="FootnoteText"/>
        <w:ind w:left="284" w:hanging="284"/>
      </w:pPr>
      <w:r>
        <w:rPr>
          <w:rStyle w:val="FootnoteReference"/>
        </w:rPr>
        <w:footnoteRef/>
      </w:r>
      <w:r>
        <w:t xml:space="preserve"> Productivity Commission Inquiry into the Workplace Relations Framework, 2015 Volume 2, page 713.</w:t>
      </w:r>
      <w:r>
        <w:rPr>
          <w:rStyle w:val="Hyperlink"/>
        </w:rPr>
        <w:t xml:space="preserve"> </w:t>
      </w:r>
    </w:p>
  </w:footnote>
  <w:footnote w:id="12">
    <w:p w14:paraId="0276A8E1" w14:textId="5EB93382" w:rsidR="00622173" w:rsidRPr="00571462" w:rsidRDefault="0043385F" w:rsidP="00571462">
      <w:pPr>
        <w:pStyle w:val="FootnoteText"/>
        <w:ind w:left="284" w:hanging="284"/>
        <w:rPr>
          <w:color w:val="0000FF" w:themeColor="hyperlink"/>
          <w:u w:val="single"/>
        </w:rPr>
      </w:pPr>
      <w:r>
        <w:rPr>
          <w:rStyle w:val="FootnoteReference"/>
        </w:rPr>
        <w:footnoteRef/>
      </w:r>
      <w:r>
        <w:t xml:space="preserve"> </w:t>
      </w:r>
      <w:hyperlink r:id="rId1" w:history="1">
        <w:r w:rsidR="00622173">
          <w:rPr>
            <w:rStyle w:val="Hyperlink"/>
          </w:rPr>
          <w:t>https://www.masterbuilders.com.au/Newsroom/Construction-Strikes-Double-–-The-ABCC-Must-Be-Ret</w:t>
        </w:r>
      </w:hyperlink>
      <w:r w:rsidR="00622173">
        <w:t>.</w:t>
      </w:r>
    </w:p>
  </w:footnote>
  <w:footnote w:id="13">
    <w:p w14:paraId="1D396B46" w14:textId="77777777" w:rsidR="0043385F" w:rsidRDefault="0043385F" w:rsidP="00571462">
      <w:pPr>
        <w:pStyle w:val="FootnoteText"/>
        <w:ind w:left="284" w:hanging="284"/>
      </w:pPr>
      <w:r>
        <w:rPr>
          <w:rStyle w:val="FootnoteReference"/>
        </w:rPr>
        <w:footnoteRef/>
      </w:r>
      <w:r>
        <w:t xml:space="preserve"> Productivity Commission Inquiry into the Workplace Relations Framework, </w:t>
      </w:r>
      <w:r w:rsidR="005B5477">
        <w:t xml:space="preserve">2015 </w:t>
      </w:r>
      <w:r>
        <w:t xml:space="preserve">Volume 1, page 3. </w:t>
      </w:r>
    </w:p>
  </w:footnote>
  <w:footnote w:id="14">
    <w:p w14:paraId="3ED5245D" w14:textId="77777777" w:rsidR="00E9041F" w:rsidRDefault="00E9041F" w:rsidP="00571462">
      <w:pPr>
        <w:pStyle w:val="FootnoteText"/>
        <w:ind w:left="284" w:hanging="284"/>
      </w:pPr>
      <w:r>
        <w:rPr>
          <w:rStyle w:val="FootnoteReference"/>
        </w:rPr>
        <w:footnoteRef/>
      </w:r>
      <w:r>
        <w:t xml:space="preserve"> Productivity Commission Inquiry into the Workplace Relations Framework, 2015 Volume 2, pages 689-690. </w:t>
      </w:r>
    </w:p>
  </w:footnote>
  <w:footnote w:id="15">
    <w:p w14:paraId="11E0DCA7" w14:textId="0C10F1D7" w:rsidR="00E02447" w:rsidRDefault="00E02447" w:rsidP="00571462">
      <w:pPr>
        <w:pStyle w:val="FootnoteText"/>
        <w:ind w:left="284" w:hanging="284"/>
      </w:pPr>
      <w:r>
        <w:rPr>
          <w:rStyle w:val="FootnoteReference"/>
        </w:rPr>
        <w:footnoteRef/>
      </w:r>
      <w:r>
        <w:t xml:space="preserve"> </w:t>
      </w:r>
      <w:hyperlink r:id="rId2" w:history="1">
        <w:r w:rsidR="00C343D9" w:rsidRPr="001C2330">
          <w:rPr>
            <w:rStyle w:val="Hyperlink"/>
          </w:rPr>
          <w:t>https://www.billshorten.com.au/address_to_the_western_australian_leadership_matters_breakfast_perth_ wednesday15_may_2019</w:t>
        </w:r>
      </w:hyperlink>
      <w:r w:rsidR="0062217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B67A" w14:textId="77777777" w:rsidR="00DD080A" w:rsidRDefault="00DD080A" w:rsidP="005346C1">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E0C9C"/>
    <w:multiLevelType w:val="hybridMultilevel"/>
    <w:tmpl w:val="F0BA9E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EF2A60"/>
    <w:multiLevelType w:val="hybridMultilevel"/>
    <w:tmpl w:val="D0644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2231DF"/>
    <w:multiLevelType w:val="hybridMultilevel"/>
    <w:tmpl w:val="E02C8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610D7C"/>
    <w:multiLevelType w:val="hybridMultilevel"/>
    <w:tmpl w:val="FD3A41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644888"/>
    <w:multiLevelType w:val="hybridMultilevel"/>
    <w:tmpl w:val="9C829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F623DC"/>
    <w:multiLevelType w:val="hybridMultilevel"/>
    <w:tmpl w:val="B61830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7932166"/>
    <w:multiLevelType w:val="multilevel"/>
    <w:tmpl w:val="EFDC8A06"/>
    <w:styleLink w:val="Bulle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722292"/>
    <w:multiLevelType w:val="hybridMultilevel"/>
    <w:tmpl w:val="F836F9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5C63EB"/>
    <w:multiLevelType w:val="hybridMultilevel"/>
    <w:tmpl w:val="D72A0B6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9" w15:restartNumberingAfterBreak="0">
    <w:nsid w:val="359E22D7"/>
    <w:multiLevelType w:val="hybridMultilevel"/>
    <w:tmpl w:val="8BACDE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BB499B"/>
    <w:multiLevelType w:val="hybridMultilevel"/>
    <w:tmpl w:val="21866F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9884825"/>
    <w:multiLevelType w:val="multilevel"/>
    <w:tmpl w:val="F2707774"/>
    <w:lvl w:ilvl="0">
      <w:start w:val="1"/>
      <w:numFmt w:val="bullet"/>
      <w:lvlText w:val="•"/>
      <w:lvlJc w:val="left"/>
      <w:pPr>
        <w:tabs>
          <w:tab w:val="num" w:pos="567"/>
        </w:tabs>
        <w:ind w:left="567" w:hanging="567"/>
      </w:pPr>
      <w:rPr>
        <w:rFonts w:ascii="Times New Roman" w:hAnsi="Times New Roman" w:cs="Times New Roman"/>
        <w:color w:val="8DB3E2" w:themeColor="text2" w:themeTint="66"/>
        <w:sz w:val="28"/>
        <w:szCs w:val="28"/>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Times New Roman" w:hAnsi="Times New Roman"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E452DC7"/>
    <w:multiLevelType w:val="hybridMultilevel"/>
    <w:tmpl w:val="EECE0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456536"/>
    <w:multiLevelType w:val="hybridMultilevel"/>
    <w:tmpl w:val="2A02E4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1511D7"/>
    <w:multiLevelType w:val="hybridMultilevel"/>
    <w:tmpl w:val="473ADA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0D5682"/>
    <w:multiLevelType w:val="hybridMultilevel"/>
    <w:tmpl w:val="E2C65F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C322B"/>
    <w:multiLevelType w:val="hybridMultilevel"/>
    <w:tmpl w:val="D616A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537A3FD0"/>
    <w:multiLevelType w:val="hybridMultilevel"/>
    <w:tmpl w:val="D29084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B47878"/>
    <w:multiLevelType w:val="hybridMultilevel"/>
    <w:tmpl w:val="EA1E14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9A007ED"/>
    <w:multiLevelType w:val="hybridMultilevel"/>
    <w:tmpl w:val="7AB29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866811"/>
    <w:multiLevelType w:val="hybridMultilevel"/>
    <w:tmpl w:val="0CF2E6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A15FB9"/>
    <w:multiLevelType w:val="hybridMultilevel"/>
    <w:tmpl w:val="BF3AA932"/>
    <w:lvl w:ilvl="0" w:tplc="3484F224">
      <w:start w:val="1"/>
      <w:numFmt w:val="bullet"/>
      <w:pStyle w:val="Bullet1"/>
      <w:lvlText w:val=""/>
      <w:lvlJc w:val="left"/>
      <w:pPr>
        <w:ind w:left="720" w:hanging="360"/>
      </w:pPr>
      <w:rPr>
        <w:rFonts w:ascii="Symbol" w:hAnsi="Symbol" w:hint="default"/>
        <w:color w:val="5C5C5C"/>
      </w:rPr>
    </w:lvl>
    <w:lvl w:ilvl="1" w:tplc="7610D95C">
      <w:start w:val="1"/>
      <w:numFmt w:val="bullet"/>
      <w:pStyle w:val="ListBullet"/>
      <w:lvlText w:val=""/>
      <w:lvlJc w:val="left"/>
      <w:pPr>
        <w:ind w:left="1353" w:hanging="360"/>
      </w:pPr>
      <w:rPr>
        <w:rFonts w:ascii="Symbol" w:hAnsi="Symbol" w:hint="default"/>
        <w:color w:val="4D738A"/>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BA7B43"/>
    <w:multiLevelType w:val="hybridMultilevel"/>
    <w:tmpl w:val="FEFC8D42"/>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23" w15:restartNumberingAfterBreak="0">
    <w:nsid w:val="768B0FEA"/>
    <w:multiLevelType w:val="hybridMultilevel"/>
    <w:tmpl w:val="5FDCE6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D7B20B8"/>
    <w:multiLevelType w:val="hybridMultilevel"/>
    <w:tmpl w:val="C64C00E4"/>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num w:numId="1">
    <w:abstractNumId w:val="21"/>
  </w:num>
  <w:num w:numId="2">
    <w:abstractNumId w:val="6"/>
  </w:num>
  <w:num w:numId="3">
    <w:abstractNumId w:val="23"/>
  </w:num>
  <w:num w:numId="4">
    <w:abstractNumId w:val="7"/>
  </w:num>
  <w:num w:numId="5">
    <w:abstractNumId w:val="3"/>
  </w:num>
  <w:num w:numId="6">
    <w:abstractNumId w:val="19"/>
  </w:num>
  <w:num w:numId="7">
    <w:abstractNumId w:val="20"/>
  </w:num>
  <w:num w:numId="8">
    <w:abstractNumId w:val="5"/>
  </w:num>
  <w:num w:numId="9">
    <w:abstractNumId w:val="15"/>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6"/>
  </w:num>
  <w:num w:numId="13">
    <w:abstractNumId w:val="11"/>
  </w:num>
  <w:num w:numId="14">
    <w:abstractNumId w:val="9"/>
  </w:num>
  <w:num w:numId="15">
    <w:abstractNumId w:val="24"/>
  </w:num>
  <w:num w:numId="16">
    <w:abstractNumId w:val="2"/>
  </w:num>
  <w:num w:numId="17">
    <w:abstractNumId w:val="8"/>
  </w:num>
  <w:num w:numId="18">
    <w:abstractNumId w:val="18"/>
  </w:num>
  <w:num w:numId="19">
    <w:abstractNumId w:val="12"/>
  </w:num>
  <w:num w:numId="20">
    <w:abstractNumId w:val="1"/>
  </w:num>
  <w:num w:numId="21">
    <w:abstractNumId w:val="13"/>
  </w:num>
  <w:num w:numId="22">
    <w:abstractNumId w:val="17"/>
  </w:num>
  <w:num w:numId="23">
    <w:abstractNumId w:val="14"/>
  </w:num>
  <w:num w:numId="24">
    <w:abstractNumId w:val="10"/>
  </w:num>
  <w:num w:numId="25">
    <w:abstractNumId w:val="22"/>
  </w:num>
  <w:num w:numId="2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B8"/>
    <w:rsid w:val="000016CF"/>
    <w:rsid w:val="00002ADE"/>
    <w:rsid w:val="00004D42"/>
    <w:rsid w:val="00013031"/>
    <w:rsid w:val="00014E59"/>
    <w:rsid w:val="000176FF"/>
    <w:rsid w:val="00017CB9"/>
    <w:rsid w:val="000210A0"/>
    <w:rsid w:val="00026363"/>
    <w:rsid w:val="00030C9D"/>
    <w:rsid w:val="0003657D"/>
    <w:rsid w:val="00040CDC"/>
    <w:rsid w:val="00044C84"/>
    <w:rsid w:val="0004672F"/>
    <w:rsid w:val="00051325"/>
    <w:rsid w:val="00052020"/>
    <w:rsid w:val="00054C1E"/>
    <w:rsid w:val="00056A30"/>
    <w:rsid w:val="0005753C"/>
    <w:rsid w:val="00062C47"/>
    <w:rsid w:val="00063368"/>
    <w:rsid w:val="00063409"/>
    <w:rsid w:val="00065494"/>
    <w:rsid w:val="000673ED"/>
    <w:rsid w:val="00071D32"/>
    <w:rsid w:val="00071E6C"/>
    <w:rsid w:val="00072390"/>
    <w:rsid w:val="00072956"/>
    <w:rsid w:val="00072CE1"/>
    <w:rsid w:val="00075F60"/>
    <w:rsid w:val="00076664"/>
    <w:rsid w:val="000779BE"/>
    <w:rsid w:val="00087EEF"/>
    <w:rsid w:val="0009112B"/>
    <w:rsid w:val="00094374"/>
    <w:rsid w:val="000951D9"/>
    <w:rsid w:val="00096B7A"/>
    <w:rsid w:val="000A1A88"/>
    <w:rsid w:val="000A2935"/>
    <w:rsid w:val="000A3621"/>
    <w:rsid w:val="000A4874"/>
    <w:rsid w:val="000A4ADD"/>
    <w:rsid w:val="000A4C7E"/>
    <w:rsid w:val="000A5E74"/>
    <w:rsid w:val="000A6620"/>
    <w:rsid w:val="000B0DF7"/>
    <w:rsid w:val="000B0F72"/>
    <w:rsid w:val="000B34A1"/>
    <w:rsid w:val="000B454D"/>
    <w:rsid w:val="000B5D40"/>
    <w:rsid w:val="000B6356"/>
    <w:rsid w:val="000C1071"/>
    <w:rsid w:val="000C295F"/>
    <w:rsid w:val="000C2EF4"/>
    <w:rsid w:val="000C2FF8"/>
    <w:rsid w:val="000D0657"/>
    <w:rsid w:val="000D212D"/>
    <w:rsid w:val="000D28CE"/>
    <w:rsid w:val="000D3E7A"/>
    <w:rsid w:val="000D4A89"/>
    <w:rsid w:val="000D6892"/>
    <w:rsid w:val="000D7E8F"/>
    <w:rsid w:val="000E1183"/>
    <w:rsid w:val="000E1DAD"/>
    <w:rsid w:val="000E218A"/>
    <w:rsid w:val="000E2EF2"/>
    <w:rsid w:val="000E36FC"/>
    <w:rsid w:val="000E4066"/>
    <w:rsid w:val="000E4FC7"/>
    <w:rsid w:val="000E5276"/>
    <w:rsid w:val="000E6831"/>
    <w:rsid w:val="000F03B0"/>
    <w:rsid w:val="000F2463"/>
    <w:rsid w:val="000F3D72"/>
    <w:rsid w:val="000F3EF4"/>
    <w:rsid w:val="00101736"/>
    <w:rsid w:val="00102809"/>
    <w:rsid w:val="001052A8"/>
    <w:rsid w:val="0011430B"/>
    <w:rsid w:val="001152E9"/>
    <w:rsid w:val="00115F12"/>
    <w:rsid w:val="0011624E"/>
    <w:rsid w:val="001178D4"/>
    <w:rsid w:val="00120A2C"/>
    <w:rsid w:val="00123249"/>
    <w:rsid w:val="0012582E"/>
    <w:rsid w:val="00131804"/>
    <w:rsid w:val="00134229"/>
    <w:rsid w:val="00151A0A"/>
    <w:rsid w:val="001529EC"/>
    <w:rsid w:val="00152AAE"/>
    <w:rsid w:val="0015550C"/>
    <w:rsid w:val="00155953"/>
    <w:rsid w:val="0016145A"/>
    <w:rsid w:val="00162781"/>
    <w:rsid w:val="00165492"/>
    <w:rsid w:val="001654DC"/>
    <w:rsid w:val="00166B5D"/>
    <w:rsid w:val="00166F5B"/>
    <w:rsid w:val="00167DD5"/>
    <w:rsid w:val="001719D3"/>
    <w:rsid w:val="0017344E"/>
    <w:rsid w:val="00175E0D"/>
    <w:rsid w:val="001773C8"/>
    <w:rsid w:val="001814FA"/>
    <w:rsid w:val="0018199E"/>
    <w:rsid w:val="00182366"/>
    <w:rsid w:val="00182FC7"/>
    <w:rsid w:val="00183D44"/>
    <w:rsid w:val="00184270"/>
    <w:rsid w:val="001874DF"/>
    <w:rsid w:val="00190511"/>
    <w:rsid w:val="00192F33"/>
    <w:rsid w:val="00195C60"/>
    <w:rsid w:val="00195E26"/>
    <w:rsid w:val="0019600D"/>
    <w:rsid w:val="001A141B"/>
    <w:rsid w:val="001A55BD"/>
    <w:rsid w:val="001A5E26"/>
    <w:rsid w:val="001A7DD9"/>
    <w:rsid w:val="001B3E61"/>
    <w:rsid w:val="001B41DF"/>
    <w:rsid w:val="001B5138"/>
    <w:rsid w:val="001B6364"/>
    <w:rsid w:val="001B6AF3"/>
    <w:rsid w:val="001B7BD7"/>
    <w:rsid w:val="001C02D2"/>
    <w:rsid w:val="001C0730"/>
    <w:rsid w:val="001C19A5"/>
    <w:rsid w:val="001C1F27"/>
    <w:rsid w:val="001C2CA8"/>
    <w:rsid w:val="001C58CE"/>
    <w:rsid w:val="001D1C87"/>
    <w:rsid w:val="001D4C71"/>
    <w:rsid w:val="001E6DA5"/>
    <w:rsid w:val="001E7FB1"/>
    <w:rsid w:val="001F0797"/>
    <w:rsid w:val="001F1FB9"/>
    <w:rsid w:val="001F304F"/>
    <w:rsid w:val="001F37AE"/>
    <w:rsid w:val="001F52C0"/>
    <w:rsid w:val="001F6304"/>
    <w:rsid w:val="00201166"/>
    <w:rsid w:val="00201821"/>
    <w:rsid w:val="00202DF1"/>
    <w:rsid w:val="00206625"/>
    <w:rsid w:val="00206E29"/>
    <w:rsid w:val="00207F39"/>
    <w:rsid w:val="00210788"/>
    <w:rsid w:val="0021290E"/>
    <w:rsid w:val="002160FD"/>
    <w:rsid w:val="00216F4F"/>
    <w:rsid w:val="00217482"/>
    <w:rsid w:val="00220E26"/>
    <w:rsid w:val="0022124F"/>
    <w:rsid w:val="0022248B"/>
    <w:rsid w:val="002235BD"/>
    <w:rsid w:val="00224847"/>
    <w:rsid w:val="00224864"/>
    <w:rsid w:val="00230B26"/>
    <w:rsid w:val="00237C37"/>
    <w:rsid w:val="002406AB"/>
    <w:rsid w:val="00240CC8"/>
    <w:rsid w:val="00243B11"/>
    <w:rsid w:val="00247649"/>
    <w:rsid w:val="00247B9E"/>
    <w:rsid w:val="00250232"/>
    <w:rsid w:val="00250546"/>
    <w:rsid w:val="00253442"/>
    <w:rsid w:val="002575ED"/>
    <w:rsid w:val="00260694"/>
    <w:rsid w:val="00264CB5"/>
    <w:rsid w:val="00265313"/>
    <w:rsid w:val="00266991"/>
    <w:rsid w:val="00271ABF"/>
    <w:rsid w:val="0027299F"/>
    <w:rsid w:val="00275363"/>
    <w:rsid w:val="0027683A"/>
    <w:rsid w:val="002819B1"/>
    <w:rsid w:val="002871D9"/>
    <w:rsid w:val="00287286"/>
    <w:rsid w:val="00292242"/>
    <w:rsid w:val="002936F8"/>
    <w:rsid w:val="00294F1E"/>
    <w:rsid w:val="002967FD"/>
    <w:rsid w:val="00296C4E"/>
    <w:rsid w:val="00297A60"/>
    <w:rsid w:val="00297CA2"/>
    <w:rsid w:val="002A0994"/>
    <w:rsid w:val="002A20CE"/>
    <w:rsid w:val="002A321F"/>
    <w:rsid w:val="002A3EF9"/>
    <w:rsid w:val="002A7194"/>
    <w:rsid w:val="002B253E"/>
    <w:rsid w:val="002B2DA6"/>
    <w:rsid w:val="002B3683"/>
    <w:rsid w:val="002B4FC1"/>
    <w:rsid w:val="002C2E22"/>
    <w:rsid w:val="002C36D2"/>
    <w:rsid w:val="002C3F83"/>
    <w:rsid w:val="002D24C7"/>
    <w:rsid w:val="002D56E9"/>
    <w:rsid w:val="002D7086"/>
    <w:rsid w:val="002E2222"/>
    <w:rsid w:val="002E2BCD"/>
    <w:rsid w:val="002E3A84"/>
    <w:rsid w:val="002E3F3F"/>
    <w:rsid w:val="002E4AAF"/>
    <w:rsid w:val="002F3AE2"/>
    <w:rsid w:val="002F62E2"/>
    <w:rsid w:val="002F7EA2"/>
    <w:rsid w:val="0030256E"/>
    <w:rsid w:val="00302677"/>
    <w:rsid w:val="00310707"/>
    <w:rsid w:val="00321384"/>
    <w:rsid w:val="003221B6"/>
    <w:rsid w:val="00323052"/>
    <w:rsid w:val="00323751"/>
    <w:rsid w:val="00324E0F"/>
    <w:rsid w:val="00325127"/>
    <w:rsid w:val="003253A3"/>
    <w:rsid w:val="00326F4D"/>
    <w:rsid w:val="003313C7"/>
    <w:rsid w:val="003344C3"/>
    <w:rsid w:val="00336525"/>
    <w:rsid w:val="00336D0B"/>
    <w:rsid w:val="00343683"/>
    <w:rsid w:val="003507B8"/>
    <w:rsid w:val="003529DB"/>
    <w:rsid w:val="00352C9D"/>
    <w:rsid w:val="00354296"/>
    <w:rsid w:val="00354E0E"/>
    <w:rsid w:val="00360054"/>
    <w:rsid w:val="00360DCB"/>
    <w:rsid w:val="003617A2"/>
    <w:rsid w:val="00362BA8"/>
    <w:rsid w:val="00363FBF"/>
    <w:rsid w:val="00365F00"/>
    <w:rsid w:val="00367D80"/>
    <w:rsid w:val="00372416"/>
    <w:rsid w:val="00372C25"/>
    <w:rsid w:val="00374195"/>
    <w:rsid w:val="0038165F"/>
    <w:rsid w:val="00383227"/>
    <w:rsid w:val="00383915"/>
    <w:rsid w:val="00387FE9"/>
    <w:rsid w:val="00391F91"/>
    <w:rsid w:val="00394664"/>
    <w:rsid w:val="00395615"/>
    <w:rsid w:val="003964FB"/>
    <w:rsid w:val="00397F6A"/>
    <w:rsid w:val="003A0057"/>
    <w:rsid w:val="003A2382"/>
    <w:rsid w:val="003A396F"/>
    <w:rsid w:val="003A5166"/>
    <w:rsid w:val="003A6168"/>
    <w:rsid w:val="003A6508"/>
    <w:rsid w:val="003A6E3A"/>
    <w:rsid w:val="003B08EF"/>
    <w:rsid w:val="003B10D2"/>
    <w:rsid w:val="003B268C"/>
    <w:rsid w:val="003B28B8"/>
    <w:rsid w:val="003B3932"/>
    <w:rsid w:val="003B3FFC"/>
    <w:rsid w:val="003B456F"/>
    <w:rsid w:val="003B72EC"/>
    <w:rsid w:val="003B740A"/>
    <w:rsid w:val="003C3AB2"/>
    <w:rsid w:val="003C5377"/>
    <w:rsid w:val="003C547C"/>
    <w:rsid w:val="003C6D42"/>
    <w:rsid w:val="003C7481"/>
    <w:rsid w:val="003D093F"/>
    <w:rsid w:val="003D2059"/>
    <w:rsid w:val="003D3710"/>
    <w:rsid w:val="003D50D4"/>
    <w:rsid w:val="003E0576"/>
    <w:rsid w:val="003E2BA2"/>
    <w:rsid w:val="003E3B6C"/>
    <w:rsid w:val="003E4A68"/>
    <w:rsid w:val="003E4B65"/>
    <w:rsid w:val="003E611C"/>
    <w:rsid w:val="003F55F5"/>
    <w:rsid w:val="003F619A"/>
    <w:rsid w:val="003F6FB7"/>
    <w:rsid w:val="00405E7B"/>
    <w:rsid w:val="00406AEE"/>
    <w:rsid w:val="00407189"/>
    <w:rsid w:val="00412905"/>
    <w:rsid w:val="00412EA4"/>
    <w:rsid w:val="004130AF"/>
    <w:rsid w:val="004151FB"/>
    <w:rsid w:val="00420850"/>
    <w:rsid w:val="00420B36"/>
    <w:rsid w:val="00421D1A"/>
    <w:rsid w:val="00422818"/>
    <w:rsid w:val="00422A7F"/>
    <w:rsid w:val="0042786D"/>
    <w:rsid w:val="0043112A"/>
    <w:rsid w:val="0043385F"/>
    <w:rsid w:val="00433F3F"/>
    <w:rsid w:val="0043494D"/>
    <w:rsid w:val="00435A61"/>
    <w:rsid w:val="00441683"/>
    <w:rsid w:val="00441F13"/>
    <w:rsid w:val="00442446"/>
    <w:rsid w:val="00442F7A"/>
    <w:rsid w:val="00442FE1"/>
    <w:rsid w:val="00443E3E"/>
    <w:rsid w:val="004450A3"/>
    <w:rsid w:val="0044531C"/>
    <w:rsid w:val="00447751"/>
    <w:rsid w:val="00450F6C"/>
    <w:rsid w:val="00452456"/>
    <w:rsid w:val="00453257"/>
    <w:rsid w:val="0045325F"/>
    <w:rsid w:val="00453A3E"/>
    <w:rsid w:val="00456883"/>
    <w:rsid w:val="00462E17"/>
    <w:rsid w:val="00463520"/>
    <w:rsid w:val="00463895"/>
    <w:rsid w:val="00464011"/>
    <w:rsid w:val="00464669"/>
    <w:rsid w:val="00464C7F"/>
    <w:rsid w:val="0046761A"/>
    <w:rsid w:val="00467755"/>
    <w:rsid w:val="00467E80"/>
    <w:rsid w:val="00470F4C"/>
    <w:rsid w:val="00472AE9"/>
    <w:rsid w:val="00472E17"/>
    <w:rsid w:val="00472E65"/>
    <w:rsid w:val="00475FB3"/>
    <w:rsid w:val="0048299E"/>
    <w:rsid w:val="00484EB4"/>
    <w:rsid w:val="004853FE"/>
    <w:rsid w:val="00485846"/>
    <w:rsid w:val="00487E07"/>
    <w:rsid w:val="00490172"/>
    <w:rsid w:val="004931B0"/>
    <w:rsid w:val="0049477C"/>
    <w:rsid w:val="004947B8"/>
    <w:rsid w:val="00495B30"/>
    <w:rsid w:val="004A2307"/>
    <w:rsid w:val="004A7694"/>
    <w:rsid w:val="004B0B2E"/>
    <w:rsid w:val="004B1434"/>
    <w:rsid w:val="004B3340"/>
    <w:rsid w:val="004B4AE0"/>
    <w:rsid w:val="004C0FCD"/>
    <w:rsid w:val="004C1C0D"/>
    <w:rsid w:val="004C2DB2"/>
    <w:rsid w:val="004C4BD7"/>
    <w:rsid w:val="004C6BC7"/>
    <w:rsid w:val="004C78C0"/>
    <w:rsid w:val="004D30F2"/>
    <w:rsid w:val="004D3585"/>
    <w:rsid w:val="004D37F0"/>
    <w:rsid w:val="004D7539"/>
    <w:rsid w:val="004E061C"/>
    <w:rsid w:val="004E2CF5"/>
    <w:rsid w:val="004E36BE"/>
    <w:rsid w:val="004E5479"/>
    <w:rsid w:val="004E7F29"/>
    <w:rsid w:val="004F1E91"/>
    <w:rsid w:val="004F544A"/>
    <w:rsid w:val="004F6D8B"/>
    <w:rsid w:val="00500471"/>
    <w:rsid w:val="00500F0C"/>
    <w:rsid w:val="00501329"/>
    <w:rsid w:val="005024E2"/>
    <w:rsid w:val="0050310A"/>
    <w:rsid w:val="00503D7D"/>
    <w:rsid w:val="005055FD"/>
    <w:rsid w:val="00506641"/>
    <w:rsid w:val="00515BE9"/>
    <w:rsid w:val="005166A3"/>
    <w:rsid w:val="00521B58"/>
    <w:rsid w:val="00523505"/>
    <w:rsid w:val="00524D59"/>
    <w:rsid w:val="00525BD5"/>
    <w:rsid w:val="00531832"/>
    <w:rsid w:val="005346C1"/>
    <w:rsid w:val="00534EEB"/>
    <w:rsid w:val="00537B8D"/>
    <w:rsid w:val="00540D67"/>
    <w:rsid w:val="00547136"/>
    <w:rsid w:val="00552F07"/>
    <w:rsid w:val="00562724"/>
    <w:rsid w:val="005650C3"/>
    <w:rsid w:val="00571462"/>
    <w:rsid w:val="005729A1"/>
    <w:rsid w:val="00572A8C"/>
    <w:rsid w:val="00576483"/>
    <w:rsid w:val="00576834"/>
    <w:rsid w:val="005822D9"/>
    <w:rsid w:val="0058253B"/>
    <w:rsid w:val="00582ADB"/>
    <w:rsid w:val="0058656E"/>
    <w:rsid w:val="00590FCF"/>
    <w:rsid w:val="00596D06"/>
    <w:rsid w:val="00597652"/>
    <w:rsid w:val="005A37D5"/>
    <w:rsid w:val="005A772D"/>
    <w:rsid w:val="005B1CBE"/>
    <w:rsid w:val="005B1D03"/>
    <w:rsid w:val="005B286D"/>
    <w:rsid w:val="005B5477"/>
    <w:rsid w:val="005C0A88"/>
    <w:rsid w:val="005C1BB3"/>
    <w:rsid w:val="005C2EE6"/>
    <w:rsid w:val="005C5B0B"/>
    <w:rsid w:val="005C5BD1"/>
    <w:rsid w:val="005D1273"/>
    <w:rsid w:val="005D3FEF"/>
    <w:rsid w:val="005E003C"/>
    <w:rsid w:val="005E469E"/>
    <w:rsid w:val="005E526E"/>
    <w:rsid w:val="005E5EB8"/>
    <w:rsid w:val="005E68A9"/>
    <w:rsid w:val="005E7E49"/>
    <w:rsid w:val="005F0B09"/>
    <w:rsid w:val="005F10AB"/>
    <w:rsid w:val="005F22A3"/>
    <w:rsid w:val="005F50E0"/>
    <w:rsid w:val="00600A5D"/>
    <w:rsid w:val="006032E2"/>
    <w:rsid w:val="00606551"/>
    <w:rsid w:val="0061084C"/>
    <w:rsid w:val="00612C96"/>
    <w:rsid w:val="0061347B"/>
    <w:rsid w:val="00613B6A"/>
    <w:rsid w:val="00614129"/>
    <w:rsid w:val="006150CB"/>
    <w:rsid w:val="006210DD"/>
    <w:rsid w:val="00622173"/>
    <w:rsid w:val="00622853"/>
    <w:rsid w:val="0062428C"/>
    <w:rsid w:val="006257C8"/>
    <w:rsid w:val="006314F8"/>
    <w:rsid w:val="006326A9"/>
    <w:rsid w:val="00632C93"/>
    <w:rsid w:val="0063376C"/>
    <w:rsid w:val="006346E2"/>
    <w:rsid w:val="00634826"/>
    <w:rsid w:val="006436DA"/>
    <w:rsid w:val="00645EF8"/>
    <w:rsid w:val="006463AE"/>
    <w:rsid w:val="00646C82"/>
    <w:rsid w:val="00647DBF"/>
    <w:rsid w:val="00650863"/>
    <w:rsid w:val="006548B4"/>
    <w:rsid w:val="00654D33"/>
    <w:rsid w:val="006563D2"/>
    <w:rsid w:val="006568CE"/>
    <w:rsid w:val="00672945"/>
    <w:rsid w:val="00681158"/>
    <w:rsid w:val="0068192D"/>
    <w:rsid w:val="00682AA9"/>
    <w:rsid w:val="00682D45"/>
    <w:rsid w:val="006869AE"/>
    <w:rsid w:val="00691939"/>
    <w:rsid w:val="00692F95"/>
    <w:rsid w:val="00695C61"/>
    <w:rsid w:val="00695EED"/>
    <w:rsid w:val="006966D5"/>
    <w:rsid w:val="006A5E64"/>
    <w:rsid w:val="006A6684"/>
    <w:rsid w:val="006B0EF3"/>
    <w:rsid w:val="006B23FD"/>
    <w:rsid w:val="006B27D5"/>
    <w:rsid w:val="006B4B72"/>
    <w:rsid w:val="006C2661"/>
    <w:rsid w:val="006D2118"/>
    <w:rsid w:val="006D2B2C"/>
    <w:rsid w:val="006D4AE5"/>
    <w:rsid w:val="006D53D4"/>
    <w:rsid w:val="006E27D0"/>
    <w:rsid w:val="006E3C80"/>
    <w:rsid w:val="006E7168"/>
    <w:rsid w:val="006E77FE"/>
    <w:rsid w:val="006F064D"/>
    <w:rsid w:val="006F1621"/>
    <w:rsid w:val="006F1979"/>
    <w:rsid w:val="006F1AC7"/>
    <w:rsid w:val="006F1C32"/>
    <w:rsid w:val="006F2277"/>
    <w:rsid w:val="006F479B"/>
    <w:rsid w:val="006F6CC8"/>
    <w:rsid w:val="0070131C"/>
    <w:rsid w:val="007020B7"/>
    <w:rsid w:val="007022E3"/>
    <w:rsid w:val="007038DC"/>
    <w:rsid w:val="00705375"/>
    <w:rsid w:val="0070590A"/>
    <w:rsid w:val="00707FA2"/>
    <w:rsid w:val="007124B2"/>
    <w:rsid w:val="00712602"/>
    <w:rsid w:val="007128B1"/>
    <w:rsid w:val="00713A79"/>
    <w:rsid w:val="00715C1C"/>
    <w:rsid w:val="00721236"/>
    <w:rsid w:val="00723B6B"/>
    <w:rsid w:val="00724416"/>
    <w:rsid w:val="007267B4"/>
    <w:rsid w:val="007269A9"/>
    <w:rsid w:val="00730AAC"/>
    <w:rsid w:val="00733C65"/>
    <w:rsid w:val="007378AD"/>
    <w:rsid w:val="00741632"/>
    <w:rsid w:val="007420BF"/>
    <w:rsid w:val="007444CD"/>
    <w:rsid w:val="0074469C"/>
    <w:rsid w:val="00745C71"/>
    <w:rsid w:val="0075157E"/>
    <w:rsid w:val="00751C11"/>
    <w:rsid w:val="00752D01"/>
    <w:rsid w:val="00753970"/>
    <w:rsid w:val="007571A4"/>
    <w:rsid w:val="00762135"/>
    <w:rsid w:val="00765670"/>
    <w:rsid w:val="00766F5A"/>
    <w:rsid w:val="00767B4E"/>
    <w:rsid w:val="007718E9"/>
    <w:rsid w:val="007745E9"/>
    <w:rsid w:val="00775EC4"/>
    <w:rsid w:val="00781E85"/>
    <w:rsid w:val="00783203"/>
    <w:rsid w:val="007841D7"/>
    <w:rsid w:val="007844BB"/>
    <w:rsid w:val="00784B51"/>
    <w:rsid w:val="0078531E"/>
    <w:rsid w:val="00786AFC"/>
    <w:rsid w:val="00791FD2"/>
    <w:rsid w:val="0079311D"/>
    <w:rsid w:val="007944E9"/>
    <w:rsid w:val="00795A2D"/>
    <w:rsid w:val="007A32CE"/>
    <w:rsid w:val="007A6C78"/>
    <w:rsid w:val="007A6F2F"/>
    <w:rsid w:val="007B0031"/>
    <w:rsid w:val="007B0889"/>
    <w:rsid w:val="007B29DD"/>
    <w:rsid w:val="007B3001"/>
    <w:rsid w:val="007B3A3E"/>
    <w:rsid w:val="007B7106"/>
    <w:rsid w:val="007B786A"/>
    <w:rsid w:val="007C0A29"/>
    <w:rsid w:val="007C2EF6"/>
    <w:rsid w:val="007C47DC"/>
    <w:rsid w:val="007C4D13"/>
    <w:rsid w:val="007C641C"/>
    <w:rsid w:val="007C6467"/>
    <w:rsid w:val="007C707B"/>
    <w:rsid w:val="007D13A7"/>
    <w:rsid w:val="007D44D0"/>
    <w:rsid w:val="007D5217"/>
    <w:rsid w:val="007D52E3"/>
    <w:rsid w:val="007E14BF"/>
    <w:rsid w:val="007E4440"/>
    <w:rsid w:val="007E5333"/>
    <w:rsid w:val="007E6ADC"/>
    <w:rsid w:val="007E750E"/>
    <w:rsid w:val="007E7723"/>
    <w:rsid w:val="007F03F4"/>
    <w:rsid w:val="007F270E"/>
    <w:rsid w:val="007F312C"/>
    <w:rsid w:val="007F3B92"/>
    <w:rsid w:val="007F67AC"/>
    <w:rsid w:val="008036F5"/>
    <w:rsid w:val="00805541"/>
    <w:rsid w:val="00806561"/>
    <w:rsid w:val="00806DD3"/>
    <w:rsid w:val="00807158"/>
    <w:rsid w:val="00807B12"/>
    <w:rsid w:val="00811073"/>
    <w:rsid w:val="008112AA"/>
    <w:rsid w:val="008164B6"/>
    <w:rsid w:val="008166BD"/>
    <w:rsid w:val="00816891"/>
    <w:rsid w:val="00822CCD"/>
    <w:rsid w:val="00826DAF"/>
    <w:rsid w:val="0082705E"/>
    <w:rsid w:val="00830DEE"/>
    <w:rsid w:val="0083131B"/>
    <w:rsid w:val="008327EA"/>
    <w:rsid w:val="00832D83"/>
    <w:rsid w:val="0083387A"/>
    <w:rsid w:val="00837BB5"/>
    <w:rsid w:val="00842FC6"/>
    <w:rsid w:val="0085030D"/>
    <w:rsid w:val="00853469"/>
    <w:rsid w:val="0085428A"/>
    <w:rsid w:val="00854E96"/>
    <w:rsid w:val="008600FD"/>
    <w:rsid w:val="008620B2"/>
    <w:rsid w:val="0086279A"/>
    <w:rsid w:val="008647FB"/>
    <w:rsid w:val="00867CCD"/>
    <w:rsid w:val="008721A7"/>
    <w:rsid w:val="00874D6B"/>
    <w:rsid w:val="00875123"/>
    <w:rsid w:val="00876456"/>
    <w:rsid w:val="00880CF4"/>
    <w:rsid w:val="00881918"/>
    <w:rsid w:val="00885266"/>
    <w:rsid w:val="00887552"/>
    <w:rsid w:val="008876AC"/>
    <w:rsid w:val="008934DA"/>
    <w:rsid w:val="00895FDE"/>
    <w:rsid w:val="00896DDE"/>
    <w:rsid w:val="00897396"/>
    <w:rsid w:val="008974DB"/>
    <w:rsid w:val="008A3399"/>
    <w:rsid w:val="008A7128"/>
    <w:rsid w:val="008B18C7"/>
    <w:rsid w:val="008B19C0"/>
    <w:rsid w:val="008B20F8"/>
    <w:rsid w:val="008B31AA"/>
    <w:rsid w:val="008C2777"/>
    <w:rsid w:val="008C2E55"/>
    <w:rsid w:val="008C307A"/>
    <w:rsid w:val="008C6599"/>
    <w:rsid w:val="008C6945"/>
    <w:rsid w:val="008C6F00"/>
    <w:rsid w:val="008D2EF7"/>
    <w:rsid w:val="008D301A"/>
    <w:rsid w:val="008D47BE"/>
    <w:rsid w:val="008D69EF"/>
    <w:rsid w:val="008D7BC9"/>
    <w:rsid w:val="008E0483"/>
    <w:rsid w:val="008E266A"/>
    <w:rsid w:val="008E3AA3"/>
    <w:rsid w:val="008F2885"/>
    <w:rsid w:val="008F3602"/>
    <w:rsid w:val="008F5BB5"/>
    <w:rsid w:val="0090049E"/>
    <w:rsid w:val="009014E0"/>
    <w:rsid w:val="009056C7"/>
    <w:rsid w:val="00916AA6"/>
    <w:rsid w:val="009179E7"/>
    <w:rsid w:val="00931A2C"/>
    <w:rsid w:val="009338C2"/>
    <w:rsid w:val="00935D28"/>
    <w:rsid w:val="00936E01"/>
    <w:rsid w:val="009370FC"/>
    <w:rsid w:val="00940F54"/>
    <w:rsid w:val="009434CF"/>
    <w:rsid w:val="009444E2"/>
    <w:rsid w:val="009444EB"/>
    <w:rsid w:val="0094450D"/>
    <w:rsid w:val="00946F5C"/>
    <w:rsid w:val="00947B16"/>
    <w:rsid w:val="00951399"/>
    <w:rsid w:val="00960976"/>
    <w:rsid w:val="00964399"/>
    <w:rsid w:val="00964AD2"/>
    <w:rsid w:val="00967FC0"/>
    <w:rsid w:val="0097147A"/>
    <w:rsid w:val="009727C0"/>
    <w:rsid w:val="00972CDE"/>
    <w:rsid w:val="0097515F"/>
    <w:rsid w:val="0097665C"/>
    <w:rsid w:val="00976BC7"/>
    <w:rsid w:val="0098086F"/>
    <w:rsid w:val="0098671E"/>
    <w:rsid w:val="00986C03"/>
    <w:rsid w:val="00990877"/>
    <w:rsid w:val="00991410"/>
    <w:rsid w:val="0099191F"/>
    <w:rsid w:val="00995936"/>
    <w:rsid w:val="009A1B74"/>
    <w:rsid w:val="009A3CB4"/>
    <w:rsid w:val="009A42A6"/>
    <w:rsid w:val="009A5355"/>
    <w:rsid w:val="009A7CA6"/>
    <w:rsid w:val="009B044E"/>
    <w:rsid w:val="009B13D3"/>
    <w:rsid w:val="009B1CA7"/>
    <w:rsid w:val="009B3CD5"/>
    <w:rsid w:val="009B4C02"/>
    <w:rsid w:val="009B620D"/>
    <w:rsid w:val="009C36AE"/>
    <w:rsid w:val="009D55BE"/>
    <w:rsid w:val="009D775C"/>
    <w:rsid w:val="009E120E"/>
    <w:rsid w:val="009E2360"/>
    <w:rsid w:val="009E51BE"/>
    <w:rsid w:val="009E5CD7"/>
    <w:rsid w:val="009E62EE"/>
    <w:rsid w:val="009E62FF"/>
    <w:rsid w:val="009E7D71"/>
    <w:rsid w:val="009F081B"/>
    <w:rsid w:val="009F2395"/>
    <w:rsid w:val="009F572A"/>
    <w:rsid w:val="009F67CE"/>
    <w:rsid w:val="009F72D1"/>
    <w:rsid w:val="009F7D75"/>
    <w:rsid w:val="00A03B7D"/>
    <w:rsid w:val="00A03DDE"/>
    <w:rsid w:val="00A05EB2"/>
    <w:rsid w:val="00A07B95"/>
    <w:rsid w:val="00A20C23"/>
    <w:rsid w:val="00A212D3"/>
    <w:rsid w:val="00A25324"/>
    <w:rsid w:val="00A25437"/>
    <w:rsid w:val="00A30C78"/>
    <w:rsid w:val="00A31B9E"/>
    <w:rsid w:val="00A35DF8"/>
    <w:rsid w:val="00A371A6"/>
    <w:rsid w:val="00A439F0"/>
    <w:rsid w:val="00A47B77"/>
    <w:rsid w:val="00A51E78"/>
    <w:rsid w:val="00A5629F"/>
    <w:rsid w:val="00A56558"/>
    <w:rsid w:val="00A57526"/>
    <w:rsid w:val="00A63F92"/>
    <w:rsid w:val="00A63F9A"/>
    <w:rsid w:val="00A7083B"/>
    <w:rsid w:val="00A71451"/>
    <w:rsid w:val="00A72030"/>
    <w:rsid w:val="00A76208"/>
    <w:rsid w:val="00A77ABC"/>
    <w:rsid w:val="00A8198A"/>
    <w:rsid w:val="00A848C3"/>
    <w:rsid w:val="00A860C3"/>
    <w:rsid w:val="00A87D7B"/>
    <w:rsid w:val="00A93FF0"/>
    <w:rsid w:val="00A96056"/>
    <w:rsid w:val="00A962E2"/>
    <w:rsid w:val="00AA079B"/>
    <w:rsid w:val="00AA0AF0"/>
    <w:rsid w:val="00AA2720"/>
    <w:rsid w:val="00AA51B8"/>
    <w:rsid w:val="00AA766A"/>
    <w:rsid w:val="00AB2475"/>
    <w:rsid w:val="00AC01F4"/>
    <w:rsid w:val="00AC0592"/>
    <w:rsid w:val="00AC08F3"/>
    <w:rsid w:val="00AC0F0D"/>
    <w:rsid w:val="00AD6A0F"/>
    <w:rsid w:val="00AD745C"/>
    <w:rsid w:val="00AE1492"/>
    <w:rsid w:val="00AE3589"/>
    <w:rsid w:val="00AE52BC"/>
    <w:rsid w:val="00AF0205"/>
    <w:rsid w:val="00AF07CA"/>
    <w:rsid w:val="00AF114C"/>
    <w:rsid w:val="00AF201C"/>
    <w:rsid w:val="00AF374C"/>
    <w:rsid w:val="00AF39FA"/>
    <w:rsid w:val="00AF7BD3"/>
    <w:rsid w:val="00B00EED"/>
    <w:rsid w:val="00B028C0"/>
    <w:rsid w:val="00B02CEE"/>
    <w:rsid w:val="00B0370A"/>
    <w:rsid w:val="00B03856"/>
    <w:rsid w:val="00B05ADF"/>
    <w:rsid w:val="00B062A0"/>
    <w:rsid w:val="00B076E9"/>
    <w:rsid w:val="00B1059A"/>
    <w:rsid w:val="00B14772"/>
    <w:rsid w:val="00B230C0"/>
    <w:rsid w:val="00B23725"/>
    <w:rsid w:val="00B301A5"/>
    <w:rsid w:val="00B307B1"/>
    <w:rsid w:val="00B342BE"/>
    <w:rsid w:val="00B3627A"/>
    <w:rsid w:val="00B41EB8"/>
    <w:rsid w:val="00B43B44"/>
    <w:rsid w:val="00B44A23"/>
    <w:rsid w:val="00B5058D"/>
    <w:rsid w:val="00B51075"/>
    <w:rsid w:val="00B51DC2"/>
    <w:rsid w:val="00B52138"/>
    <w:rsid w:val="00B54018"/>
    <w:rsid w:val="00B546E9"/>
    <w:rsid w:val="00B566D8"/>
    <w:rsid w:val="00B573C7"/>
    <w:rsid w:val="00B62453"/>
    <w:rsid w:val="00B6586E"/>
    <w:rsid w:val="00B714BA"/>
    <w:rsid w:val="00B720BA"/>
    <w:rsid w:val="00B73797"/>
    <w:rsid w:val="00B74535"/>
    <w:rsid w:val="00B750D8"/>
    <w:rsid w:val="00B771C3"/>
    <w:rsid w:val="00B77500"/>
    <w:rsid w:val="00B827BD"/>
    <w:rsid w:val="00B82E62"/>
    <w:rsid w:val="00B830FA"/>
    <w:rsid w:val="00B84173"/>
    <w:rsid w:val="00B84DBE"/>
    <w:rsid w:val="00B856AF"/>
    <w:rsid w:val="00B86EF8"/>
    <w:rsid w:val="00B91A5C"/>
    <w:rsid w:val="00B92943"/>
    <w:rsid w:val="00B94B36"/>
    <w:rsid w:val="00B95334"/>
    <w:rsid w:val="00B97BAE"/>
    <w:rsid w:val="00B97FA5"/>
    <w:rsid w:val="00BA0BF0"/>
    <w:rsid w:val="00BA1A84"/>
    <w:rsid w:val="00BA4475"/>
    <w:rsid w:val="00BA582F"/>
    <w:rsid w:val="00BA597B"/>
    <w:rsid w:val="00BA62E3"/>
    <w:rsid w:val="00BB176E"/>
    <w:rsid w:val="00BC3DF5"/>
    <w:rsid w:val="00BC7D1E"/>
    <w:rsid w:val="00BD1262"/>
    <w:rsid w:val="00BD2653"/>
    <w:rsid w:val="00BD2D08"/>
    <w:rsid w:val="00BD461A"/>
    <w:rsid w:val="00BD6073"/>
    <w:rsid w:val="00BD7C6F"/>
    <w:rsid w:val="00BE42F2"/>
    <w:rsid w:val="00BF004D"/>
    <w:rsid w:val="00BF01D9"/>
    <w:rsid w:val="00BF7DEB"/>
    <w:rsid w:val="00C0335A"/>
    <w:rsid w:val="00C075F1"/>
    <w:rsid w:val="00C10756"/>
    <w:rsid w:val="00C110B3"/>
    <w:rsid w:val="00C13EBD"/>
    <w:rsid w:val="00C14951"/>
    <w:rsid w:val="00C1515A"/>
    <w:rsid w:val="00C166FF"/>
    <w:rsid w:val="00C16981"/>
    <w:rsid w:val="00C1729A"/>
    <w:rsid w:val="00C173B2"/>
    <w:rsid w:val="00C17B9B"/>
    <w:rsid w:val="00C21C36"/>
    <w:rsid w:val="00C26DE1"/>
    <w:rsid w:val="00C279C1"/>
    <w:rsid w:val="00C27A91"/>
    <w:rsid w:val="00C27F39"/>
    <w:rsid w:val="00C302FC"/>
    <w:rsid w:val="00C32D2A"/>
    <w:rsid w:val="00C3387E"/>
    <w:rsid w:val="00C343D9"/>
    <w:rsid w:val="00C366F6"/>
    <w:rsid w:val="00C37CE0"/>
    <w:rsid w:val="00C401DB"/>
    <w:rsid w:val="00C41F10"/>
    <w:rsid w:val="00C453B5"/>
    <w:rsid w:val="00C45ECA"/>
    <w:rsid w:val="00C55B2A"/>
    <w:rsid w:val="00C5621A"/>
    <w:rsid w:val="00C578A1"/>
    <w:rsid w:val="00C60743"/>
    <w:rsid w:val="00C627C6"/>
    <w:rsid w:val="00C666B0"/>
    <w:rsid w:val="00C67CB1"/>
    <w:rsid w:val="00C67E0B"/>
    <w:rsid w:val="00C7009C"/>
    <w:rsid w:val="00C70300"/>
    <w:rsid w:val="00C70800"/>
    <w:rsid w:val="00C773D7"/>
    <w:rsid w:val="00C8185A"/>
    <w:rsid w:val="00C81B33"/>
    <w:rsid w:val="00C84E38"/>
    <w:rsid w:val="00C85684"/>
    <w:rsid w:val="00C85AEB"/>
    <w:rsid w:val="00C925D7"/>
    <w:rsid w:val="00C93B21"/>
    <w:rsid w:val="00CA00C8"/>
    <w:rsid w:val="00CA2C3A"/>
    <w:rsid w:val="00CB1C21"/>
    <w:rsid w:val="00CC2FFB"/>
    <w:rsid w:val="00CC4E4D"/>
    <w:rsid w:val="00CC58AC"/>
    <w:rsid w:val="00CD05BC"/>
    <w:rsid w:val="00CD3925"/>
    <w:rsid w:val="00CD3AA1"/>
    <w:rsid w:val="00CD45D1"/>
    <w:rsid w:val="00CD49D2"/>
    <w:rsid w:val="00CE08B5"/>
    <w:rsid w:val="00CE10C5"/>
    <w:rsid w:val="00CE4894"/>
    <w:rsid w:val="00CE501B"/>
    <w:rsid w:val="00CF6C06"/>
    <w:rsid w:val="00D0106C"/>
    <w:rsid w:val="00D04A00"/>
    <w:rsid w:val="00D07CA7"/>
    <w:rsid w:val="00D148AB"/>
    <w:rsid w:val="00D20381"/>
    <w:rsid w:val="00D22927"/>
    <w:rsid w:val="00D22BD6"/>
    <w:rsid w:val="00D22D30"/>
    <w:rsid w:val="00D23368"/>
    <w:rsid w:val="00D267B9"/>
    <w:rsid w:val="00D2686F"/>
    <w:rsid w:val="00D26C08"/>
    <w:rsid w:val="00D31CD3"/>
    <w:rsid w:val="00D32419"/>
    <w:rsid w:val="00D326E1"/>
    <w:rsid w:val="00D327C7"/>
    <w:rsid w:val="00D366C7"/>
    <w:rsid w:val="00D36BED"/>
    <w:rsid w:val="00D40B09"/>
    <w:rsid w:val="00D4421B"/>
    <w:rsid w:val="00D45FC1"/>
    <w:rsid w:val="00D5006E"/>
    <w:rsid w:val="00D50CC9"/>
    <w:rsid w:val="00D5502C"/>
    <w:rsid w:val="00D566D3"/>
    <w:rsid w:val="00D610FF"/>
    <w:rsid w:val="00D61CBC"/>
    <w:rsid w:val="00D62F66"/>
    <w:rsid w:val="00D705C6"/>
    <w:rsid w:val="00D705EF"/>
    <w:rsid w:val="00D726CD"/>
    <w:rsid w:val="00D73C53"/>
    <w:rsid w:val="00D74124"/>
    <w:rsid w:val="00D74E5F"/>
    <w:rsid w:val="00D7523D"/>
    <w:rsid w:val="00D76670"/>
    <w:rsid w:val="00D76DF4"/>
    <w:rsid w:val="00D84BA6"/>
    <w:rsid w:val="00D84D63"/>
    <w:rsid w:val="00D85C64"/>
    <w:rsid w:val="00D86380"/>
    <w:rsid w:val="00D91539"/>
    <w:rsid w:val="00D94FCD"/>
    <w:rsid w:val="00D95A1D"/>
    <w:rsid w:val="00D96F86"/>
    <w:rsid w:val="00DA4750"/>
    <w:rsid w:val="00DA5C97"/>
    <w:rsid w:val="00DA65E2"/>
    <w:rsid w:val="00DA7015"/>
    <w:rsid w:val="00DB178E"/>
    <w:rsid w:val="00DB2183"/>
    <w:rsid w:val="00DB21B3"/>
    <w:rsid w:val="00DB24D0"/>
    <w:rsid w:val="00DB2631"/>
    <w:rsid w:val="00DB43E0"/>
    <w:rsid w:val="00DB4796"/>
    <w:rsid w:val="00DB7D3C"/>
    <w:rsid w:val="00DC29C2"/>
    <w:rsid w:val="00DC30FF"/>
    <w:rsid w:val="00DC492C"/>
    <w:rsid w:val="00DD080A"/>
    <w:rsid w:val="00DD6C2C"/>
    <w:rsid w:val="00DE1D22"/>
    <w:rsid w:val="00DE238B"/>
    <w:rsid w:val="00DE3B29"/>
    <w:rsid w:val="00DE496F"/>
    <w:rsid w:val="00DF0E67"/>
    <w:rsid w:val="00DF1214"/>
    <w:rsid w:val="00DF2F6A"/>
    <w:rsid w:val="00DF49E1"/>
    <w:rsid w:val="00DF4BA9"/>
    <w:rsid w:val="00DF51DE"/>
    <w:rsid w:val="00DF5F01"/>
    <w:rsid w:val="00E009D9"/>
    <w:rsid w:val="00E0117A"/>
    <w:rsid w:val="00E02447"/>
    <w:rsid w:val="00E02524"/>
    <w:rsid w:val="00E02C41"/>
    <w:rsid w:val="00E030BE"/>
    <w:rsid w:val="00E13707"/>
    <w:rsid w:val="00E17199"/>
    <w:rsid w:val="00E174CC"/>
    <w:rsid w:val="00E17637"/>
    <w:rsid w:val="00E17709"/>
    <w:rsid w:val="00E20CA7"/>
    <w:rsid w:val="00E21CE5"/>
    <w:rsid w:val="00E23359"/>
    <w:rsid w:val="00E2531B"/>
    <w:rsid w:val="00E25C5F"/>
    <w:rsid w:val="00E32D66"/>
    <w:rsid w:val="00E33584"/>
    <w:rsid w:val="00E34811"/>
    <w:rsid w:val="00E34A6A"/>
    <w:rsid w:val="00E36590"/>
    <w:rsid w:val="00E36BF1"/>
    <w:rsid w:val="00E36E43"/>
    <w:rsid w:val="00E37320"/>
    <w:rsid w:val="00E37FCA"/>
    <w:rsid w:val="00E405BE"/>
    <w:rsid w:val="00E409F6"/>
    <w:rsid w:val="00E40AD6"/>
    <w:rsid w:val="00E41DEA"/>
    <w:rsid w:val="00E44246"/>
    <w:rsid w:val="00E447A8"/>
    <w:rsid w:val="00E4493D"/>
    <w:rsid w:val="00E47095"/>
    <w:rsid w:val="00E50E3D"/>
    <w:rsid w:val="00E51844"/>
    <w:rsid w:val="00E51A90"/>
    <w:rsid w:val="00E51B73"/>
    <w:rsid w:val="00E54E16"/>
    <w:rsid w:val="00E556FB"/>
    <w:rsid w:val="00E57B86"/>
    <w:rsid w:val="00E615D9"/>
    <w:rsid w:val="00E64C67"/>
    <w:rsid w:val="00E64D56"/>
    <w:rsid w:val="00E65D62"/>
    <w:rsid w:val="00E6612A"/>
    <w:rsid w:val="00E701B5"/>
    <w:rsid w:val="00E70A89"/>
    <w:rsid w:val="00E725FF"/>
    <w:rsid w:val="00E74C1C"/>
    <w:rsid w:val="00E75AC4"/>
    <w:rsid w:val="00E75BF2"/>
    <w:rsid w:val="00E765DE"/>
    <w:rsid w:val="00E76BEB"/>
    <w:rsid w:val="00E85F04"/>
    <w:rsid w:val="00E85FE8"/>
    <w:rsid w:val="00E9041F"/>
    <w:rsid w:val="00E936E5"/>
    <w:rsid w:val="00E96973"/>
    <w:rsid w:val="00E9799F"/>
    <w:rsid w:val="00EA0679"/>
    <w:rsid w:val="00EA22E3"/>
    <w:rsid w:val="00EA5164"/>
    <w:rsid w:val="00EA574D"/>
    <w:rsid w:val="00EB41CD"/>
    <w:rsid w:val="00EB5595"/>
    <w:rsid w:val="00EB6F4F"/>
    <w:rsid w:val="00EB7B29"/>
    <w:rsid w:val="00EB7F5A"/>
    <w:rsid w:val="00EC1438"/>
    <w:rsid w:val="00EC19D4"/>
    <w:rsid w:val="00EC2EE3"/>
    <w:rsid w:val="00EC3944"/>
    <w:rsid w:val="00EC488F"/>
    <w:rsid w:val="00EC7194"/>
    <w:rsid w:val="00ED04DC"/>
    <w:rsid w:val="00ED3266"/>
    <w:rsid w:val="00EE06C9"/>
    <w:rsid w:val="00EE16E9"/>
    <w:rsid w:val="00EE63EB"/>
    <w:rsid w:val="00EF06E5"/>
    <w:rsid w:val="00EF0844"/>
    <w:rsid w:val="00EF0FFF"/>
    <w:rsid w:val="00EF1932"/>
    <w:rsid w:val="00EF2A16"/>
    <w:rsid w:val="00EF3CEB"/>
    <w:rsid w:val="00EF4635"/>
    <w:rsid w:val="00EF569A"/>
    <w:rsid w:val="00EF5795"/>
    <w:rsid w:val="00EF76A4"/>
    <w:rsid w:val="00F04ECE"/>
    <w:rsid w:val="00F06A33"/>
    <w:rsid w:val="00F07055"/>
    <w:rsid w:val="00F07C79"/>
    <w:rsid w:val="00F14C26"/>
    <w:rsid w:val="00F1769F"/>
    <w:rsid w:val="00F17FC3"/>
    <w:rsid w:val="00F2153F"/>
    <w:rsid w:val="00F23794"/>
    <w:rsid w:val="00F30633"/>
    <w:rsid w:val="00F31D0F"/>
    <w:rsid w:val="00F40FA7"/>
    <w:rsid w:val="00F47808"/>
    <w:rsid w:val="00F47C0B"/>
    <w:rsid w:val="00F51187"/>
    <w:rsid w:val="00F5259B"/>
    <w:rsid w:val="00F52D95"/>
    <w:rsid w:val="00F5379B"/>
    <w:rsid w:val="00F5459E"/>
    <w:rsid w:val="00F5519F"/>
    <w:rsid w:val="00F5540C"/>
    <w:rsid w:val="00F607AE"/>
    <w:rsid w:val="00F61BF2"/>
    <w:rsid w:val="00F62180"/>
    <w:rsid w:val="00F63ABA"/>
    <w:rsid w:val="00F6611A"/>
    <w:rsid w:val="00F661A9"/>
    <w:rsid w:val="00F67B4C"/>
    <w:rsid w:val="00F71668"/>
    <w:rsid w:val="00F71A72"/>
    <w:rsid w:val="00F73021"/>
    <w:rsid w:val="00F80E24"/>
    <w:rsid w:val="00F832CA"/>
    <w:rsid w:val="00F84BB0"/>
    <w:rsid w:val="00F87575"/>
    <w:rsid w:val="00F87A3F"/>
    <w:rsid w:val="00F95108"/>
    <w:rsid w:val="00F9596E"/>
    <w:rsid w:val="00FA2417"/>
    <w:rsid w:val="00FA3B4D"/>
    <w:rsid w:val="00FA578E"/>
    <w:rsid w:val="00FA6171"/>
    <w:rsid w:val="00FA6D1A"/>
    <w:rsid w:val="00FA71BD"/>
    <w:rsid w:val="00FA7C6C"/>
    <w:rsid w:val="00FB2BF9"/>
    <w:rsid w:val="00FB62B1"/>
    <w:rsid w:val="00FB6325"/>
    <w:rsid w:val="00FB7E1F"/>
    <w:rsid w:val="00FC09CF"/>
    <w:rsid w:val="00FC1198"/>
    <w:rsid w:val="00FC2624"/>
    <w:rsid w:val="00FC32B0"/>
    <w:rsid w:val="00FC732A"/>
    <w:rsid w:val="00FD1F56"/>
    <w:rsid w:val="00FD3C76"/>
    <w:rsid w:val="00FD4276"/>
    <w:rsid w:val="00FD5A6A"/>
    <w:rsid w:val="00FE0923"/>
    <w:rsid w:val="00FE27E6"/>
    <w:rsid w:val="00FE5B79"/>
    <w:rsid w:val="00FE7114"/>
    <w:rsid w:val="00FF1ECE"/>
    <w:rsid w:val="00FF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8C4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CF"/>
    <w:pPr>
      <w:spacing w:after="200" w:line="276" w:lineRule="auto"/>
    </w:pPr>
    <w:rPr>
      <w:rFonts w:cs="Calibri"/>
      <w:w w:val="105"/>
      <w:kern w:val="40"/>
      <w:sz w:val="22"/>
      <w:szCs w:val="22"/>
      <w:lang w:eastAsia="en-US"/>
    </w:rPr>
  </w:style>
  <w:style w:type="paragraph" w:styleId="Heading1">
    <w:name w:val="heading 1"/>
    <w:basedOn w:val="Normal"/>
    <w:next w:val="Normal"/>
    <w:link w:val="Heading1Char"/>
    <w:uiPriority w:val="9"/>
    <w:qFormat/>
    <w:rsid w:val="00323751"/>
    <w:pPr>
      <w:keepNext/>
      <w:spacing w:after="240" w:line="240" w:lineRule="auto"/>
      <w:jc w:val="right"/>
      <w:outlineLvl w:val="0"/>
    </w:pPr>
    <w:rPr>
      <w:rFonts w:eastAsia="SimSun" w:cs="Angsana New"/>
      <w:b/>
      <w:bCs/>
      <w:color w:val="404040"/>
      <w:kern w:val="32"/>
      <w:sz w:val="52"/>
      <w:szCs w:val="52"/>
    </w:rPr>
  </w:style>
  <w:style w:type="paragraph" w:styleId="Heading2">
    <w:name w:val="heading 2"/>
    <w:basedOn w:val="Heading3"/>
    <w:next w:val="Normal"/>
    <w:link w:val="Heading2Char"/>
    <w:uiPriority w:val="9"/>
    <w:unhideWhenUsed/>
    <w:qFormat/>
    <w:rsid w:val="00A25324"/>
    <w:pPr>
      <w:outlineLvl w:val="1"/>
    </w:pPr>
  </w:style>
  <w:style w:type="paragraph" w:styleId="Heading3">
    <w:name w:val="heading 3"/>
    <w:basedOn w:val="Normal"/>
    <w:next w:val="Normal"/>
    <w:link w:val="Heading3Char"/>
    <w:uiPriority w:val="9"/>
    <w:unhideWhenUsed/>
    <w:qFormat/>
    <w:rsid w:val="006150CB"/>
    <w:pPr>
      <w:keepNext/>
      <w:spacing w:after="60" w:line="240" w:lineRule="auto"/>
      <w:outlineLvl w:val="2"/>
    </w:pPr>
    <w:rPr>
      <w:rFonts w:eastAsia="SimSun" w:cs="Angsana New"/>
      <w:b/>
      <w:bCs/>
      <w:color w:val="404040"/>
      <w:sz w:val="32"/>
      <w:szCs w:val="32"/>
    </w:rPr>
  </w:style>
  <w:style w:type="paragraph" w:styleId="Heading4">
    <w:name w:val="heading 4"/>
    <w:basedOn w:val="Heading3"/>
    <w:next w:val="Normal"/>
    <w:link w:val="Heading4Char"/>
    <w:uiPriority w:val="9"/>
    <w:unhideWhenUsed/>
    <w:qFormat/>
    <w:rsid w:val="0098671E"/>
    <w:pPr>
      <w:outlineLvl w:val="3"/>
    </w:pPr>
    <w:rPr>
      <w:color w:val="595959" w:themeColor="text1" w:themeTint="A6"/>
      <w:sz w:val="26"/>
      <w:szCs w:val="26"/>
    </w:rPr>
  </w:style>
  <w:style w:type="paragraph" w:styleId="Heading5">
    <w:name w:val="heading 5"/>
    <w:basedOn w:val="Normal"/>
    <w:next w:val="Normal"/>
    <w:link w:val="Heading5Char"/>
    <w:uiPriority w:val="9"/>
    <w:unhideWhenUsed/>
    <w:qFormat/>
    <w:rsid w:val="006568C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60976"/>
    <w:rPr>
      <w:rFonts w:eastAsia="SimSun" w:cs="Angsana New"/>
      <w:b/>
      <w:bCs/>
      <w:color w:val="404040"/>
      <w:w w:val="105"/>
      <w:kern w:val="32"/>
      <w:sz w:val="52"/>
      <w:szCs w:val="52"/>
      <w:lang w:eastAsia="en-US"/>
    </w:rPr>
  </w:style>
  <w:style w:type="paragraph" w:styleId="Title">
    <w:name w:val="Title"/>
    <w:basedOn w:val="Normal"/>
    <w:next w:val="Normal"/>
    <w:link w:val="TitleChar"/>
    <w:uiPriority w:val="10"/>
    <w:qFormat/>
    <w:rsid w:val="006150CB"/>
    <w:pPr>
      <w:spacing w:before="240" w:after="60" w:line="240" w:lineRule="auto"/>
      <w:outlineLvl w:val="0"/>
    </w:pPr>
    <w:rPr>
      <w:rFonts w:eastAsia="SimSun" w:cs="Angsana New"/>
      <w:b/>
      <w:bCs/>
      <w:noProof/>
      <w:kern w:val="28"/>
      <w:sz w:val="56"/>
      <w:szCs w:val="32"/>
    </w:rPr>
  </w:style>
  <w:style w:type="character" w:customStyle="1" w:styleId="TitleChar">
    <w:name w:val="Title Char"/>
    <w:link w:val="Title"/>
    <w:uiPriority w:val="10"/>
    <w:rsid w:val="006150CB"/>
    <w:rPr>
      <w:rFonts w:eastAsia="SimSun" w:cs="Angsana New"/>
      <w:b/>
      <w:bCs/>
      <w:noProof/>
      <w:w w:val="105"/>
      <w:kern w:val="28"/>
      <w:sz w:val="56"/>
      <w:szCs w:val="32"/>
      <w:lang w:eastAsia="en-US"/>
    </w:rPr>
  </w:style>
  <w:style w:type="character" w:customStyle="1" w:styleId="Heading2Char">
    <w:name w:val="Heading 2 Char"/>
    <w:link w:val="Heading2"/>
    <w:uiPriority w:val="9"/>
    <w:rsid w:val="00A25324"/>
    <w:rPr>
      <w:rFonts w:eastAsia="SimSun" w:cs="Angsana New"/>
      <w:b/>
      <w:bCs/>
      <w:color w:val="404040"/>
      <w:w w:val="105"/>
      <w:kern w:val="40"/>
      <w:sz w:val="32"/>
      <w:szCs w:val="32"/>
      <w:lang w:eastAsia="en-US"/>
    </w:rPr>
  </w:style>
  <w:style w:type="paragraph" w:styleId="Subtitle">
    <w:name w:val="Subtitle"/>
    <w:basedOn w:val="Title"/>
    <w:next w:val="Normal"/>
    <w:link w:val="SubtitleChar"/>
    <w:uiPriority w:val="11"/>
    <w:qFormat/>
    <w:rsid w:val="006150CB"/>
    <w:pPr>
      <w:jc w:val="right"/>
    </w:pPr>
    <w:rPr>
      <w:sz w:val="28"/>
      <w:szCs w:val="28"/>
    </w:rPr>
  </w:style>
  <w:style w:type="character" w:customStyle="1" w:styleId="SubtitleChar">
    <w:name w:val="Subtitle Char"/>
    <w:link w:val="Subtitle"/>
    <w:uiPriority w:val="11"/>
    <w:rsid w:val="006150CB"/>
    <w:rPr>
      <w:rFonts w:eastAsia="SimSun" w:cs="Angsana New"/>
      <w:b/>
      <w:bCs/>
      <w:noProof/>
      <w:w w:val="105"/>
      <w:kern w:val="28"/>
      <w:sz w:val="28"/>
      <w:szCs w:val="28"/>
      <w:lang w:eastAsia="en-US"/>
    </w:rPr>
  </w:style>
  <w:style w:type="character" w:customStyle="1" w:styleId="Heading3Char">
    <w:name w:val="Heading 3 Char"/>
    <w:link w:val="Heading3"/>
    <w:uiPriority w:val="9"/>
    <w:rsid w:val="006150CB"/>
    <w:rPr>
      <w:rFonts w:eastAsia="SimSun" w:cs="Angsana New"/>
      <w:b/>
      <w:bCs/>
      <w:color w:val="404040"/>
      <w:w w:val="105"/>
      <w:kern w:val="40"/>
      <w:sz w:val="32"/>
      <w:szCs w:val="32"/>
      <w:lang w:eastAsia="en-US"/>
    </w:rPr>
  </w:style>
  <w:style w:type="paragraph" w:styleId="Header">
    <w:name w:val="header"/>
    <w:basedOn w:val="Normal"/>
    <w:link w:val="HeaderChar"/>
    <w:uiPriority w:val="99"/>
    <w:unhideWhenUsed/>
    <w:rsid w:val="006150CB"/>
    <w:pPr>
      <w:tabs>
        <w:tab w:val="center" w:pos="4513"/>
        <w:tab w:val="right" w:pos="9026"/>
      </w:tabs>
    </w:pPr>
  </w:style>
  <w:style w:type="character" w:customStyle="1" w:styleId="HeaderChar">
    <w:name w:val="Header Char"/>
    <w:link w:val="Header"/>
    <w:uiPriority w:val="99"/>
    <w:rsid w:val="006150CB"/>
    <w:rPr>
      <w:sz w:val="22"/>
      <w:szCs w:val="22"/>
      <w:lang w:eastAsia="en-US"/>
    </w:rPr>
  </w:style>
  <w:style w:type="paragraph" w:styleId="Footer">
    <w:name w:val="footer"/>
    <w:basedOn w:val="Normal"/>
    <w:link w:val="FooterChar"/>
    <w:uiPriority w:val="99"/>
    <w:unhideWhenUsed/>
    <w:rsid w:val="006150CB"/>
    <w:pPr>
      <w:tabs>
        <w:tab w:val="center" w:pos="4513"/>
        <w:tab w:val="right" w:pos="9026"/>
      </w:tabs>
    </w:pPr>
  </w:style>
  <w:style w:type="character" w:customStyle="1" w:styleId="FooterChar">
    <w:name w:val="Footer Char"/>
    <w:link w:val="Footer"/>
    <w:uiPriority w:val="99"/>
    <w:rsid w:val="006150CB"/>
    <w:rPr>
      <w:sz w:val="22"/>
      <w:szCs w:val="22"/>
      <w:lang w:eastAsia="en-US"/>
    </w:rPr>
  </w:style>
  <w:style w:type="paragraph" w:styleId="BalloonText">
    <w:name w:val="Balloon Text"/>
    <w:basedOn w:val="Normal"/>
    <w:link w:val="BalloonTextChar"/>
    <w:uiPriority w:val="99"/>
    <w:semiHidden/>
    <w:unhideWhenUsed/>
    <w:rsid w:val="005C1B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1BB3"/>
    <w:rPr>
      <w:rFonts w:ascii="Tahoma" w:hAnsi="Tahoma" w:cs="Tahoma"/>
      <w:w w:val="105"/>
      <w:kern w:val="40"/>
      <w:sz w:val="16"/>
      <w:szCs w:val="16"/>
      <w:lang w:eastAsia="en-US"/>
    </w:rPr>
  </w:style>
  <w:style w:type="paragraph" w:customStyle="1" w:styleId="Bullet1">
    <w:name w:val="Bullet 1"/>
    <w:basedOn w:val="ListBullet2"/>
    <w:autoRedefine/>
    <w:qFormat/>
    <w:rsid w:val="00151A0A"/>
    <w:pPr>
      <w:numPr>
        <w:ilvl w:val="0"/>
      </w:numPr>
      <w:ind w:left="567" w:hanging="567"/>
    </w:pPr>
  </w:style>
  <w:style w:type="numbering" w:customStyle="1" w:styleId="Bullet2">
    <w:name w:val="Bullet 2"/>
    <w:basedOn w:val="NoList"/>
    <w:uiPriority w:val="99"/>
    <w:rsid w:val="0011430B"/>
    <w:pPr>
      <w:numPr>
        <w:numId w:val="2"/>
      </w:numPr>
    </w:pPr>
  </w:style>
  <w:style w:type="paragraph" w:styleId="ListBullet2">
    <w:name w:val="List Bullet 2"/>
    <w:basedOn w:val="ListBullet"/>
    <w:autoRedefine/>
    <w:uiPriority w:val="99"/>
    <w:unhideWhenUsed/>
    <w:qFormat/>
    <w:rsid w:val="00151A0A"/>
    <w:pPr>
      <w:ind w:left="1134" w:hanging="567"/>
    </w:pPr>
  </w:style>
  <w:style w:type="character" w:customStyle="1" w:styleId="Heading4Char">
    <w:name w:val="Heading 4 Char"/>
    <w:basedOn w:val="DefaultParagraphFont"/>
    <w:link w:val="Heading4"/>
    <w:uiPriority w:val="9"/>
    <w:rsid w:val="0098671E"/>
    <w:rPr>
      <w:rFonts w:eastAsia="SimSun" w:cs="Angsana New"/>
      <w:b/>
      <w:bCs/>
      <w:color w:val="595959" w:themeColor="text1" w:themeTint="A6"/>
      <w:w w:val="105"/>
      <w:kern w:val="40"/>
      <w:sz w:val="26"/>
      <w:szCs w:val="26"/>
      <w:lang w:eastAsia="en-US"/>
    </w:rPr>
  </w:style>
  <w:style w:type="paragraph" w:styleId="ListBullet">
    <w:name w:val="List Bullet"/>
    <w:aliases w:val="List Bullet 1"/>
    <w:basedOn w:val="Normal"/>
    <w:uiPriority w:val="99"/>
    <w:unhideWhenUsed/>
    <w:rsid w:val="0011430B"/>
    <w:pPr>
      <w:numPr>
        <w:ilvl w:val="1"/>
        <w:numId w:val="1"/>
      </w:numPr>
      <w:ind w:left="1440"/>
      <w:contextualSpacing/>
    </w:pPr>
  </w:style>
  <w:style w:type="character" w:styleId="Strong">
    <w:name w:val="Strong"/>
    <w:basedOn w:val="DefaultParagraphFont"/>
    <w:uiPriority w:val="22"/>
    <w:rsid w:val="0011430B"/>
    <w:rPr>
      <w:b/>
      <w:bCs/>
    </w:rPr>
  </w:style>
  <w:style w:type="character" w:styleId="SubtleEmphasis">
    <w:name w:val="Subtle Emphasis"/>
    <w:basedOn w:val="DefaultParagraphFont"/>
    <w:uiPriority w:val="19"/>
    <w:rsid w:val="0011430B"/>
    <w:rPr>
      <w:i/>
      <w:iCs/>
      <w:color w:val="808080" w:themeColor="text1" w:themeTint="7F"/>
    </w:rPr>
  </w:style>
  <w:style w:type="character" w:styleId="CommentReference">
    <w:name w:val="annotation reference"/>
    <w:basedOn w:val="DefaultParagraphFont"/>
    <w:uiPriority w:val="99"/>
    <w:semiHidden/>
    <w:unhideWhenUsed/>
    <w:rsid w:val="00DF2F6A"/>
    <w:rPr>
      <w:sz w:val="16"/>
      <w:szCs w:val="16"/>
    </w:rPr>
  </w:style>
  <w:style w:type="paragraph" w:styleId="CommentText">
    <w:name w:val="annotation text"/>
    <w:basedOn w:val="Normal"/>
    <w:link w:val="CommentTextChar"/>
    <w:uiPriority w:val="99"/>
    <w:semiHidden/>
    <w:unhideWhenUsed/>
    <w:rsid w:val="00DF2F6A"/>
    <w:pPr>
      <w:spacing w:line="240" w:lineRule="auto"/>
    </w:pPr>
    <w:rPr>
      <w:sz w:val="20"/>
      <w:szCs w:val="20"/>
    </w:rPr>
  </w:style>
  <w:style w:type="character" w:customStyle="1" w:styleId="CommentTextChar">
    <w:name w:val="Comment Text Char"/>
    <w:basedOn w:val="DefaultParagraphFont"/>
    <w:link w:val="CommentText"/>
    <w:uiPriority w:val="99"/>
    <w:semiHidden/>
    <w:rsid w:val="00DF2F6A"/>
    <w:rPr>
      <w:rFonts w:cs="Calibri"/>
      <w:w w:val="105"/>
      <w:kern w:val="40"/>
      <w:lang w:eastAsia="en-US"/>
    </w:rPr>
  </w:style>
  <w:style w:type="paragraph" w:styleId="CommentSubject">
    <w:name w:val="annotation subject"/>
    <w:basedOn w:val="CommentText"/>
    <w:next w:val="CommentText"/>
    <w:link w:val="CommentSubjectChar"/>
    <w:uiPriority w:val="99"/>
    <w:semiHidden/>
    <w:unhideWhenUsed/>
    <w:rsid w:val="00DF2F6A"/>
    <w:rPr>
      <w:b/>
      <w:bCs/>
    </w:rPr>
  </w:style>
  <w:style w:type="character" w:customStyle="1" w:styleId="CommentSubjectChar">
    <w:name w:val="Comment Subject Char"/>
    <w:basedOn w:val="CommentTextChar"/>
    <w:link w:val="CommentSubject"/>
    <w:uiPriority w:val="99"/>
    <w:semiHidden/>
    <w:rsid w:val="00DF2F6A"/>
    <w:rPr>
      <w:rFonts w:cs="Calibri"/>
      <w:b/>
      <w:bCs/>
      <w:w w:val="105"/>
      <w:kern w:val="40"/>
      <w:lang w:eastAsia="en-US"/>
    </w:rPr>
  </w:style>
  <w:style w:type="paragraph" w:styleId="FootnoteText">
    <w:name w:val="footnote text"/>
    <w:aliases w:val="Footnotes Text,FSFootnotes Text,FSFootnote Text"/>
    <w:basedOn w:val="Normal"/>
    <w:link w:val="FootnoteTextChar"/>
    <w:uiPriority w:val="99"/>
    <w:unhideWhenUsed/>
    <w:qFormat/>
    <w:rsid w:val="00D84BA6"/>
    <w:pPr>
      <w:spacing w:after="0" w:line="240" w:lineRule="auto"/>
    </w:pPr>
    <w:rPr>
      <w:sz w:val="20"/>
      <w:szCs w:val="20"/>
    </w:rPr>
  </w:style>
  <w:style w:type="character" w:customStyle="1" w:styleId="FootnoteTextChar">
    <w:name w:val="Footnote Text Char"/>
    <w:aliases w:val="Footnotes Text Char,FSFootnotes Text Char,FSFootnote Text Char"/>
    <w:basedOn w:val="DefaultParagraphFont"/>
    <w:link w:val="FootnoteText"/>
    <w:uiPriority w:val="99"/>
    <w:rsid w:val="00D84BA6"/>
    <w:rPr>
      <w:rFonts w:cs="Calibri"/>
      <w:w w:val="105"/>
      <w:kern w:val="40"/>
      <w:lang w:eastAsia="en-US"/>
    </w:rPr>
  </w:style>
  <w:style w:type="character" w:styleId="FootnoteReference">
    <w:name w:val="footnote reference"/>
    <w:aliases w:val="NO"/>
    <w:basedOn w:val="DefaultParagraphFont"/>
    <w:uiPriority w:val="99"/>
    <w:unhideWhenUsed/>
    <w:rsid w:val="00D84BA6"/>
    <w:rPr>
      <w:vertAlign w:val="superscript"/>
    </w:rPr>
  </w:style>
  <w:style w:type="character" w:styleId="Hyperlink">
    <w:name w:val="Hyperlink"/>
    <w:basedOn w:val="DefaultParagraphFont"/>
    <w:uiPriority w:val="99"/>
    <w:unhideWhenUsed/>
    <w:rsid w:val="000A1A88"/>
    <w:rPr>
      <w:color w:val="0000FF" w:themeColor="hyperlink"/>
      <w:u w:val="single"/>
    </w:rPr>
  </w:style>
  <w:style w:type="paragraph" w:styleId="ListParagraph">
    <w:name w:val="List Paragraph"/>
    <w:aliases w:val="List Paragraph1,Recommendation,List Paragraph11,Brief List Paragraph 1,DDM Gen Text,L,Numbered paragraph,CV text,Table text,F5 List Paragraph,Dot pt,List Paragraph111,Medium Grid 1 - Accent 21,Numbered Paragraph,List Paragraph2,Bullets,列出"/>
    <w:basedOn w:val="Normal"/>
    <w:link w:val="ListParagraphChar"/>
    <w:uiPriority w:val="34"/>
    <w:qFormat/>
    <w:rsid w:val="00442FE1"/>
    <w:pPr>
      <w:ind w:left="720"/>
      <w:contextualSpacing/>
    </w:pPr>
  </w:style>
  <w:style w:type="character" w:customStyle="1" w:styleId="Heading5Char">
    <w:name w:val="Heading 5 Char"/>
    <w:basedOn w:val="DefaultParagraphFont"/>
    <w:link w:val="Heading5"/>
    <w:uiPriority w:val="9"/>
    <w:rsid w:val="006568CE"/>
    <w:rPr>
      <w:rFonts w:asciiTheme="majorHAnsi" w:eastAsiaTheme="majorEastAsia" w:hAnsiTheme="majorHAnsi" w:cstheme="majorBidi"/>
      <w:color w:val="243F60" w:themeColor="accent1" w:themeShade="7F"/>
      <w:w w:val="105"/>
      <w:kern w:val="40"/>
      <w:sz w:val="22"/>
      <w:szCs w:val="22"/>
      <w:lang w:eastAsia="en-US"/>
    </w:rPr>
  </w:style>
  <w:style w:type="paragraph" w:styleId="Revision">
    <w:name w:val="Revision"/>
    <w:hidden/>
    <w:uiPriority w:val="99"/>
    <w:semiHidden/>
    <w:rsid w:val="00297CA2"/>
    <w:rPr>
      <w:rFonts w:cs="Calibri"/>
      <w:w w:val="105"/>
      <w:kern w:val="40"/>
      <w:sz w:val="22"/>
      <w:szCs w:val="22"/>
      <w:lang w:eastAsia="en-US"/>
    </w:rPr>
  </w:style>
  <w:style w:type="character" w:styleId="FollowedHyperlink">
    <w:name w:val="FollowedHyperlink"/>
    <w:basedOn w:val="DefaultParagraphFont"/>
    <w:uiPriority w:val="99"/>
    <w:semiHidden/>
    <w:unhideWhenUsed/>
    <w:rsid w:val="00832D83"/>
    <w:rPr>
      <w:color w:val="800080" w:themeColor="followedHyperlink"/>
      <w:u w:val="single"/>
    </w:rPr>
  </w:style>
  <w:style w:type="paragraph" w:styleId="Caption">
    <w:name w:val="caption"/>
    <w:basedOn w:val="Normal"/>
    <w:next w:val="Normal"/>
    <w:uiPriority w:val="35"/>
    <w:semiHidden/>
    <w:unhideWhenUsed/>
    <w:qFormat/>
    <w:rsid w:val="00D726CD"/>
    <w:pPr>
      <w:spacing w:line="240" w:lineRule="auto"/>
    </w:pPr>
    <w:rPr>
      <w:b/>
      <w:bCs/>
      <w:color w:val="4F81BD" w:themeColor="accent1"/>
      <w:sz w:val="18"/>
      <w:szCs w:val="18"/>
    </w:rPr>
  </w:style>
  <w:style w:type="character" w:customStyle="1" w:styleId="ListParagraphChar">
    <w:name w:val="List Paragraph Char"/>
    <w:aliases w:val="List Paragraph1 Char,Recommendation Char,List Paragraph11 Char,Brief List Paragraph 1 Char,DDM Gen Text Char,L Char,Numbered paragraph Char,CV text Char,Table text Char,F5 List Paragraph Char,Dot pt Char,List Paragraph111 Char"/>
    <w:basedOn w:val="DefaultParagraphFont"/>
    <w:link w:val="ListParagraph"/>
    <w:uiPriority w:val="34"/>
    <w:locked/>
    <w:rsid w:val="00363FBF"/>
    <w:rPr>
      <w:rFonts w:cs="Calibri"/>
      <w:w w:val="105"/>
      <w:kern w:val="40"/>
      <w:sz w:val="22"/>
      <w:szCs w:val="22"/>
      <w:lang w:eastAsia="en-US"/>
    </w:rPr>
  </w:style>
  <w:style w:type="paragraph" w:styleId="NormalWeb">
    <w:name w:val="Normal (Web)"/>
    <w:basedOn w:val="Normal"/>
    <w:uiPriority w:val="99"/>
    <w:unhideWhenUsed/>
    <w:rsid w:val="00D23368"/>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table" w:styleId="TableGrid">
    <w:name w:val="Table Grid"/>
    <w:basedOn w:val="TableNormal"/>
    <w:uiPriority w:val="59"/>
    <w:rsid w:val="00EB41CD"/>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5F5"/>
    <w:pPr>
      <w:autoSpaceDE w:val="0"/>
      <w:autoSpaceDN w:val="0"/>
      <w:adjustRightInd w:val="0"/>
    </w:pPr>
    <w:rPr>
      <w:rFonts w:cs="Calibri"/>
      <w:color w:val="000000"/>
      <w:sz w:val="24"/>
      <w:szCs w:val="24"/>
    </w:rPr>
  </w:style>
  <w:style w:type="paragraph" w:customStyle="1" w:styleId="Celltext">
    <w:name w:val="Cell text"/>
    <w:basedOn w:val="Normal"/>
    <w:rsid w:val="00CC58AC"/>
    <w:pPr>
      <w:spacing w:before="120" w:after="0" w:line="240" w:lineRule="auto"/>
    </w:pPr>
    <w:rPr>
      <w:rFonts w:ascii="Times New Roman" w:eastAsia="Times New Roman" w:hAnsi="Times New Roman" w:cs="Times New Roman"/>
      <w:w w:val="100"/>
      <w:kern w:val="0"/>
      <w:sz w:val="24"/>
      <w:szCs w:val="20"/>
      <w:lang w:eastAsia="en-AU"/>
    </w:rPr>
  </w:style>
  <w:style w:type="paragraph" w:customStyle="1" w:styleId="paragraph">
    <w:name w:val="paragraph"/>
    <w:basedOn w:val="Normal"/>
    <w:rsid w:val="00406AEE"/>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character" w:customStyle="1" w:styleId="eop">
    <w:name w:val="eop"/>
    <w:basedOn w:val="DefaultParagraphFont"/>
    <w:rsid w:val="00406AEE"/>
  </w:style>
  <w:style w:type="paragraph" w:styleId="EndnoteText">
    <w:name w:val="endnote text"/>
    <w:basedOn w:val="Normal"/>
    <w:link w:val="EndnoteTextChar"/>
    <w:uiPriority w:val="99"/>
    <w:semiHidden/>
    <w:unhideWhenUsed/>
    <w:rsid w:val="00F40F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0FA7"/>
    <w:rPr>
      <w:rFonts w:cs="Calibri"/>
      <w:w w:val="105"/>
      <w:kern w:val="40"/>
      <w:lang w:eastAsia="en-US"/>
    </w:rPr>
  </w:style>
  <w:style w:type="character" w:styleId="EndnoteReference">
    <w:name w:val="endnote reference"/>
    <w:basedOn w:val="DefaultParagraphFont"/>
    <w:uiPriority w:val="99"/>
    <w:semiHidden/>
    <w:unhideWhenUsed/>
    <w:rsid w:val="00F40FA7"/>
    <w:rPr>
      <w:vertAlign w:val="superscript"/>
    </w:rPr>
  </w:style>
  <w:style w:type="character" w:customStyle="1" w:styleId="A5">
    <w:name w:val="A5"/>
    <w:uiPriority w:val="99"/>
    <w:rsid w:val="00264CB5"/>
    <w:rPr>
      <w:rFonts w:cs="Museo Sans 300"/>
      <w:i/>
      <w:iCs/>
      <w:color w:val="000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9585">
      <w:bodyDiv w:val="1"/>
      <w:marLeft w:val="0"/>
      <w:marRight w:val="0"/>
      <w:marTop w:val="0"/>
      <w:marBottom w:val="0"/>
      <w:divBdr>
        <w:top w:val="none" w:sz="0" w:space="0" w:color="auto"/>
        <w:left w:val="none" w:sz="0" w:space="0" w:color="auto"/>
        <w:bottom w:val="none" w:sz="0" w:space="0" w:color="auto"/>
        <w:right w:val="none" w:sz="0" w:space="0" w:color="auto"/>
      </w:divBdr>
    </w:div>
    <w:div w:id="395906117">
      <w:bodyDiv w:val="1"/>
      <w:marLeft w:val="0"/>
      <w:marRight w:val="0"/>
      <w:marTop w:val="0"/>
      <w:marBottom w:val="0"/>
      <w:divBdr>
        <w:top w:val="none" w:sz="0" w:space="0" w:color="auto"/>
        <w:left w:val="none" w:sz="0" w:space="0" w:color="auto"/>
        <w:bottom w:val="none" w:sz="0" w:space="0" w:color="auto"/>
        <w:right w:val="none" w:sz="0" w:space="0" w:color="auto"/>
      </w:divBdr>
    </w:div>
    <w:div w:id="879054282">
      <w:bodyDiv w:val="1"/>
      <w:marLeft w:val="0"/>
      <w:marRight w:val="0"/>
      <w:marTop w:val="0"/>
      <w:marBottom w:val="0"/>
      <w:divBdr>
        <w:top w:val="none" w:sz="0" w:space="0" w:color="auto"/>
        <w:left w:val="none" w:sz="0" w:space="0" w:color="auto"/>
        <w:bottom w:val="none" w:sz="0" w:space="0" w:color="auto"/>
        <w:right w:val="none" w:sz="0" w:space="0" w:color="auto"/>
      </w:divBdr>
    </w:div>
    <w:div w:id="1764912245">
      <w:bodyDiv w:val="1"/>
      <w:marLeft w:val="0"/>
      <w:marRight w:val="0"/>
      <w:marTop w:val="0"/>
      <w:marBottom w:val="0"/>
      <w:divBdr>
        <w:top w:val="none" w:sz="0" w:space="0" w:color="auto"/>
        <w:left w:val="none" w:sz="0" w:space="0" w:color="auto"/>
        <w:bottom w:val="none" w:sz="0" w:space="0" w:color="auto"/>
        <w:right w:val="none" w:sz="0" w:space="0" w:color="auto"/>
      </w:divBdr>
    </w:div>
    <w:div w:id="1784811207">
      <w:bodyDiv w:val="1"/>
      <w:marLeft w:val="0"/>
      <w:marRight w:val="0"/>
      <w:marTop w:val="0"/>
      <w:marBottom w:val="0"/>
      <w:divBdr>
        <w:top w:val="none" w:sz="0" w:space="0" w:color="auto"/>
        <w:left w:val="none" w:sz="0" w:space="0" w:color="auto"/>
        <w:bottom w:val="none" w:sz="0" w:space="0" w:color="auto"/>
        <w:right w:val="none" w:sz="0" w:space="0" w:color="auto"/>
      </w:divBdr>
    </w:div>
    <w:div w:id="1800219116">
      <w:bodyDiv w:val="1"/>
      <w:marLeft w:val="0"/>
      <w:marRight w:val="0"/>
      <w:marTop w:val="0"/>
      <w:marBottom w:val="0"/>
      <w:divBdr>
        <w:top w:val="none" w:sz="0" w:space="0" w:color="auto"/>
        <w:left w:val="none" w:sz="0" w:space="0" w:color="auto"/>
        <w:bottom w:val="none" w:sz="0" w:space="0" w:color="auto"/>
        <w:right w:val="none" w:sz="0" w:space="0" w:color="auto"/>
      </w:divBdr>
    </w:div>
    <w:div w:id="2035228582">
      <w:bodyDiv w:val="1"/>
      <w:marLeft w:val="0"/>
      <w:marRight w:val="0"/>
      <w:marTop w:val="0"/>
      <w:marBottom w:val="0"/>
      <w:divBdr>
        <w:top w:val="none" w:sz="0" w:space="0" w:color="auto"/>
        <w:left w:val="none" w:sz="0" w:space="0" w:color="auto"/>
        <w:bottom w:val="none" w:sz="0" w:space="0" w:color="auto"/>
        <w:right w:val="none" w:sz="0" w:space="0" w:color="auto"/>
      </w:divBdr>
      <w:divsChild>
        <w:div w:id="2118022742">
          <w:marLeft w:val="0"/>
          <w:marRight w:val="0"/>
          <w:marTop w:val="0"/>
          <w:marBottom w:val="0"/>
          <w:divBdr>
            <w:top w:val="none" w:sz="0" w:space="0" w:color="auto"/>
            <w:left w:val="none" w:sz="0" w:space="0" w:color="auto"/>
            <w:bottom w:val="none" w:sz="0" w:space="0" w:color="auto"/>
            <w:right w:val="none" w:sz="0" w:space="0" w:color="auto"/>
          </w:divBdr>
          <w:divsChild>
            <w:div w:id="546377258">
              <w:marLeft w:val="0"/>
              <w:marRight w:val="0"/>
              <w:marTop w:val="0"/>
              <w:marBottom w:val="0"/>
              <w:divBdr>
                <w:top w:val="single" w:sz="6" w:space="0" w:color="CCCCCC"/>
                <w:left w:val="none" w:sz="0" w:space="0" w:color="auto"/>
                <w:bottom w:val="single" w:sz="6" w:space="0" w:color="FFFFFF"/>
                <w:right w:val="none" w:sz="0" w:space="0" w:color="auto"/>
              </w:divBdr>
              <w:divsChild>
                <w:div w:id="26296148">
                  <w:marLeft w:val="0"/>
                  <w:marRight w:val="0"/>
                  <w:marTop w:val="100"/>
                  <w:marBottom w:val="100"/>
                  <w:divBdr>
                    <w:top w:val="none" w:sz="0" w:space="0" w:color="auto"/>
                    <w:left w:val="none" w:sz="0" w:space="0" w:color="auto"/>
                    <w:bottom w:val="none" w:sz="0" w:space="0" w:color="auto"/>
                    <w:right w:val="none" w:sz="0" w:space="0" w:color="auto"/>
                  </w:divBdr>
                  <w:divsChild>
                    <w:div w:id="190225564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mailto:IRconsultation@ag.gov.au"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www.billshorten.com.au/address_to_the_western_australian_leadership_matters_breakfast_perth_%20wednesday15_may_2019" TargetMode="External"/><Relationship Id="rId1" Type="http://schemas.openxmlformats.org/officeDocument/2006/relationships/hyperlink" Target="https://www.masterbuilders.com.au/Newsroom/Construction-Strikes-Double-&#8211;-The-ABCC-Must-Be-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8DEEB7C-E291-4211-8FBB-3A14D5617C34}"/>
</file>

<file path=customXml/itemProps2.xml><?xml version="1.0" encoding="utf-8"?>
<ds:datastoreItem xmlns:ds="http://schemas.openxmlformats.org/officeDocument/2006/customXml" ds:itemID="{66224F36-5244-43E5-8730-0198F10370B7}"/>
</file>

<file path=customXml/itemProps3.xml><?xml version="1.0" encoding="utf-8"?>
<ds:datastoreItem xmlns:ds="http://schemas.openxmlformats.org/officeDocument/2006/customXml" ds:itemID="{608C76EA-9FBA-4127-A78C-4236F4AF559D}"/>
</file>

<file path=customXml/itemProps4.xml><?xml version="1.0" encoding="utf-8"?>
<ds:datastoreItem xmlns:ds="http://schemas.openxmlformats.org/officeDocument/2006/customXml" ds:itemID="{74BBA0FF-6746-4641-AE23-2D0DA4B94176}"/>
</file>

<file path=docProps/app.xml><?xml version="1.0" encoding="utf-8"?>
<Properties xmlns="http://schemas.openxmlformats.org/officeDocument/2006/extended-properties" xmlns:vt="http://schemas.openxmlformats.org/officeDocument/2006/docPropsVTypes">
  <Template>Normal.dotm</Template>
  <TotalTime>0</TotalTime>
  <Pages>5</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Attracting major infrastructure, resources and energy projects to increase employment - Project life greenfields agreements</dc:title>
  <dc:creator/>
  <cp:lastModifiedBy/>
  <cp:revision>1</cp:revision>
  <dcterms:created xsi:type="dcterms:W3CDTF">2019-09-18T22:33:00Z</dcterms:created>
  <dcterms:modified xsi:type="dcterms:W3CDTF">2019-09-18T22:33:00Z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y fmtid="{D5CDD505-2E9C-101B-9397-08002B2CF9AE}" pid="3" name="TemplateUrl">
    <vt:lpwstr/>
  </property>
  <property fmtid="{D5CDD505-2E9C-101B-9397-08002B2CF9AE}" pid="4" name="Order">
    <vt:r8>525000</vt:r8>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