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80B1B" w14:textId="15B01B43" w:rsidR="000D1946" w:rsidRPr="00AF5A92" w:rsidRDefault="00122E06" w:rsidP="00122E06">
      <w:pPr>
        <w:pStyle w:val="Title"/>
        <w:spacing w:before="180"/>
        <w:rPr>
          <w:i/>
          <w:color w:val="002D3F"/>
        </w:rPr>
      </w:pPr>
      <w:r>
        <w:rPr>
          <w:noProof/>
          <w:lang w:eastAsia="en-AU"/>
          <w14:ligatures w14:val="none"/>
        </w:rPr>
        <w:drawing>
          <wp:anchor distT="0" distB="0" distL="114300" distR="114300" simplePos="0" relativeHeight="251658240" behindDoc="1" locked="0" layoutInCell="1" allowOverlap="1" wp14:anchorId="3833BBFC" wp14:editId="6B3AB1C5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560000" cy="2059195"/>
            <wp:effectExtent l="0" t="0" r="3175" b="0"/>
            <wp:wrapTight wrapText="bothSides">
              <wp:wrapPolygon edited="0">
                <wp:start x="0" y="0"/>
                <wp:lineTo x="0" y="21387"/>
                <wp:lineTo x="21555" y="21387"/>
                <wp:lineTo x="21555" y="0"/>
                <wp:lineTo x="0" y="0"/>
              </wp:wrapPolygon>
            </wp:wrapTight>
            <wp:docPr id="1" name="Picture 1" descr="Header image with the Government Crest" title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" b="9245"/>
                    <a:stretch/>
                  </pic:blipFill>
                  <pic:spPr bwMode="auto">
                    <a:xfrm>
                      <a:off x="0" y="0"/>
                      <a:ext cx="7560000" cy="205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color w:val="343741"/>
          <w:spacing w:val="-10"/>
          <w:kern w:val="28"/>
          <w:szCs w:val="56"/>
          <w14:ligatures w14:val="none"/>
        </w:rPr>
        <w:t>‘</w:t>
      </w:r>
      <w:r w:rsidR="000D1946" w:rsidRPr="006F3089">
        <w:rPr>
          <w:i/>
          <w:color w:val="343741"/>
          <w:spacing w:val="-10"/>
          <w:kern w:val="28"/>
          <w:szCs w:val="56"/>
          <w14:ligatures w14:val="none"/>
        </w:rPr>
        <w:t>This is what we heard</w:t>
      </w:r>
      <w:r>
        <w:rPr>
          <w:i/>
          <w:color w:val="343741"/>
          <w:spacing w:val="-10"/>
          <w:kern w:val="28"/>
          <w:szCs w:val="56"/>
          <w14:ligatures w14:val="none"/>
        </w:rPr>
        <w:t>’</w:t>
      </w:r>
    </w:p>
    <w:p w14:paraId="10639829" w14:textId="08AD62CA" w:rsidR="00D74DAD" w:rsidRPr="003900DE" w:rsidRDefault="00AF5A92" w:rsidP="00D74DAD">
      <w:pPr>
        <w:pStyle w:val="Heading2"/>
        <w:rPr>
          <w:b/>
          <w:color w:val="002D3F"/>
          <w:sz w:val="32"/>
          <w:szCs w:val="32"/>
        </w:rPr>
      </w:pPr>
      <w:r w:rsidRPr="003900DE">
        <w:rPr>
          <w:b/>
          <w:color w:val="002D3F"/>
          <w:sz w:val="32"/>
          <w:szCs w:val="32"/>
        </w:rPr>
        <w:t xml:space="preserve">National Careers Institute co-design consultations </w:t>
      </w:r>
    </w:p>
    <w:p w14:paraId="01BE60BF" w14:textId="2DB79B02" w:rsidR="00BF14E1" w:rsidRDefault="00815D4C" w:rsidP="006F3089">
      <w:pPr>
        <w:spacing w:before="0" w:after="200"/>
        <w:rPr>
          <w:rFonts w:eastAsia="Times New Roman" w:cs="Times New Roman"/>
          <w:lang w:eastAsia="zh-CN"/>
          <w14:ligatures w14:val="none"/>
        </w:rPr>
      </w:pPr>
      <w:r w:rsidRPr="008D7238">
        <w:t xml:space="preserve">The </w:t>
      </w:r>
      <w:r>
        <w:t xml:space="preserve">Australian Government announced the establishment of the National Careers Institute </w:t>
      </w:r>
      <w:r w:rsidR="004F7C13">
        <w:br/>
      </w:r>
      <w:r>
        <w:t xml:space="preserve">(the Institute) as part of the $585 million </w:t>
      </w:r>
      <w:hyperlink r:id="rId12" w:history="1">
        <w:r w:rsidRPr="00E805FE">
          <w:rPr>
            <w:rStyle w:val="Hyperlink"/>
          </w:rPr>
          <w:t xml:space="preserve">Skills Package – </w:t>
        </w:r>
        <w:r w:rsidR="004F7C13" w:rsidRPr="00E805FE">
          <w:rPr>
            <w:rStyle w:val="Hyperlink"/>
          </w:rPr>
          <w:t>D</w:t>
        </w:r>
        <w:r w:rsidRPr="00E805FE">
          <w:rPr>
            <w:rStyle w:val="Hyperlink"/>
          </w:rPr>
          <w:t xml:space="preserve">elivering </w:t>
        </w:r>
        <w:r w:rsidR="004F7C13" w:rsidRPr="00E805FE">
          <w:rPr>
            <w:rStyle w:val="Hyperlink"/>
          </w:rPr>
          <w:t>S</w:t>
        </w:r>
        <w:r w:rsidRPr="00E805FE">
          <w:rPr>
            <w:rStyle w:val="Hyperlink"/>
          </w:rPr>
          <w:t xml:space="preserve">kills for </w:t>
        </w:r>
        <w:r w:rsidR="004F7C13" w:rsidRPr="00E805FE">
          <w:rPr>
            <w:rStyle w:val="Hyperlink"/>
          </w:rPr>
          <w:t>T</w:t>
        </w:r>
        <w:r w:rsidRPr="00E805FE">
          <w:rPr>
            <w:rStyle w:val="Hyperlink"/>
          </w:rPr>
          <w:t xml:space="preserve">oday and </w:t>
        </w:r>
        <w:r w:rsidR="004F7C13" w:rsidRPr="00E805FE">
          <w:rPr>
            <w:rStyle w:val="Hyperlink"/>
          </w:rPr>
          <w:t>T</w:t>
        </w:r>
        <w:r w:rsidRPr="00E805FE">
          <w:rPr>
            <w:rStyle w:val="Hyperlink"/>
          </w:rPr>
          <w:t>omorrow</w:t>
        </w:r>
      </w:hyperlink>
      <w:r w:rsidRPr="00E805FE">
        <w:rPr>
          <w:rStyle w:val="Hyperlink"/>
        </w:rPr>
        <w:t>.</w:t>
      </w:r>
      <w:r w:rsidRPr="00A361DF">
        <w:rPr>
          <w:i/>
        </w:rPr>
        <w:t xml:space="preserve"> </w:t>
      </w:r>
      <w:r w:rsidRPr="008D7238">
        <w:t xml:space="preserve">The Skills Package lays the building blocks </w:t>
      </w:r>
      <w:r w:rsidRPr="000561AC">
        <w:t>for</w:t>
      </w:r>
      <w:r>
        <w:t xml:space="preserve"> </w:t>
      </w:r>
      <w:r w:rsidRPr="00683175">
        <w:t>improvements</w:t>
      </w:r>
      <w:r w:rsidRPr="000561AC">
        <w:t xml:space="preserve"> identified in</w:t>
      </w:r>
      <w:r w:rsidR="00BF14E1">
        <w:t xml:space="preserve"> </w:t>
      </w:r>
      <w:hyperlink r:id="rId13" w:history="1">
        <w:r w:rsidR="00BF14E1" w:rsidRPr="009875C2">
          <w:rPr>
            <w:rStyle w:val="Hyperlink"/>
            <w:i/>
          </w:rPr>
          <w:t>Strengthening Skills:</w:t>
        </w:r>
        <w:r w:rsidRPr="009875C2">
          <w:rPr>
            <w:rStyle w:val="Hyperlink"/>
            <w:i/>
          </w:rPr>
          <w:t xml:space="preserve"> </w:t>
        </w:r>
        <w:r w:rsidRPr="009875C2">
          <w:rPr>
            <w:rStyle w:val="Hyperlink"/>
            <w:rFonts w:eastAsiaTheme="minorHAnsi"/>
            <w:i/>
            <w14:ligatures w14:val="none"/>
          </w:rPr>
          <w:t xml:space="preserve">Expert </w:t>
        </w:r>
        <w:r w:rsidR="00BF14E1" w:rsidRPr="009875C2">
          <w:rPr>
            <w:rStyle w:val="Hyperlink"/>
            <w:rFonts w:eastAsiaTheme="minorHAnsi"/>
            <w:i/>
            <w14:ligatures w14:val="none"/>
          </w:rPr>
          <w:t>R</w:t>
        </w:r>
        <w:r w:rsidRPr="009875C2">
          <w:rPr>
            <w:rStyle w:val="Hyperlink"/>
            <w:rFonts w:eastAsiaTheme="minorHAnsi"/>
            <w:i/>
            <w14:ligatures w14:val="none"/>
          </w:rPr>
          <w:t xml:space="preserve">eview of Australia's </w:t>
        </w:r>
        <w:r w:rsidR="00BF14E1" w:rsidRPr="009875C2">
          <w:rPr>
            <w:rStyle w:val="Hyperlink"/>
            <w:rFonts w:eastAsiaTheme="minorHAnsi"/>
            <w:i/>
            <w14:ligatures w14:val="none"/>
          </w:rPr>
          <w:t>V</w:t>
        </w:r>
        <w:r w:rsidRPr="009875C2">
          <w:rPr>
            <w:rStyle w:val="Hyperlink"/>
            <w:rFonts w:eastAsiaTheme="minorHAnsi"/>
            <w:i/>
            <w14:ligatures w14:val="none"/>
          </w:rPr>
          <w:t xml:space="preserve">ocational </w:t>
        </w:r>
        <w:r w:rsidR="00BF14E1" w:rsidRPr="009875C2">
          <w:rPr>
            <w:rStyle w:val="Hyperlink"/>
            <w:rFonts w:eastAsiaTheme="minorHAnsi"/>
            <w:i/>
            <w14:ligatures w14:val="none"/>
          </w:rPr>
          <w:t>E</w:t>
        </w:r>
        <w:r w:rsidRPr="009875C2">
          <w:rPr>
            <w:rStyle w:val="Hyperlink"/>
            <w:rFonts w:eastAsiaTheme="minorHAnsi"/>
            <w:i/>
            <w14:ligatures w14:val="none"/>
          </w:rPr>
          <w:t xml:space="preserve">ducation and </w:t>
        </w:r>
        <w:r w:rsidR="00BF14E1" w:rsidRPr="009875C2">
          <w:rPr>
            <w:rStyle w:val="Hyperlink"/>
            <w:rFonts w:eastAsiaTheme="minorHAnsi"/>
            <w:i/>
            <w14:ligatures w14:val="none"/>
          </w:rPr>
          <w:t>T</w:t>
        </w:r>
        <w:r w:rsidRPr="009875C2">
          <w:rPr>
            <w:rStyle w:val="Hyperlink"/>
            <w:rFonts w:eastAsiaTheme="minorHAnsi"/>
            <w:i/>
            <w14:ligatures w14:val="none"/>
          </w:rPr>
          <w:t xml:space="preserve">raining </w:t>
        </w:r>
        <w:r w:rsidR="00BF14E1" w:rsidRPr="009875C2">
          <w:rPr>
            <w:rStyle w:val="Hyperlink"/>
            <w:rFonts w:eastAsiaTheme="minorHAnsi"/>
            <w:i/>
            <w14:ligatures w14:val="none"/>
          </w:rPr>
          <w:t>S</w:t>
        </w:r>
        <w:r w:rsidRPr="009875C2">
          <w:rPr>
            <w:rStyle w:val="Hyperlink"/>
            <w:rFonts w:eastAsiaTheme="minorHAnsi"/>
            <w:i/>
            <w14:ligatures w14:val="none"/>
          </w:rPr>
          <w:t>ystem</w:t>
        </w:r>
      </w:hyperlink>
      <w:r w:rsidRPr="006F3089">
        <w:rPr>
          <w:rStyle w:val="Hyperlink"/>
          <w:rFonts w:eastAsiaTheme="minorHAnsi"/>
          <w:color w:val="287BB3"/>
          <w14:ligatures w14:val="none"/>
        </w:rPr>
        <w:t xml:space="preserve"> </w:t>
      </w:r>
      <w:r w:rsidRPr="000561AC">
        <w:t xml:space="preserve">(the Review). The Skills Package will strengthen Australia’s </w:t>
      </w:r>
      <w:r w:rsidRPr="00295F1C">
        <w:t xml:space="preserve">vocational education and training (VET) system </w:t>
      </w:r>
      <w:r w:rsidR="00D832B3">
        <w:t xml:space="preserve">and careers sector </w:t>
      </w:r>
      <w:r w:rsidRPr="00295F1C">
        <w:t xml:space="preserve">to ensure </w:t>
      </w:r>
      <w:r w:rsidR="006F3089">
        <w:t>they are</w:t>
      </w:r>
      <w:r w:rsidRPr="00295F1C">
        <w:t xml:space="preserve"> responsive, respected </w:t>
      </w:r>
      <w:r w:rsidRPr="006F3089">
        <w:rPr>
          <w:rFonts w:eastAsiaTheme="minorHAnsi"/>
          <w14:ligatures w14:val="none"/>
        </w:rPr>
        <w:t xml:space="preserve">and flexible, providing Australians with the skills they need to succeed in the modern workplace and businesses with the workers they need to grow a strong economy.  </w:t>
      </w:r>
      <w:r w:rsidR="00D832B3">
        <w:rPr>
          <w:rFonts w:eastAsiaTheme="minorHAnsi"/>
          <w14:ligatures w14:val="none"/>
        </w:rPr>
        <w:t>The</w:t>
      </w:r>
      <w:r w:rsidRPr="006F3089">
        <w:rPr>
          <w:rFonts w:eastAsiaTheme="minorHAnsi"/>
          <w14:ligatures w14:val="none"/>
        </w:rPr>
        <w:t xml:space="preserve"> Australian Government established the Institute on 1 July 2019. </w:t>
      </w:r>
      <w:r w:rsidR="004F7C13">
        <w:rPr>
          <w:rFonts w:eastAsiaTheme="minorHAnsi"/>
          <w14:ligatures w14:val="none"/>
        </w:rPr>
        <w:t>The Review recommended e</w:t>
      </w:r>
      <w:r w:rsidRPr="006F3089">
        <w:rPr>
          <w:rFonts w:eastAsiaTheme="minorHAnsi"/>
          <w14:ligatures w14:val="none"/>
        </w:rPr>
        <w:t xml:space="preserve">stablishing the Institute </w:t>
      </w:r>
      <w:r w:rsidR="004F7C13">
        <w:rPr>
          <w:rFonts w:eastAsiaTheme="minorHAnsi"/>
          <w14:ligatures w14:val="none"/>
        </w:rPr>
        <w:t xml:space="preserve">to </w:t>
      </w:r>
      <w:r w:rsidR="004045BD" w:rsidRPr="006F3089">
        <w:rPr>
          <w:rFonts w:eastAsiaTheme="minorHAnsi"/>
          <w14:ligatures w14:val="none"/>
        </w:rPr>
        <w:t>be</w:t>
      </w:r>
      <w:r w:rsidR="00D832B3">
        <w:rPr>
          <w:rFonts w:eastAsiaTheme="minorHAnsi"/>
          <w14:ligatures w14:val="none"/>
        </w:rPr>
        <w:t>,</w:t>
      </w:r>
      <w:r w:rsidR="004045BD" w:rsidRPr="006F3089">
        <w:rPr>
          <w:rFonts w:eastAsiaTheme="minorHAnsi"/>
          <w14:ligatures w14:val="none"/>
        </w:rPr>
        <w:t xml:space="preserve"> </w:t>
      </w:r>
      <w:r w:rsidR="004045BD" w:rsidRPr="00E805FE">
        <w:rPr>
          <w:rStyle w:val="Emphasis"/>
        </w:rPr>
        <w:t>“the single, authoritative source of information spanning careers education on post-school pathways through VET, higher education and other training, labour market data and training pathways and their employment outcomes”.</w:t>
      </w:r>
    </w:p>
    <w:p w14:paraId="14027125" w14:textId="7989D454" w:rsidR="004045BD" w:rsidRPr="004045BD" w:rsidRDefault="00BF14E1" w:rsidP="006310A6">
      <w:pPr>
        <w:rPr>
          <w:rFonts w:eastAsia="Times New Roman" w:cs="Times New Roman"/>
          <w:lang w:eastAsia="zh-CN"/>
        </w:rPr>
      </w:pPr>
      <w:r>
        <w:rPr>
          <w:lang w:val="en-US" w:eastAsia="zh-CN"/>
        </w:rPr>
        <w:t>T</w:t>
      </w:r>
      <w:r w:rsidR="004045BD" w:rsidRPr="004045BD">
        <w:rPr>
          <w:lang w:val="en-US" w:eastAsia="zh-CN"/>
        </w:rPr>
        <w:t>he Review iden</w:t>
      </w:r>
      <w:r w:rsidR="00726BBC">
        <w:rPr>
          <w:lang w:val="en-US" w:eastAsia="zh-CN"/>
        </w:rPr>
        <w:t>tified a need for Australia to:</w:t>
      </w:r>
    </w:p>
    <w:p w14:paraId="3CBB4DA4" w14:textId="77777777" w:rsidR="004045BD" w:rsidRPr="006F3089" w:rsidRDefault="004045BD" w:rsidP="006D2098">
      <w:pPr>
        <w:pStyle w:val="Bullet"/>
        <w:numPr>
          <w:ilvl w:val="0"/>
          <w:numId w:val="4"/>
        </w:numPr>
        <w:ind w:left="340" w:hanging="340"/>
        <w:rPr>
          <w:rFonts w:cstheme="minorHAnsi"/>
        </w:rPr>
      </w:pPr>
      <w:r w:rsidRPr="006F3089">
        <w:rPr>
          <w:rFonts w:asciiTheme="minorHAnsi" w:hAnsiTheme="minorHAnsi" w:cstheme="minorHAnsi"/>
          <w:sz w:val="22"/>
        </w:rPr>
        <w:t>improve the quality of career education being provided to school students and leavers, their influencers, and job seekers of all ages</w:t>
      </w:r>
    </w:p>
    <w:p w14:paraId="789E6511" w14:textId="193CE48F" w:rsidR="004045BD" w:rsidRPr="006F3089" w:rsidRDefault="004045BD" w:rsidP="006D2098">
      <w:pPr>
        <w:pStyle w:val="Bullet"/>
        <w:numPr>
          <w:ilvl w:val="0"/>
          <w:numId w:val="4"/>
        </w:numPr>
        <w:ind w:left="340" w:hanging="340"/>
        <w:rPr>
          <w:rFonts w:cstheme="minorHAnsi"/>
        </w:rPr>
      </w:pPr>
      <w:proofErr w:type="gramStart"/>
      <w:r w:rsidRPr="006F3089">
        <w:rPr>
          <w:rFonts w:asciiTheme="minorHAnsi" w:hAnsiTheme="minorHAnsi" w:cstheme="minorHAnsi"/>
          <w:sz w:val="22"/>
        </w:rPr>
        <w:t>resolve</w:t>
      </w:r>
      <w:proofErr w:type="gramEnd"/>
      <w:r w:rsidRPr="006F3089">
        <w:rPr>
          <w:rFonts w:asciiTheme="minorHAnsi" w:hAnsiTheme="minorHAnsi" w:cstheme="minorHAnsi"/>
          <w:sz w:val="22"/>
        </w:rPr>
        <w:t xml:space="preserve"> the fragmentation and co</w:t>
      </w:r>
      <w:r w:rsidR="00726BBC">
        <w:rPr>
          <w:rFonts w:asciiTheme="minorHAnsi" w:hAnsiTheme="minorHAnsi" w:cstheme="minorHAnsi"/>
          <w:sz w:val="22"/>
        </w:rPr>
        <w:t>mplexity of the careers sector.</w:t>
      </w:r>
    </w:p>
    <w:p w14:paraId="726286E5" w14:textId="265A2112" w:rsidR="00D74DAD" w:rsidRPr="006F3089" w:rsidRDefault="00AF5A92" w:rsidP="006F3089">
      <w:pPr>
        <w:pStyle w:val="Heading2"/>
        <w:keepNext/>
        <w:keepLines/>
        <w:rPr>
          <w:rFonts w:ascii="Calibri" w:hAnsi="Calibri" w:cstheme="majorBidi"/>
          <w:b/>
          <w:bCs w:val="0"/>
          <w:color w:val="002D3F"/>
          <w:sz w:val="30"/>
          <w:szCs w:val="26"/>
          <w14:ligatures w14:val="none"/>
        </w:rPr>
      </w:pPr>
      <w:r w:rsidRPr="006F3089">
        <w:rPr>
          <w:rFonts w:ascii="Calibri" w:hAnsi="Calibri" w:cstheme="majorBidi"/>
          <w:b/>
          <w:bCs w:val="0"/>
          <w:color w:val="002D3F"/>
          <w:sz w:val="30"/>
          <w:szCs w:val="26"/>
          <w14:ligatures w14:val="none"/>
        </w:rPr>
        <w:t>The co-design approach was wide-reaching</w:t>
      </w:r>
    </w:p>
    <w:p w14:paraId="0030B309" w14:textId="6CFB952F" w:rsidR="009C68C9" w:rsidRDefault="00815D4C" w:rsidP="006310A6">
      <w:r>
        <w:t>T</w:t>
      </w:r>
      <w:r w:rsidR="009C68C9">
        <w:t>he Institute implemented a</w:t>
      </w:r>
      <w:r w:rsidR="00D74DAD" w:rsidRPr="00F81A09">
        <w:t xml:space="preserve"> broad-reaching process of consultation and co-design with careers </w:t>
      </w:r>
      <w:r w:rsidR="00D74DAD">
        <w:t>sector</w:t>
      </w:r>
      <w:r w:rsidR="00D74DAD" w:rsidRPr="00F81A09">
        <w:t xml:space="preserve"> stakeholders across </w:t>
      </w:r>
      <w:r w:rsidR="009C68C9">
        <w:t xml:space="preserve">Australia </w:t>
      </w:r>
      <w:r w:rsidR="00D74DAD" w:rsidRPr="00F81A09">
        <w:t>to inform the ongoing role and functions of the Institute</w:t>
      </w:r>
      <w:r w:rsidR="00726BBC">
        <w:t>.</w:t>
      </w:r>
    </w:p>
    <w:p w14:paraId="5918A981" w14:textId="61FDEED2" w:rsidR="00E54360" w:rsidRDefault="00E54360" w:rsidP="006310A6">
      <w:r w:rsidRPr="00F81A09">
        <w:t xml:space="preserve">A </w:t>
      </w:r>
      <w:r>
        <w:t>B</w:t>
      </w:r>
      <w:r w:rsidRPr="00F81A09">
        <w:t xml:space="preserve">ackground </w:t>
      </w:r>
      <w:r>
        <w:t>P</w:t>
      </w:r>
      <w:r w:rsidRPr="00F81A09">
        <w:t xml:space="preserve">aper was published on 4 October 2019 to inform the consultation process. Eight formal submissions </w:t>
      </w:r>
      <w:r>
        <w:t>were made</w:t>
      </w:r>
      <w:r w:rsidRPr="00F81A09">
        <w:t xml:space="preserve"> in response to the </w:t>
      </w:r>
      <w:r>
        <w:t>B</w:t>
      </w:r>
      <w:r w:rsidRPr="00F81A09">
        <w:t xml:space="preserve">ackground </w:t>
      </w:r>
      <w:r>
        <w:t>P</w:t>
      </w:r>
      <w:r w:rsidR="00726BBC">
        <w:t>aper.</w:t>
      </w:r>
    </w:p>
    <w:p w14:paraId="7DEAC541" w14:textId="768DC1FF" w:rsidR="00E54360" w:rsidRDefault="00E54360" w:rsidP="006D2098">
      <w:r>
        <w:t>The objectives of the consultation and co-design were to</w:t>
      </w:r>
      <w:r w:rsidR="00570969">
        <w:t xml:space="preserve"> </w:t>
      </w:r>
      <w:r w:rsidR="007349FF">
        <w:t>explore</w:t>
      </w:r>
      <w:r>
        <w:t>:</w:t>
      </w:r>
    </w:p>
    <w:p w14:paraId="329E5C61" w14:textId="2D0DFC5F" w:rsidR="00E54360" w:rsidRPr="00242371" w:rsidRDefault="00570969" w:rsidP="006D2098">
      <w:pPr>
        <w:pStyle w:val="ListParagraph"/>
        <w:numPr>
          <w:ilvl w:val="0"/>
          <w:numId w:val="6"/>
        </w:numPr>
      </w:pPr>
      <w:r>
        <w:t>Roles and responsibilities of the Institute</w:t>
      </w:r>
    </w:p>
    <w:p w14:paraId="004AC232" w14:textId="7EDEDC29" w:rsidR="00E54360" w:rsidRPr="00242371" w:rsidRDefault="00570969" w:rsidP="006D2098">
      <w:pPr>
        <w:pStyle w:val="ListParagraph"/>
        <w:numPr>
          <w:ilvl w:val="0"/>
          <w:numId w:val="6"/>
        </w:numPr>
      </w:pPr>
      <w:r>
        <w:t>Stakehol</w:t>
      </w:r>
      <w:r w:rsidR="007E7212">
        <w:t>der focus and immediate actions</w:t>
      </w:r>
    </w:p>
    <w:p w14:paraId="2113EDF3" w14:textId="5F825A19" w:rsidR="007349FF" w:rsidRPr="007349FF" w:rsidRDefault="00570969" w:rsidP="006D2098">
      <w:pPr>
        <w:pStyle w:val="ListParagraph"/>
        <w:numPr>
          <w:ilvl w:val="0"/>
          <w:numId w:val="6"/>
        </w:numPr>
      </w:pPr>
      <w:r w:rsidRPr="007349FF">
        <w:t>Ongoing</w:t>
      </w:r>
      <w:r w:rsidR="007E7212">
        <w:t xml:space="preserve"> establishment of the Institute.</w:t>
      </w:r>
    </w:p>
    <w:p w14:paraId="780D667B" w14:textId="77777777" w:rsidR="006310A6" w:rsidRDefault="006310A6">
      <w:pPr>
        <w:spacing w:before="0" w:after="200"/>
      </w:pPr>
      <w:r>
        <w:br w:type="page"/>
      </w:r>
    </w:p>
    <w:p w14:paraId="419EE492" w14:textId="5813D5B7" w:rsidR="00E54360" w:rsidRPr="007349FF" w:rsidRDefault="00D74DAD" w:rsidP="00E805FE">
      <w:r w:rsidRPr="006310A6">
        <w:lastRenderedPageBreak/>
        <w:t xml:space="preserve">A total of 517 people from 350 organisations attended </w:t>
      </w:r>
      <w:r w:rsidR="00755E6E" w:rsidRPr="006310A6">
        <w:t xml:space="preserve">13 </w:t>
      </w:r>
      <w:r w:rsidR="00D832B3" w:rsidRPr="006310A6">
        <w:t xml:space="preserve">Institute </w:t>
      </w:r>
      <w:r w:rsidRPr="006310A6">
        <w:t xml:space="preserve">workshops in all capital cities and </w:t>
      </w:r>
      <w:r w:rsidR="00755E6E" w:rsidRPr="006310A6">
        <w:t xml:space="preserve">an additional </w:t>
      </w:r>
      <w:r w:rsidRPr="006310A6">
        <w:t xml:space="preserve">five regional locations (Bendigo, Cairns, Orange, Karratha, and Mount Isa) between </w:t>
      </w:r>
      <w:r w:rsidR="00726BBC">
        <w:br/>
      </w:r>
      <w:r w:rsidRPr="006310A6">
        <w:t>3 October 2019 and 26 November 2019.</w:t>
      </w:r>
      <w:r w:rsidR="00E54360" w:rsidRPr="006310A6">
        <w:t xml:space="preserve"> In addition to these workshops, bilateral meetings were held with </w:t>
      </w:r>
      <w:r w:rsidR="005A4A6C" w:rsidRPr="006310A6">
        <w:t>8</w:t>
      </w:r>
      <w:r w:rsidR="00E54360" w:rsidRPr="006310A6">
        <w:t xml:space="preserve"> key stakeholders</w:t>
      </w:r>
      <w:r w:rsidR="005A4A6C" w:rsidRPr="006310A6">
        <w:t>,</w:t>
      </w:r>
      <w:r w:rsidR="00E54360" w:rsidRPr="006310A6">
        <w:t xml:space="preserve"> and 32 one-on-one in-depth interviews were conducted to consult on the ongoing role of the Institute.  A further 110 individuals, business representatives, educators and trainers took part in a policy hack answering the question</w:t>
      </w:r>
      <w:r w:rsidR="00E54360" w:rsidRPr="00F81A09">
        <w:t xml:space="preserve">, </w:t>
      </w:r>
      <w:r w:rsidR="00E54360" w:rsidRPr="007349FF">
        <w:rPr>
          <w:rStyle w:val="Emphasis"/>
          <w:rFonts w:eastAsiaTheme="majorEastAsia"/>
        </w:rPr>
        <w:t>‘</w:t>
      </w:r>
      <w:r w:rsidR="00E54360" w:rsidRPr="00E805FE">
        <w:rPr>
          <w:rStyle w:val="Emphasis"/>
        </w:rPr>
        <w:t>What does effective career advice look like?</w:t>
      </w:r>
      <w:r w:rsidR="00E54360" w:rsidRPr="00F81A09">
        <w:t>’</w:t>
      </w:r>
    </w:p>
    <w:p w14:paraId="61B0F343" w14:textId="18B35D76" w:rsidR="00CF6773" w:rsidRPr="000860A7" w:rsidRDefault="006B1333" w:rsidP="006310A6">
      <w:pPr>
        <w:rPr>
          <w:b/>
          <w:sz w:val="20"/>
        </w:rPr>
      </w:pPr>
      <w:r w:rsidRPr="00F81A09">
        <w:t xml:space="preserve">As at </w:t>
      </w:r>
      <w:r>
        <w:t>30</w:t>
      </w:r>
      <w:r w:rsidRPr="00F81A09">
        <w:t xml:space="preserve"> January 2020, the Institute has connected with over 10,000 people across Australia</w:t>
      </w:r>
      <w:r>
        <w:t>, through face-to-face workshops, user research, e-Hub engagement and various other means.</w:t>
      </w:r>
    </w:p>
    <w:p w14:paraId="47DD4D3F" w14:textId="53649F3D" w:rsidR="00CF6773" w:rsidRPr="00CF6773" w:rsidRDefault="00CF6773" w:rsidP="00CF6773">
      <w:pPr>
        <w:widowControl w:val="0"/>
        <w:rPr>
          <w:sz w:val="20"/>
        </w:rPr>
      </w:pPr>
      <w:r w:rsidRPr="00F81A09">
        <w:rPr>
          <w:noProof/>
          <w:lang w:eastAsia="en-AU"/>
        </w:rPr>
        <w:drawing>
          <wp:inline distT="0" distB="0" distL="0" distR="0" wp14:anchorId="563DB7EF" wp14:editId="05FAFAA7">
            <wp:extent cx="5486400" cy="3238500"/>
            <wp:effectExtent l="0" t="0" r="0" b="0"/>
            <wp:docPr id="44" name="Chart 44" descr="The chart shows the breakdown of stakeholder types that attended Institute co-design workshops. Job connectors and training providers were the two most common stakeholder types" title="Bar chart breakdown of stakeholder typ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E5A3B16" w14:textId="1C4B7AE6" w:rsidR="00D74DAD" w:rsidRPr="00E805FE" w:rsidRDefault="00755E6E" w:rsidP="002020ED">
      <w:pPr>
        <w:widowControl w:val="0"/>
        <w:rPr>
          <w:rStyle w:val="Emphasis"/>
        </w:rPr>
      </w:pPr>
      <w:r w:rsidRPr="00E805FE">
        <w:rPr>
          <w:rStyle w:val="Emphasis"/>
        </w:rPr>
        <w:t>Stakeholder representation at the workshops and round tables</w:t>
      </w:r>
    </w:p>
    <w:p w14:paraId="6A883C78" w14:textId="37585257" w:rsidR="00972FF5" w:rsidRPr="005A6AA7" w:rsidRDefault="00570969" w:rsidP="00972FF5">
      <w:pPr>
        <w:pStyle w:val="Heading2"/>
        <w:rPr>
          <w:b/>
          <w:color w:val="44546A" w:themeColor="text2"/>
          <w:sz w:val="30"/>
          <w:szCs w:val="30"/>
        </w:rPr>
      </w:pPr>
      <w:r>
        <w:rPr>
          <w:b/>
          <w:color w:val="44546A" w:themeColor="text2"/>
          <w:sz w:val="30"/>
          <w:szCs w:val="30"/>
        </w:rPr>
        <w:t>R</w:t>
      </w:r>
      <w:r w:rsidR="00972FF5" w:rsidRPr="005A6AA7">
        <w:rPr>
          <w:b/>
          <w:color w:val="44546A" w:themeColor="text2"/>
          <w:sz w:val="30"/>
          <w:szCs w:val="30"/>
        </w:rPr>
        <w:t xml:space="preserve">oles and responsibilities of the </w:t>
      </w:r>
      <w:r w:rsidR="000040A5">
        <w:rPr>
          <w:b/>
          <w:color w:val="44546A" w:themeColor="text2"/>
          <w:sz w:val="30"/>
          <w:szCs w:val="30"/>
        </w:rPr>
        <w:t>Institute</w:t>
      </w:r>
    </w:p>
    <w:p w14:paraId="4D35FE2D" w14:textId="77777777" w:rsidR="0092111A" w:rsidRPr="0092111A" w:rsidRDefault="0092111A" w:rsidP="0092111A">
      <w:pPr>
        <w:pStyle w:val="Heading3"/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</w:pPr>
      <w:r w:rsidRPr="0092111A"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  <w:t xml:space="preserve">A nationally consistent and better connected sector </w:t>
      </w:r>
    </w:p>
    <w:p w14:paraId="5A386C90" w14:textId="126BD762" w:rsidR="00972FF5" w:rsidRDefault="00972FF5" w:rsidP="006D2098">
      <w:r>
        <w:t>The careers sector</w:t>
      </w:r>
      <w:r w:rsidRPr="00F81A09">
        <w:t xml:space="preserve"> </w:t>
      </w:r>
      <w:r>
        <w:t>is complex and multi-faceted comprising</w:t>
      </w:r>
      <w:r w:rsidRPr="00F81A09">
        <w:t xml:space="preserve"> the many </w:t>
      </w:r>
      <w:r>
        <w:t>stakeholders</w:t>
      </w:r>
      <w:r w:rsidRPr="00F81A09">
        <w:t xml:space="preserve">, needs, transition points and perspectives involved in lifelong learning. </w:t>
      </w:r>
      <w:r>
        <w:t xml:space="preserve">Through the consultation process, it became clear that career development is not part of a formal ‘system’, but rather operates within </w:t>
      </w:r>
      <w:r w:rsidR="007E7212">
        <w:t>a diverse careers sector.</w:t>
      </w:r>
    </w:p>
    <w:p w14:paraId="41A9B936" w14:textId="01DF39A8" w:rsidR="00972FF5" w:rsidRPr="00F81A09" w:rsidRDefault="00972FF5" w:rsidP="006D2098">
      <w:r w:rsidRPr="00F81A09">
        <w:t xml:space="preserve">There was clear consensus </w:t>
      </w:r>
      <w:r>
        <w:t xml:space="preserve">from stakeholders </w:t>
      </w:r>
      <w:r w:rsidRPr="00F81A09">
        <w:t xml:space="preserve">that the </w:t>
      </w:r>
      <w:r>
        <w:t>careers sector</w:t>
      </w:r>
      <w:r w:rsidRPr="00F81A09">
        <w:t xml:space="preserve"> would benefit from more cohesion and connectedness in order to operate more effectively and efficiently. While articulated to varying degrees, </w:t>
      </w:r>
      <w:r>
        <w:t>participants said</w:t>
      </w:r>
      <w:r w:rsidRPr="00F81A09">
        <w:t xml:space="preserve"> many of the challenges faced by individuals within the </w:t>
      </w:r>
      <w:r>
        <w:t>careers sector</w:t>
      </w:r>
      <w:r w:rsidRPr="00F81A09">
        <w:t xml:space="preserve">, as well as the stakeholders (such as employers and industry) functioning within it, could benefit from formal </w:t>
      </w:r>
      <w:r>
        <w:t>sector</w:t>
      </w:r>
      <w:r w:rsidRPr="00F81A09">
        <w:t xml:space="preserve"> goals and strengthened relationships between stakeholders. The following themes emerged through </w:t>
      </w:r>
      <w:r>
        <w:t>participant</w:t>
      </w:r>
      <w:r w:rsidRPr="00F81A09">
        <w:t xml:space="preserve"> discussions on the challenges the </w:t>
      </w:r>
      <w:r>
        <w:t>careers sector</w:t>
      </w:r>
      <w:r w:rsidRPr="00F81A09">
        <w:t xml:space="preserve"> currently faces</w:t>
      </w:r>
      <w:r>
        <w:t>:</w:t>
      </w:r>
    </w:p>
    <w:p w14:paraId="273331D9" w14:textId="77777777" w:rsidR="00972FF5" w:rsidRPr="00F81A09" w:rsidRDefault="00972FF5" w:rsidP="006D2098">
      <w:pPr>
        <w:pStyle w:val="ListParagraph"/>
        <w:numPr>
          <w:ilvl w:val="0"/>
          <w:numId w:val="5"/>
        </w:numPr>
      </w:pPr>
      <w:r w:rsidRPr="00F81A09">
        <w:t>There is a lack of understanding ab</w:t>
      </w:r>
      <w:bookmarkStart w:id="0" w:name="_GoBack"/>
      <w:bookmarkEnd w:id="0"/>
      <w:r w:rsidRPr="00F81A09">
        <w:t>out the benefits of career development for individuals, employers and the broader economy</w:t>
      </w:r>
      <w:r>
        <w:t>.</w:t>
      </w:r>
    </w:p>
    <w:p w14:paraId="720C1484" w14:textId="77777777" w:rsidR="00972FF5" w:rsidRPr="00F81A09" w:rsidRDefault="00972FF5" w:rsidP="006D2098">
      <w:pPr>
        <w:pStyle w:val="ListParagraph"/>
        <w:numPr>
          <w:ilvl w:val="0"/>
          <w:numId w:val="5"/>
        </w:numPr>
      </w:pPr>
      <w:r w:rsidRPr="00F81A09">
        <w:t xml:space="preserve">Individuals are uncertain of what information can be trusted, as there is a significant amount of conflicting, out-of-date or inaccurate advice within the </w:t>
      </w:r>
      <w:r>
        <w:t>sector.</w:t>
      </w:r>
    </w:p>
    <w:p w14:paraId="547BFF1E" w14:textId="77777777" w:rsidR="00972FF5" w:rsidRPr="00F81A09" w:rsidRDefault="00972FF5" w:rsidP="006D2098">
      <w:pPr>
        <w:pStyle w:val="ListParagraph"/>
        <w:numPr>
          <w:ilvl w:val="0"/>
          <w:numId w:val="5"/>
        </w:numPr>
      </w:pPr>
      <w:r w:rsidRPr="00F81A09">
        <w:t>The multiple entry points to accessing information make it difficult for individuals to assess the autho</w:t>
      </w:r>
      <w:r>
        <w:t>rity and quality of information.</w:t>
      </w:r>
    </w:p>
    <w:p w14:paraId="33F702C8" w14:textId="77777777" w:rsidR="00972FF5" w:rsidRPr="00F81A09" w:rsidRDefault="00972FF5" w:rsidP="006D2098">
      <w:pPr>
        <w:pStyle w:val="ListParagraph"/>
        <w:numPr>
          <w:ilvl w:val="0"/>
          <w:numId w:val="5"/>
        </w:numPr>
      </w:pPr>
      <w:r>
        <w:lastRenderedPageBreak/>
        <w:t>Stakeholders within the sector</w:t>
      </w:r>
      <w:r w:rsidRPr="00F81A09">
        <w:t xml:space="preserve"> do not v</w:t>
      </w:r>
      <w:r>
        <w:t xml:space="preserve">iew themselves as belonging to </w:t>
      </w:r>
      <w:r w:rsidRPr="00F81A09">
        <w:t xml:space="preserve">a </w:t>
      </w:r>
      <w:r>
        <w:t>‘</w:t>
      </w:r>
      <w:r w:rsidRPr="00F81A09">
        <w:t>system’</w:t>
      </w:r>
      <w:r>
        <w:t>.</w:t>
      </w:r>
    </w:p>
    <w:p w14:paraId="2632872D" w14:textId="77777777" w:rsidR="00972FF5" w:rsidRPr="006D2098" w:rsidRDefault="00972FF5" w:rsidP="006D2098">
      <w:pPr>
        <w:pStyle w:val="ListParagraph"/>
        <w:numPr>
          <w:ilvl w:val="0"/>
          <w:numId w:val="5"/>
        </w:numPr>
        <w:rPr>
          <w:rFonts w:eastAsiaTheme="minorHAnsi"/>
        </w:rPr>
      </w:pPr>
      <w:r>
        <w:t>T</w:t>
      </w:r>
      <w:r w:rsidRPr="00F81A09">
        <w:t>here is little shared sense of purpos</w:t>
      </w:r>
      <w:r>
        <w:t>e or defined goals due to the fragmented nature of the sector.</w:t>
      </w:r>
    </w:p>
    <w:p w14:paraId="7B789EFD" w14:textId="77777777" w:rsidR="00972FF5" w:rsidRPr="006D2098" w:rsidRDefault="00972FF5" w:rsidP="006D2098">
      <w:pPr>
        <w:pStyle w:val="ListParagraph"/>
        <w:numPr>
          <w:ilvl w:val="0"/>
          <w:numId w:val="5"/>
        </w:numPr>
        <w:rPr>
          <w:rFonts w:eastAsiaTheme="minorHAnsi"/>
        </w:rPr>
      </w:pPr>
      <w:r w:rsidRPr="00F81A09">
        <w:t>Similarly, there is little shared understanding of what best practice in career development looks like</w:t>
      </w:r>
      <w:r>
        <w:t>.</w:t>
      </w:r>
    </w:p>
    <w:p w14:paraId="5D78415A" w14:textId="77777777" w:rsidR="00972FF5" w:rsidRPr="00F81A09" w:rsidRDefault="00972FF5" w:rsidP="006D2098">
      <w:pPr>
        <w:pStyle w:val="ListParagraph"/>
        <w:numPr>
          <w:ilvl w:val="0"/>
          <w:numId w:val="5"/>
        </w:numPr>
      </w:pPr>
      <w:r>
        <w:t>Stakeholders</w:t>
      </w:r>
      <w:r w:rsidRPr="00F81A09">
        <w:t xml:space="preserve"> tend to define key terms and concepts within their own contexts, leading to a lack of a common language</w:t>
      </w:r>
      <w:r>
        <w:t>.</w:t>
      </w:r>
    </w:p>
    <w:p w14:paraId="696FF3D5" w14:textId="77777777" w:rsidR="00972FF5" w:rsidRPr="006D2098" w:rsidRDefault="00972FF5" w:rsidP="006D2098">
      <w:pPr>
        <w:pStyle w:val="ListParagraph"/>
        <w:numPr>
          <w:ilvl w:val="0"/>
          <w:numId w:val="5"/>
        </w:numPr>
        <w:rPr>
          <w:rFonts w:eastAsiaTheme="minorHAnsi"/>
        </w:rPr>
      </w:pPr>
      <w:r w:rsidRPr="00F81A09">
        <w:t xml:space="preserve">There is no oversight or guidance of the </w:t>
      </w:r>
      <w:r>
        <w:t>sector</w:t>
      </w:r>
      <w:r w:rsidRPr="00F81A09">
        <w:t>, leading to limited connections between stakeholders</w:t>
      </w:r>
      <w:r>
        <w:t>.</w:t>
      </w:r>
    </w:p>
    <w:p w14:paraId="06EA1FEE" w14:textId="14C67632" w:rsidR="00972FF5" w:rsidRPr="00F81A09" w:rsidRDefault="00972FF5" w:rsidP="006D2098">
      <w:pPr>
        <w:pStyle w:val="ListParagraph"/>
        <w:numPr>
          <w:ilvl w:val="0"/>
          <w:numId w:val="5"/>
        </w:numPr>
      </w:pPr>
      <w:r w:rsidRPr="00F81A09">
        <w:t xml:space="preserve">Service delivery and information is skewed towards younger cohorts rather than supporting lifelong learning, particularly focusing on the transition from school to post-school education, training or work, at the expense of other potential beneficiaries from the </w:t>
      </w:r>
      <w:r>
        <w:t>sector</w:t>
      </w:r>
      <w:r w:rsidR="007E7212">
        <w:t>.</w:t>
      </w:r>
    </w:p>
    <w:p w14:paraId="30A65031" w14:textId="53918BA2" w:rsidR="009B6198" w:rsidRDefault="00D74DAD" w:rsidP="006D2098">
      <w:r w:rsidRPr="00F81A09">
        <w:t xml:space="preserve">Stakeholders articulated the need for the Institute to support a nationally consistent and contemporary </w:t>
      </w:r>
      <w:r w:rsidR="00EB6580">
        <w:t>careers sector</w:t>
      </w:r>
      <w:r w:rsidRPr="00F81A09">
        <w:t>, delivering information that empowers people to make decisi</w:t>
      </w:r>
      <w:r w:rsidR="007E7212">
        <w:t>ons about their career journey.</w:t>
      </w:r>
    </w:p>
    <w:p w14:paraId="4E075133" w14:textId="7F99C25A" w:rsidR="0092111A" w:rsidRPr="006F3089" w:rsidRDefault="0092111A" w:rsidP="0092111A">
      <w:pPr>
        <w:pStyle w:val="Heading3"/>
        <w:rPr>
          <w:rFonts w:ascii="Calibri" w:hAnsi="Calibri" w:cstheme="majorBidi"/>
          <w:bCs w:val="0"/>
          <w:color w:val="008276"/>
          <w:szCs w:val="24"/>
          <w14:ligatures w14:val="none"/>
        </w:rPr>
      </w:pPr>
      <w:r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  <w:t xml:space="preserve">Simply and strengthen career information </w:t>
      </w:r>
    </w:p>
    <w:p w14:paraId="73AF62D1" w14:textId="63253329" w:rsidR="00D74DAD" w:rsidRPr="00F81A09" w:rsidRDefault="00972FF5" w:rsidP="006D2098">
      <w:r>
        <w:t>St</w:t>
      </w:r>
      <w:r w:rsidR="00D74DAD" w:rsidRPr="00F81A09">
        <w:t xml:space="preserve">akeholders agreed that </w:t>
      </w:r>
      <w:r w:rsidR="00D74DAD">
        <w:t xml:space="preserve">there are opportunities for </w:t>
      </w:r>
      <w:r w:rsidR="006D6F1A">
        <w:t xml:space="preserve">Institute to </w:t>
      </w:r>
      <w:r w:rsidR="0092111A">
        <w:t>strengthen the delivery of career information</w:t>
      </w:r>
      <w:r w:rsidR="006D6F1A">
        <w:t xml:space="preserve"> by:</w:t>
      </w:r>
    </w:p>
    <w:p w14:paraId="167C15FC" w14:textId="588176E3" w:rsidR="006D6F1A" w:rsidRPr="006D2098" w:rsidRDefault="00CE5146" w:rsidP="006D2098">
      <w:pPr>
        <w:pStyle w:val="ListParagraph"/>
        <w:numPr>
          <w:ilvl w:val="0"/>
          <w:numId w:val="7"/>
        </w:numPr>
        <w:rPr>
          <w:iCs/>
        </w:rPr>
      </w:pPr>
      <w:r w:rsidRPr="006D2098">
        <w:rPr>
          <w:iCs/>
        </w:rPr>
        <w:t>s</w:t>
      </w:r>
      <w:r w:rsidR="006D6F1A" w:rsidRPr="006D2098">
        <w:rPr>
          <w:iCs/>
        </w:rPr>
        <w:t xml:space="preserve">upporting a nationally consistent and contemporary </w:t>
      </w:r>
      <w:r w:rsidR="00EB6580" w:rsidRPr="006D2098">
        <w:rPr>
          <w:iCs/>
        </w:rPr>
        <w:t>careers sector</w:t>
      </w:r>
    </w:p>
    <w:p w14:paraId="64D8375C" w14:textId="3FDEBFC2" w:rsidR="00D74DAD" w:rsidRPr="006D6F1A" w:rsidRDefault="00CE5146" w:rsidP="006D2098">
      <w:pPr>
        <w:pStyle w:val="ListParagraph"/>
        <w:numPr>
          <w:ilvl w:val="0"/>
          <w:numId w:val="7"/>
        </w:numPr>
      </w:pPr>
      <w:r w:rsidRPr="006D2098">
        <w:rPr>
          <w:iCs/>
        </w:rPr>
        <w:t>d</w:t>
      </w:r>
      <w:r w:rsidR="006D6F1A" w:rsidRPr="006D2098">
        <w:rPr>
          <w:iCs/>
        </w:rPr>
        <w:t xml:space="preserve">elivering </w:t>
      </w:r>
      <w:r w:rsidR="005464BA" w:rsidRPr="006D2098">
        <w:rPr>
          <w:iCs/>
        </w:rPr>
        <w:t>activities</w:t>
      </w:r>
      <w:r w:rsidR="006D6F1A" w:rsidRPr="006D2098">
        <w:rPr>
          <w:iCs/>
        </w:rPr>
        <w:t xml:space="preserve"> that empower people making decisions about their career journey</w:t>
      </w:r>
    </w:p>
    <w:p w14:paraId="7D152CD6" w14:textId="16E4B863" w:rsidR="006D6F1A" w:rsidRPr="006D6F1A" w:rsidRDefault="00EC1C34" w:rsidP="006D2098">
      <w:pPr>
        <w:pStyle w:val="ListParagraph"/>
        <w:numPr>
          <w:ilvl w:val="0"/>
          <w:numId w:val="7"/>
        </w:numPr>
      </w:pPr>
      <w:proofErr w:type="gramStart"/>
      <w:r w:rsidRPr="006D2098">
        <w:rPr>
          <w:iCs/>
        </w:rPr>
        <w:t>e</w:t>
      </w:r>
      <w:r w:rsidR="005464BA" w:rsidRPr="006D2098">
        <w:rPr>
          <w:iCs/>
        </w:rPr>
        <w:t>nsuring</w:t>
      </w:r>
      <w:proofErr w:type="gramEnd"/>
      <w:r w:rsidR="006D6F1A" w:rsidRPr="006D2098">
        <w:rPr>
          <w:iCs/>
        </w:rPr>
        <w:t xml:space="preserve"> the </w:t>
      </w:r>
      <w:r w:rsidR="005805F6" w:rsidRPr="006D2098">
        <w:rPr>
          <w:iCs/>
        </w:rPr>
        <w:t>sector</w:t>
      </w:r>
      <w:r w:rsidR="006D6F1A" w:rsidRPr="006D2098">
        <w:rPr>
          <w:iCs/>
        </w:rPr>
        <w:t xml:space="preserve"> is responsive to evolving indi</w:t>
      </w:r>
      <w:r w:rsidR="007E7212">
        <w:rPr>
          <w:iCs/>
        </w:rPr>
        <w:t>viduals and labour market needs.</w:t>
      </w:r>
    </w:p>
    <w:p w14:paraId="55D0A60D" w14:textId="2528A6C7" w:rsidR="00D74DAD" w:rsidRDefault="001D692D" w:rsidP="006D2098">
      <w:r>
        <w:t>Many stakeholders agreed</w:t>
      </w:r>
      <w:r w:rsidR="00D74DAD" w:rsidRPr="00F81A09">
        <w:t xml:space="preserve"> that while digital access</w:t>
      </w:r>
      <w:r w:rsidR="00D74DAD">
        <w:t xml:space="preserve"> to career information</w:t>
      </w:r>
      <w:r w:rsidR="00D74DAD" w:rsidRPr="00F81A09">
        <w:t xml:space="preserve"> </w:t>
      </w:r>
      <w:r w:rsidR="00D74DAD">
        <w:t>is</w:t>
      </w:r>
      <w:r w:rsidR="00D74DAD" w:rsidRPr="00F81A09">
        <w:t xml:space="preserve"> important, which is consistent with the Review’s recommendations, face-to-face services in supplying career guidance </w:t>
      </w:r>
      <w:r>
        <w:t>continue to have value</w:t>
      </w:r>
      <w:r w:rsidR="00D74DAD" w:rsidRPr="00F81A09">
        <w:t>.</w:t>
      </w:r>
    </w:p>
    <w:p w14:paraId="4CFB8A41" w14:textId="00E09FCA" w:rsidR="00570969" w:rsidRPr="00570969" w:rsidRDefault="00D74DAD" w:rsidP="00570969">
      <w:pPr>
        <w:pStyle w:val="Heading2"/>
        <w:rPr>
          <w:b/>
          <w:color w:val="44546A" w:themeColor="text2"/>
          <w:sz w:val="30"/>
          <w:szCs w:val="30"/>
        </w:rPr>
      </w:pPr>
      <w:r w:rsidRPr="00570969">
        <w:rPr>
          <w:b/>
          <w:color w:val="44546A" w:themeColor="text2"/>
          <w:sz w:val="30"/>
          <w:szCs w:val="30"/>
        </w:rPr>
        <w:t xml:space="preserve">Stakeholder focus </w:t>
      </w:r>
      <w:r w:rsidR="00570969" w:rsidRPr="00570969">
        <w:rPr>
          <w:b/>
          <w:color w:val="44546A" w:themeColor="text2"/>
          <w:sz w:val="30"/>
          <w:szCs w:val="30"/>
        </w:rPr>
        <w:t>and immediate actions</w:t>
      </w:r>
    </w:p>
    <w:p w14:paraId="5598105A" w14:textId="313E2005" w:rsidR="00570969" w:rsidRPr="006D2098" w:rsidRDefault="00570969" w:rsidP="006D2098">
      <w:pPr>
        <w:pStyle w:val="Heading3"/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</w:pPr>
      <w:r w:rsidRPr="006D2098"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  <w:t>Stakeholder focus</w:t>
      </w:r>
    </w:p>
    <w:p w14:paraId="77F297CC" w14:textId="6A68E7F8" w:rsidR="00D74DAD" w:rsidRDefault="00CE5146" w:rsidP="006D2098">
      <w:r>
        <w:t>T</w:t>
      </w:r>
      <w:r w:rsidR="00D74DAD">
        <w:t xml:space="preserve">o create a shared understanding of the types of individuals </w:t>
      </w:r>
      <w:r w:rsidR="00F306A2">
        <w:t xml:space="preserve">who can interact with the </w:t>
      </w:r>
      <w:r w:rsidR="00EB6580">
        <w:t>careers sector</w:t>
      </w:r>
      <w:r w:rsidR="00F306A2">
        <w:t xml:space="preserve">, </w:t>
      </w:r>
      <w:r w:rsidR="00D74DAD" w:rsidRPr="00C01B8D">
        <w:t>the Institute conceptualised three types of individual users (‘</w:t>
      </w:r>
      <w:proofErr w:type="spellStart"/>
      <w:r w:rsidR="00D74DAD" w:rsidRPr="00C01B8D">
        <w:t>careerees</w:t>
      </w:r>
      <w:proofErr w:type="spellEnd"/>
      <w:r w:rsidR="00D74DAD" w:rsidRPr="00C01B8D">
        <w:t xml:space="preserve">’) </w:t>
      </w:r>
      <w:r w:rsidR="00D74DAD">
        <w:t>who navigate their way through work, education and training</w:t>
      </w:r>
      <w:r w:rsidR="00D74DAD" w:rsidRPr="00C01B8D">
        <w:t>:</w:t>
      </w:r>
    </w:p>
    <w:p w14:paraId="30B6563C" w14:textId="77777777" w:rsidR="00D74DAD" w:rsidRPr="00F56BF8" w:rsidRDefault="00D74DAD" w:rsidP="006D2098">
      <w:pPr>
        <w:pStyle w:val="ListParagraph"/>
        <w:numPr>
          <w:ilvl w:val="0"/>
          <w:numId w:val="8"/>
        </w:numPr>
      </w:pPr>
      <w:r w:rsidRPr="006F3089">
        <w:t>pre-</w:t>
      </w:r>
      <w:proofErr w:type="spellStart"/>
      <w:r w:rsidRPr="006F3089">
        <w:t>careerees</w:t>
      </w:r>
      <w:proofErr w:type="spellEnd"/>
      <w:r w:rsidRPr="006F3089">
        <w:t>- contemplating joining the world of work in the future</w:t>
      </w:r>
    </w:p>
    <w:p w14:paraId="5E170FA4" w14:textId="77777777" w:rsidR="00D74DAD" w:rsidRPr="00F56BF8" w:rsidRDefault="00D74DAD" w:rsidP="006D2098">
      <w:pPr>
        <w:pStyle w:val="ListParagraph"/>
        <w:numPr>
          <w:ilvl w:val="0"/>
          <w:numId w:val="8"/>
        </w:numPr>
      </w:pPr>
      <w:r w:rsidRPr="006F3089">
        <w:t xml:space="preserve">early </w:t>
      </w:r>
      <w:proofErr w:type="spellStart"/>
      <w:r w:rsidRPr="006F3089">
        <w:t>careerees</w:t>
      </w:r>
      <w:proofErr w:type="spellEnd"/>
      <w:r w:rsidRPr="006F3089">
        <w:t>- transitioning into the world of work from education and training for the first time or relatively new to their career</w:t>
      </w:r>
    </w:p>
    <w:p w14:paraId="35BFEA3C" w14:textId="0CAE544D" w:rsidR="00D74DAD" w:rsidRPr="00F56BF8" w:rsidRDefault="00D74DAD" w:rsidP="006D2098">
      <w:pPr>
        <w:pStyle w:val="ListParagraph"/>
        <w:numPr>
          <w:ilvl w:val="0"/>
          <w:numId w:val="8"/>
        </w:numPr>
      </w:pPr>
      <w:proofErr w:type="gramStart"/>
      <w:r w:rsidRPr="006F3089">
        <w:t>transition</w:t>
      </w:r>
      <w:proofErr w:type="gramEnd"/>
      <w:r w:rsidRPr="006F3089">
        <w:t xml:space="preserve"> </w:t>
      </w:r>
      <w:proofErr w:type="spellStart"/>
      <w:r w:rsidRPr="006F3089">
        <w:t>careerees</w:t>
      </w:r>
      <w:proofErr w:type="spellEnd"/>
      <w:r w:rsidRPr="006F3089">
        <w:t>- Already have significant career or work experience; may be initiating a career change themselves or may have been impacted by a change</w:t>
      </w:r>
      <w:r w:rsidR="007E7212">
        <w:t xml:space="preserve"> outside of their control.</w:t>
      </w:r>
    </w:p>
    <w:p w14:paraId="1E89C99B" w14:textId="5AE99A6D" w:rsidR="00D74DAD" w:rsidRDefault="00D74DAD" w:rsidP="006D2098">
      <w:r>
        <w:t>Responses to the term ‘</w:t>
      </w:r>
      <w:proofErr w:type="spellStart"/>
      <w:r>
        <w:t>careere</w:t>
      </w:r>
      <w:r w:rsidR="00CA56D9">
        <w:t>e</w:t>
      </w:r>
      <w:proofErr w:type="spellEnd"/>
      <w:r>
        <w:t>’ were mostly positive or neutral, however, workshop participants generally agreed that it was a useful term to use for the consultation process.</w:t>
      </w:r>
    </w:p>
    <w:p w14:paraId="767E4040" w14:textId="1B90C33C" w:rsidR="00D74DAD" w:rsidRPr="00F81A09" w:rsidRDefault="00D74DAD" w:rsidP="006D2098">
      <w:r w:rsidRPr="00F81A09">
        <w:t xml:space="preserve">Stakeholders </w:t>
      </w:r>
      <w:r w:rsidR="00D00594">
        <w:t>largely</w:t>
      </w:r>
      <w:r w:rsidRPr="00F81A09">
        <w:t xml:space="preserve"> support</w:t>
      </w:r>
      <w:r w:rsidR="00D00594">
        <w:t>ed</w:t>
      </w:r>
      <w:r w:rsidRPr="00F81A09">
        <w:t xml:space="preserve"> the </w:t>
      </w:r>
      <w:r w:rsidR="00D00594">
        <w:t>idea</w:t>
      </w:r>
      <w:r w:rsidR="00D00594" w:rsidRPr="00F81A09">
        <w:t xml:space="preserve"> </w:t>
      </w:r>
      <w:r w:rsidRPr="00F81A09">
        <w:t xml:space="preserve">that the </w:t>
      </w:r>
      <w:r w:rsidR="00EB6580">
        <w:t>careers sector</w:t>
      </w:r>
      <w:r w:rsidR="00EB6580" w:rsidRPr="00F81A09">
        <w:t xml:space="preserve"> </w:t>
      </w:r>
      <w:r w:rsidRPr="00F81A09">
        <w:t>should operate for the benefit of the individual, no matter what stage or circumstance they are in their life.</w:t>
      </w:r>
      <w:r w:rsidR="00E46381" w:rsidRPr="00E46381">
        <w:t xml:space="preserve"> </w:t>
      </w:r>
      <w:r w:rsidR="00D00594">
        <w:t xml:space="preserve">Individuals and career guiders were identified by stakeholders as the two key user groups of the Institute. </w:t>
      </w:r>
      <w:r w:rsidR="00E46381">
        <w:t xml:space="preserve"> </w:t>
      </w:r>
      <w:r w:rsidR="00D00594">
        <w:t>S</w:t>
      </w:r>
      <w:r w:rsidRPr="00F81A09">
        <w:t>takeholders recommended the Institute should:</w:t>
      </w:r>
    </w:p>
    <w:p w14:paraId="6473C864" w14:textId="2A41B333" w:rsidR="00D74DAD" w:rsidRPr="00F56BF8" w:rsidRDefault="00D74DAD" w:rsidP="006D2098">
      <w:pPr>
        <w:pStyle w:val="ListParagraph"/>
        <w:numPr>
          <w:ilvl w:val="0"/>
          <w:numId w:val="9"/>
        </w:numPr>
      </w:pPr>
      <w:r w:rsidRPr="006D2098">
        <w:rPr>
          <w:rStyle w:val="Strong"/>
        </w:rPr>
        <w:t>directly</w:t>
      </w:r>
      <w:r w:rsidRPr="006F3089">
        <w:t xml:space="preserve"> work with career guiders, education and training providers, governments, employers, industry and job connectors to improve the efficacy of the </w:t>
      </w:r>
      <w:r w:rsidR="005805F6" w:rsidRPr="006F3089">
        <w:t>sector</w:t>
      </w:r>
    </w:p>
    <w:p w14:paraId="7C00A1F4" w14:textId="481FA8A1" w:rsidR="00CA56D9" w:rsidRPr="00F56BF8" w:rsidRDefault="00D74DAD" w:rsidP="006D2098">
      <w:pPr>
        <w:pStyle w:val="ListParagraph"/>
        <w:numPr>
          <w:ilvl w:val="0"/>
          <w:numId w:val="9"/>
        </w:numPr>
      </w:pPr>
      <w:proofErr w:type="gramStart"/>
      <w:r w:rsidRPr="006D2098">
        <w:rPr>
          <w:rStyle w:val="Strong"/>
        </w:rPr>
        <w:lastRenderedPageBreak/>
        <w:t>indirectly</w:t>
      </w:r>
      <w:proofErr w:type="gramEnd"/>
      <w:r w:rsidRPr="006F3089">
        <w:t xml:space="preserve"> work to benefit individuals through its direct work with the above stakeholders.</w:t>
      </w:r>
    </w:p>
    <w:p w14:paraId="002406F5" w14:textId="09CF0D42" w:rsidR="00972FF5" w:rsidRPr="006F3089" w:rsidRDefault="00570969" w:rsidP="00972FF5">
      <w:pPr>
        <w:pStyle w:val="Heading3"/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</w:pPr>
      <w:r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  <w:t>Immediate actions</w:t>
      </w:r>
    </w:p>
    <w:p w14:paraId="012B8DB2" w14:textId="0407E0CB" w:rsidR="00972FF5" w:rsidRPr="00F81A09" w:rsidRDefault="007349FF" w:rsidP="006D2098">
      <w:pPr>
        <w:rPr>
          <w:b/>
        </w:rPr>
      </w:pPr>
      <w:r>
        <w:t xml:space="preserve">Stakeholders were presented with and broadly supported the immediate actions Government announced when establishing the Institute </w:t>
      </w:r>
      <w:r w:rsidR="007E7212">
        <w:t>including:</w:t>
      </w:r>
    </w:p>
    <w:p w14:paraId="759A0491" w14:textId="23AB521C" w:rsidR="000A35CE" w:rsidRPr="00F56BF8" w:rsidRDefault="000A35CE" w:rsidP="006D2098">
      <w:pPr>
        <w:pStyle w:val="ListParagraph"/>
        <w:numPr>
          <w:ilvl w:val="0"/>
          <w:numId w:val="8"/>
        </w:numPr>
      </w:pPr>
      <w:r w:rsidRPr="006F3089">
        <w:t>delivering a new grants program to support in</w:t>
      </w:r>
      <w:r>
        <w:t>novation and build partnerships</w:t>
      </w:r>
    </w:p>
    <w:p w14:paraId="3C6C9391" w14:textId="77777777" w:rsidR="000A35CE" w:rsidRPr="00F56BF8" w:rsidRDefault="000A35CE" w:rsidP="006D2098">
      <w:pPr>
        <w:pStyle w:val="ListParagraph"/>
        <w:numPr>
          <w:ilvl w:val="0"/>
          <w:numId w:val="8"/>
        </w:numPr>
      </w:pPr>
      <w:r w:rsidRPr="006F3089">
        <w:t xml:space="preserve">supporting the National Careers Ambassador </w:t>
      </w:r>
    </w:p>
    <w:p w14:paraId="05C77B14" w14:textId="7C7DCD24" w:rsidR="000A35CE" w:rsidRPr="00F56BF8" w:rsidRDefault="000A35CE" w:rsidP="006D2098">
      <w:pPr>
        <w:pStyle w:val="ListParagraph"/>
        <w:numPr>
          <w:ilvl w:val="0"/>
          <w:numId w:val="8"/>
        </w:numPr>
      </w:pPr>
      <w:r>
        <w:t>delivering activities and projects as part of</w:t>
      </w:r>
      <w:r w:rsidR="007E7212">
        <w:t xml:space="preserve"> the VET Information Strategy</w:t>
      </w:r>
    </w:p>
    <w:p w14:paraId="7EE78AFA" w14:textId="621C0FD5" w:rsidR="00972FF5" w:rsidRPr="000A35CE" w:rsidRDefault="00972FF5" w:rsidP="006D2098">
      <w:pPr>
        <w:pStyle w:val="ListParagraph"/>
        <w:numPr>
          <w:ilvl w:val="0"/>
          <w:numId w:val="8"/>
        </w:numPr>
      </w:pPr>
      <w:r w:rsidRPr="006F3089">
        <w:t>delivering an online platform to consolidate and update existing careers information</w:t>
      </w:r>
    </w:p>
    <w:p w14:paraId="69985789" w14:textId="59ECC4E1" w:rsidR="000A35CE" w:rsidRPr="00F56BF8" w:rsidRDefault="000A35CE" w:rsidP="006D2098">
      <w:pPr>
        <w:pStyle w:val="ListParagraph"/>
        <w:numPr>
          <w:ilvl w:val="0"/>
          <w:numId w:val="8"/>
        </w:numPr>
      </w:pPr>
      <w:proofErr w:type="gramStart"/>
      <w:r>
        <w:t>undertaking</w:t>
      </w:r>
      <w:proofErr w:type="gramEnd"/>
      <w:r>
        <w:t xml:space="preserve"> a program of stakeholder consultation </w:t>
      </w:r>
      <w:r w:rsidR="00122E06">
        <w:t>research</w:t>
      </w:r>
      <w:r w:rsidR="006D2098">
        <w:t>.</w:t>
      </w:r>
    </w:p>
    <w:p w14:paraId="08A2C1F1" w14:textId="024F11F6" w:rsidR="00D74DAD" w:rsidRPr="00570969" w:rsidRDefault="00D74DAD" w:rsidP="00570969">
      <w:pPr>
        <w:pStyle w:val="Heading2"/>
        <w:rPr>
          <w:b/>
          <w:color w:val="44546A" w:themeColor="text2"/>
          <w:sz w:val="30"/>
          <w:szCs w:val="30"/>
        </w:rPr>
      </w:pPr>
      <w:r w:rsidRPr="00570969">
        <w:rPr>
          <w:b/>
          <w:color w:val="44546A" w:themeColor="text2"/>
          <w:sz w:val="30"/>
          <w:szCs w:val="30"/>
        </w:rPr>
        <w:t>Ongoing esta</w:t>
      </w:r>
      <w:r w:rsidR="00570969">
        <w:rPr>
          <w:b/>
          <w:color w:val="44546A" w:themeColor="text2"/>
          <w:sz w:val="30"/>
          <w:szCs w:val="30"/>
        </w:rPr>
        <w:t xml:space="preserve">blishment of the Institute </w:t>
      </w:r>
    </w:p>
    <w:p w14:paraId="66F6F957" w14:textId="22A3FA5A" w:rsidR="00D74DAD" w:rsidRPr="00F81A09" w:rsidRDefault="00D00594" w:rsidP="006D2098">
      <w:r>
        <w:t>Stakeholders were supportive of</w:t>
      </w:r>
      <w:r w:rsidR="00D74DAD" w:rsidRPr="00F81A09">
        <w:t xml:space="preserve"> a</w:t>
      </w:r>
      <w:r w:rsidR="007349FF">
        <w:t xml:space="preserve"> national careers body, which</w:t>
      </w:r>
      <w:r w:rsidR="00D74DAD" w:rsidRPr="00F81A09">
        <w:t>:</w:t>
      </w:r>
    </w:p>
    <w:p w14:paraId="2BC860B0" w14:textId="0080F0DD" w:rsidR="00D74DAD" w:rsidRPr="006F3089" w:rsidRDefault="007349FF" w:rsidP="006D2098">
      <w:pPr>
        <w:pStyle w:val="ListParagraph"/>
        <w:numPr>
          <w:ilvl w:val="0"/>
          <w:numId w:val="10"/>
        </w:numPr>
      </w:pPr>
      <w:r>
        <w:t xml:space="preserve">is durable, </w:t>
      </w:r>
      <w:r w:rsidR="00D00594" w:rsidRPr="006F3089">
        <w:t>i</w:t>
      </w:r>
      <w:r w:rsidR="00D74DAD" w:rsidRPr="006F3089">
        <w:t>ndependent</w:t>
      </w:r>
      <w:r>
        <w:t xml:space="preserve"> and adaptable</w:t>
      </w:r>
      <w:r w:rsidR="00D74DAD" w:rsidRPr="006F3089">
        <w:t xml:space="preserve"> </w:t>
      </w:r>
    </w:p>
    <w:p w14:paraId="38BDA85B" w14:textId="3CFA6C74" w:rsidR="00D74DAD" w:rsidRPr="006F3089" w:rsidRDefault="007349FF" w:rsidP="006D2098">
      <w:pPr>
        <w:pStyle w:val="ListParagraph"/>
        <w:numPr>
          <w:ilvl w:val="0"/>
          <w:numId w:val="10"/>
        </w:numPr>
      </w:pPr>
      <w:proofErr w:type="gramStart"/>
      <w:r>
        <w:t>undertakes</w:t>
      </w:r>
      <w:proofErr w:type="gramEnd"/>
      <w:r>
        <w:t xml:space="preserve"> functions that support </w:t>
      </w:r>
      <w:r w:rsidR="00D74DAD" w:rsidRPr="006F3089">
        <w:t>the delivery of nationally consistent, high quality and contemporary care</w:t>
      </w:r>
      <w:r w:rsidR="007E7212">
        <w:t>er development for Australians.</w:t>
      </w:r>
    </w:p>
    <w:p w14:paraId="66C936D4" w14:textId="767AC0A9" w:rsidR="00570969" w:rsidRPr="0092111A" w:rsidRDefault="00570969" w:rsidP="00570969">
      <w:pPr>
        <w:pStyle w:val="Heading3"/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</w:pPr>
      <w:r w:rsidRPr="0092111A"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  <w:t>A</w:t>
      </w:r>
      <w:r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  <w:t xml:space="preserve"> national body that is durable</w:t>
      </w:r>
      <w:r w:rsidR="007349FF"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  <w:t>,</w:t>
      </w:r>
      <w:r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  <w:t xml:space="preserve"> independent</w:t>
      </w:r>
      <w:r w:rsidR="007349FF"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  <w:t xml:space="preserve"> and adaptable</w:t>
      </w:r>
    </w:p>
    <w:p w14:paraId="50494685" w14:textId="489851D4" w:rsidR="00570969" w:rsidRDefault="00570969" w:rsidP="006D2098">
      <w:r w:rsidRPr="00F81A09">
        <w:t>Durability and longevity have been historically cited as key contributors towards the impact of a federal policy initiative addressing the careers agenda</w:t>
      </w:r>
      <w:r w:rsidRPr="0092111A">
        <w:rPr>
          <w:vertAlign w:val="superscript"/>
        </w:rPr>
        <w:footnoteReference w:id="1"/>
      </w:r>
      <w:r w:rsidRPr="00F81A09">
        <w:t xml:space="preserve">. Stakeholders </w:t>
      </w:r>
      <w:r>
        <w:t>indicated</w:t>
      </w:r>
      <w:r w:rsidRPr="00F81A09">
        <w:t xml:space="preserve"> that it would be essential for a national body to be sustainable, independent and with a long-term outlook to meaningfully contribute </w:t>
      </w:r>
      <w:r w:rsidR="007E7212">
        <w:t>to lifelong career development.</w:t>
      </w:r>
    </w:p>
    <w:p w14:paraId="26233E8D" w14:textId="7B8F29FD" w:rsidR="00570969" w:rsidRDefault="00570969" w:rsidP="006D2098">
      <w:proofErr w:type="gramStart"/>
      <w:r w:rsidRPr="00F81A09">
        <w:t>e-Hub</w:t>
      </w:r>
      <w:proofErr w:type="gramEnd"/>
      <w:r w:rsidRPr="00F81A09">
        <w:t xml:space="preserve"> survey respondents </w:t>
      </w:r>
      <w:r>
        <w:t xml:space="preserve">generally </w:t>
      </w:r>
      <w:r w:rsidRPr="00F81A09">
        <w:t xml:space="preserve">agreed that the Institute’s most important priority should be to make sure all </w:t>
      </w:r>
      <w:r>
        <w:t>careers sector</w:t>
      </w:r>
      <w:r w:rsidRPr="00F81A09">
        <w:t xml:space="preserve"> users have access to the support and information they need, regardless of their life stage</w:t>
      </w:r>
      <w:r w:rsidR="007E7212">
        <w:t>, age, or circumstances.</w:t>
      </w:r>
    </w:p>
    <w:p w14:paraId="6FAB709E" w14:textId="53B6C2C9" w:rsidR="007349FF" w:rsidRDefault="007349FF" w:rsidP="006D2098">
      <w:pPr>
        <w:rPr>
          <w:color w:val="000000" w:themeColor="text1"/>
        </w:rPr>
      </w:pPr>
      <w:r>
        <w:rPr>
          <w:color w:val="000000" w:themeColor="text1"/>
        </w:rPr>
        <w:t>Reflecting participant discussions, t</w:t>
      </w:r>
      <w:r w:rsidRPr="00F81A09">
        <w:rPr>
          <w:color w:val="000000" w:themeColor="text1"/>
        </w:rPr>
        <w:t xml:space="preserve">he Institute’s model and delivery approach </w:t>
      </w:r>
      <w:r>
        <w:rPr>
          <w:color w:val="000000" w:themeColor="text1"/>
        </w:rPr>
        <w:t xml:space="preserve">should </w:t>
      </w:r>
      <w:r w:rsidRPr="00F81A09">
        <w:rPr>
          <w:color w:val="000000" w:themeColor="text1"/>
        </w:rPr>
        <w:t xml:space="preserve">mature over time in response to the needs of the sector, individuals and the changing labour market. </w:t>
      </w:r>
      <w:r>
        <w:rPr>
          <w:color w:val="000000" w:themeColor="text1"/>
        </w:rPr>
        <w:t>A</w:t>
      </w:r>
      <w:r w:rsidRPr="00F81A09">
        <w:rPr>
          <w:color w:val="000000" w:themeColor="text1"/>
        </w:rPr>
        <w:t xml:space="preserve"> number of different governance options</w:t>
      </w:r>
      <w:r>
        <w:rPr>
          <w:color w:val="000000" w:themeColor="text1"/>
        </w:rPr>
        <w:t xml:space="preserve"> are being considered</w:t>
      </w:r>
      <w:r w:rsidRPr="00F81A09">
        <w:rPr>
          <w:color w:val="000000" w:themeColor="text1"/>
        </w:rPr>
        <w:t xml:space="preserve"> in parallel with other bodies and initiat</w:t>
      </w:r>
      <w:r w:rsidR="007E7212">
        <w:rPr>
          <w:color w:val="000000" w:themeColor="text1"/>
        </w:rPr>
        <w:t>ives currently being developed.</w:t>
      </w:r>
    </w:p>
    <w:p w14:paraId="57E008EF" w14:textId="33ED2935" w:rsidR="00570969" w:rsidRPr="0092111A" w:rsidRDefault="00570969" w:rsidP="00570969">
      <w:pPr>
        <w:pStyle w:val="Heading3"/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</w:pPr>
      <w:r w:rsidRPr="0092111A">
        <w:rPr>
          <w:rFonts w:ascii="Calibri" w:hAnsi="Calibri" w:cstheme="majorBidi"/>
          <w:b w:val="0"/>
          <w:bCs w:val="0"/>
          <w:color w:val="008276"/>
          <w:szCs w:val="24"/>
          <w14:ligatures w14:val="none"/>
        </w:rPr>
        <w:t>Future functions</w:t>
      </w:r>
    </w:p>
    <w:p w14:paraId="48C38FF7" w14:textId="77777777" w:rsidR="00570969" w:rsidRPr="00F81A09" w:rsidRDefault="00570969" w:rsidP="006D2098">
      <w:r>
        <w:t>During the consultation process, t</w:t>
      </w:r>
      <w:r w:rsidRPr="00F81A09">
        <w:t xml:space="preserve">he most consistent themes about what stakeholders thought a national body could </w:t>
      </w:r>
      <w:r>
        <w:t>do within the sector</w:t>
      </w:r>
      <w:r w:rsidRPr="00F81A09">
        <w:t xml:space="preserve"> were to:</w:t>
      </w:r>
    </w:p>
    <w:p w14:paraId="1176DA17" w14:textId="77777777" w:rsidR="00570969" w:rsidRPr="00D832B3" w:rsidRDefault="00570969" w:rsidP="006D2098">
      <w:pPr>
        <w:pStyle w:val="ListParagraph"/>
        <w:numPr>
          <w:ilvl w:val="0"/>
          <w:numId w:val="11"/>
        </w:numPr>
      </w:pPr>
      <w:r w:rsidRPr="006D2098">
        <w:rPr>
          <w:rStyle w:val="Strong"/>
        </w:rPr>
        <w:t>Drive the coordination of the sector</w:t>
      </w:r>
      <w:r w:rsidRPr="00242371">
        <w:t xml:space="preserve"> by defining concepts central to its functions and build</w:t>
      </w:r>
      <w:r w:rsidRPr="00F56BF8">
        <w:t xml:space="preserve"> better connections between key stakeholders such as </w:t>
      </w:r>
      <w:r w:rsidRPr="00D832B3">
        <w:t>schools, education and training providers, employers, and careers practitioners:</w:t>
      </w:r>
    </w:p>
    <w:p w14:paraId="1799524A" w14:textId="77777777" w:rsidR="00570969" w:rsidRPr="00D832B3" w:rsidRDefault="00570969" w:rsidP="006D2098">
      <w:pPr>
        <w:pStyle w:val="ListParagraph"/>
        <w:numPr>
          <w:ilvl w:val="1"/>
          <w:numId w:val="11"/>
        </w:numPr>
      </w:pPr>
      <w:r w:rsidRPr="00D832B3">
        <w:t xml:space="preserve">There is an opportunity to build capacity and linkages </w:t>
      </w:r>
      <w:r>
        <w:t>between</w:t>
      </w:r>
      <w:r w:rsidRPr="00D832B3">
        <w:t xml:space="preserve"> stakeholders to support individuals across their lifelong learning and career stages</w:t>
      </w:r>
    </w:p>
    <w:p w14:paraId="6FF6A19E" w14:textId="77777777" w:rsidR="00570969" w:rsidRPr="00D832B3" w:rsidRDefault="00570969" w:rsidP="006D2098">
      <w:pPr>
        <w:pStyle w:val="ListParagraph"/>
        <w:numPr>
          <w:ilvl w:val="1"/>
          <w:numId w:val="11"/>
        </w:numPr>
      </w:pPr>
      <w:r w:rsidRPr="00D832B3">
        <w:t>A more coordinated sector will reduce duplication, as well as having the ability to establish a shared vision and goals.</w:t>
      </w:r>
    </w:p>
    <w:p w14:paraId="63A32834" w14:textId="77777777" w:rsidR="00570969" w:rsidRPr="00242371" w:rsidRDefault="00570969" w:rsidP="006D2098">
      <w:pPr>
        <w:pStyle w:val="ListParagraph"/>
        <w:numPr>
          <w:ilvl w:val="0"/>
          <w:numId w:val="11"/>
        </w:numPr>
      </w:pPr>
      <w:r w:rsidRPr="006D2098">
        <w:rPr>
          <w:rStyle w:val="Strong"/>
        </w:rPr>
        <w:t>Improve the quality of and access to career information, advice and guidance</w:t>
      </w:r>
      <w:r w:rsidRPr="00242371">
        <w:t xml:space="preserve"> by providing impartial, comprehensive labour market and pathway data to help individuals develop and manage their own careers at all ages and stages:</w:t>
      </w:r>
    </w:p>
    <w:p w14:paraId="054A2BD6" w14:textId="77777777" w:rsidR="00570969" w:rsidRPr="00242371" w:rsidRDefault="00570969" w:rsidP="006D2098">
      <w:pPr>
        <w:pStyle w:val="ListParagraph"/>
        <w:numPr>
          <w:ilvl w:val="1"/>
          <w:numId w:val="11"/>
        </w:numPr>
      </w:pPr>
      <w:r w:rsidRPr="00242371">
        <w:lastRenderedPageBreak/>
        <w:t>This would be achieved by not duplicating existing services, but rather by gap filling and helping people to understand what is already available and how to access it.</w:t>
      </w:r>
    </w:p>
    <w:p w14:paraId="09805529" w14:textId="255B7F39" w:rsidR="00570969" w:rsidRPr="00242371" w:rsidRDefault="00570969" w:rsidP="006D2098">
      <w:pPr>
        <w:pStyle w:val="ListParagraph"/>
        <w:numPr>
          <w:ilvl w:val="0"/>
          <w:numId w:val="11"/>
        </w:numPr>
      </w:pPr>
      <w:r w:rsidRPr="006D2098">
        <w:rPr>
          <w:rStyle w:val="Strong"/>
        </w:rPr>
        <w:t>Promote career development</w:t>
      </w:r>
      <w:r w:rsidRPr="00242371">
        <w:t xml:space="preserve"> by raising the profile of career development services and promoting the importance of career development and management for individuals and businesses alike</w:t>
      </w:r>
    </w:p>
    <w:p w14:paraId="1B4FC403" w14:textId="77777777" w:rsidR="00570969" w:rsidRPr="006F3089" w:rsidRDefault="00570969" w:rsidP="006D2098">
      <w:pPr>
        <w:pStyle w:val="ListParagraph"/>
        <w:numPr>
          <w:ilvl w:val="0"/>
          <w:numId w:val="11"/>
        </w:numPr>
      </w:pPr>
      <w:r w:rsidRPr="006D2098">
        <w:rPr>
          <w:rStyle w:val="Strong"/>
        </w:rPr>
        <w:t>Build the evidence base</w:t>
      </w:r>
      <w:r w:rsidRPr="006D2098">
        <w:rPr>
          <w:b/>
        </w:rPr>
        <w:t xml:space="preserve"> </w:t>
      </w:r>
      <w:r w:rsidRPr="00F56BF8">
        <w:t>by bringing together academic, industry</w:t>
      </w:r>
      <w:r w:rsidRPr="00D832B3">
        <w:t xml:space="preserve"> and government research on career development, and commissioning new Australian research on what works.</w:t>
      </w:r>
    </w:p>
    <w:p w14:paraId="5E1F70D1" w14:textId="77777777" w:rsidR="00570969" w:rsidRPr="00F81A09" w:rsidRDefault="00570969" w:rsidP="00570969">
      <w:pPr>
        <w:pStyle w:val="Default"/>
        <w:spacing w:after="70"/>
        <w:rPr>
          <w:rFonts w:asciiTheme="minorHAnsi" w:hAnsiTheme="minorHAnsi" w:cstheme="minorHAnsi"/>
          <w:sz w:val="2"/>
          <w:szCs w:val="22"/>
        </w:rPr>
      </w:pPr>
    </w:p>
    <w:p w14:paraId="7737F7EF" w14:textId="032B1D03" w:rsidR="00570969" w:rsidRDefault="00570969" w:rsidP="006D2098">
      <w:r w:rsidRPr="00F81A09">
        <w:t xml:space="preserve">When asked how the Institute should contribute </w:t>
      </w:r>
      <w:r w:rsidRPr="00CA56D9">
        <w:t>to the careers sector, respondents</w:t>
      </w:r>
      <w:r w:rsidRPr="00F81A09">
        <w:t xml:space="preserve"> on e-Hub gravitated towards national leadership functions. Addressing and highlighting </w:t>
      </w:r>
      <w:r>
        <w:t>service</w:t>
      </w:r>
      <w:r w:rsidRPr="00F81A09">
        <w:t xml:space="preserve"> gaps, creating an evidence base and coordinating data were the three most popular responses, with </w:t>
      </w:r>
      <w:r>
        <w:t xml:space="preserve">approximately </w:t>
      </w:r>
      <w:r w:rsidR="006D2098">
        <w:br/>
      </w:r>
      <w:r w:rsidRPr="00F81A09">
        <w:t>80% of respondents agreeing that the Institute should contribute through each of these functions.</w:t>
      </w:r>
    </w:p>
    <w:p w14:paraId="4AD6EC5B" w14:textId="77777777" w:rsidR="00D74DAD" w:rsidRPr="006F3089" w:rsidRDefault="00D74DAD" w:rsidP="00D74DAD">
      <w:pPr>
        <w:pStyle w:val="Heading2"/>
        <w:rPr>
          <w:rFonts w:ascii="Calibri" w:hAnsi="Calibri" w:cstheme="majorBidi"/>
          <w:b/>
          <w:bCs w:val="0"/>
          <w:color w:val="002D3F"/>
          <w:sz w:val="30"/>
          <w:szCs w:val="26"/>
          <w14:ligatures w14:val="none"/>
        </w:rPr>
      </w:pPr>
      <w:r w:rsidRPr="006F3089">
        <w:rPr>
          <w:rFonts w:ascii="Calibri" w:hAnsi="Calibri" w:cstheme="majorBidi"/>
          <w:b/>
          <w:bCs w:val="0"/>
          <w:color w:val="002D3F"/>
          <w:sz w:val="30"/>
          <w:szCs w:val="26"/>
          <w14:ligatures w14:val="none"/>
        </w:rPr>
        <w:t>Where to now?</w:t>
      </w:r>
    </w:p>
    <w:p w14:paraId="32364E41" w14:textId="3FF46791" w:rsidR="00D74DAD" w:rsidRPr="00F81A09" w:rsidRDefault="00D74DAD" w:rsidP="006D2098">
      <w:pPr>
        <w:rPr>
          <w:lang w:eastAsia="en-AU"/>
        </w:rPr>
      </w:pPr>
      <w:r w:rsidRPr="00F81A09">
        <w:rPr>
          <w:lang w:eastAsia="en-AU"/>
        </w:rPr>
        <w:t xml:space="preserve">The consultation and co-design process has </w:t>
      </w:r>
      <w:r w:rsidR="00D00594">
        <w:rPr>
          <w:lang w:eastAsia="en-AU"/>
        </w:rPr>
        <w:t>provided valuable feedback</w:t>
      </w:r>
      <w:r w:rsidRPr="00F81A09">
        <w:rPr>
          <w:lang w:eastAsia="en-AU"/>
        </w:rPr>
        <w:t xml:space="preserve"> on how the Institute could most effectively operate and contribute to the </w:t>
      </w:r>
      <w:r w:rsidR="00EB6580">
        <w:t>careers sector</w:t>
      </w:r>
      <w:r w:rsidRPr="00F81A09">
        <w:rPr>
          <w:lang w:eastAsia="en-AU"/>
        </w:rPr>
        <w:t>. The support for the Institute’s establishment is clear, and the various contributions that have been made will be drawn on throu</w:t>
      </w:r>
      <w:r w:rsidR="007E7212">
        <w:rPr>
          <w:lang w:eastAsia="en-AU"/>
        </w:rPr>
        <w:t>ghout the next formative phase.</w:t>
      </w:r>
    </w:p>
    <w:p w14:paraId="6864DC5E" w14:textId="79DBCB9E" w:rsidR="00D74DAD" w:rsidRPr="00F81A09" w:rsidRDefault="00D74DAD" w:rsidP="006D2098">
      <w:pPr>
        <w:rPr>
          <w:lang w:eastAsia="en-AU"/>
        </w:rPr>
      </w:pPr>
      <w:r w:rsidRPr="00F81A09">
        <w:rPr>
          <w:lang w:eastAsia="en-AU"/>
        </w:rPr>
        <w:t>Further consultation and co-design</w:t>
      </w:r>
      <w:r>
        <w:rPr>
          <w:lang w:eastAsia="en-AU"/>
        </w:rPr>
        <w:t xml:space="preserve"> work</w:t>
      </w:r>
      <w:r w:rsidRPr="00F81A09">
        <w:rPr>
          <w:lang w:eastAsia="en-AU"/>
        </w:rPr>
        <w:t xml:space="preserve"> </w:t>
      </w:r>
      <w:r w:rsidR="00D00594">
        <w:rPr>
          <w:lang w:eastAsia="en-AU"/>
        </w:rPr>
        <w:t>is</w:t>
      </w:r>
      <w:r w:rsidR="00D00594" w:rsidRPr="00F81A09">
        <w:rPr>
          <w:lang w:eastAsia="en-AU"/>
        </w:rPr>
        <w:t xml:space="preserve"> </w:t>
      </w:r>
      <w:r w:rsidRPr="00F81A09">
        <w:rPr>
          <w:lang w:eastAsia="en-AU"/>
        </w:rPr>
        <w:t>planned for 2020 to shape delivery of key activities including:</w:t>
      </w:r>
    </w:p>
    <w:p w14:paraId="0066EA4E" w14:textId="77777777" w:rsidR="00D74DAD" w:rsidRPr="00F56BF8" w:rsidRDefault="00D74DAD" w:rsidP="006D2098">
      <w:pPr>
        <w:pStyle w:val="ListParagraph"/>
        <w:numPr>
          <w:ilvl w:val="0"/>
          <w:numId w:val="12"/>
        </w:numPr>
      </w:pPr>
      <w:r w:rsidRPr="006F3089">
        <w:t>Research with individuals, influencers, advisors and employers is underway to inform the digital platform</w:t>
      </w:r>
    </w:p>
    <w:p w14:paraId="073751E2" w14:textId="1A5E6832" w:rsidR="00D74DAD" w:rsidRPr="00F56BF8" w:rsidRDefault="00D74DAD" w:rsidP="006D2098">
      <w:pPr>
        <w:pStyle w:val="ListParagraph"/>
        <w:numPr>
          <w:ilvl w:val="0"/>
          <w:numId w:val="12"/>
        </w:numPr>
      </w:pPr>
      <w:r w:rsidRPr="006F3089">
        <w:t>A comprehensive synthesis and analysis of stakeholder feedback, domestic mapping and international benchmar</w:t>
      </w:r>
      <w:r w:rsidR="007E7212">
        <w:t>king projects will be delivered</w:t>
      </w:r>
    </w:p>
    <w:p w14:paraId="704D10A2" w14:textId="77777777" w:rsidR="00D74DAD" w:rsidRPr="00F56BF8" w:rsidRDefault="00D74DAD" w:rsidP="006D2098">
      <w:pPr>
        <w:pStyle w:val="ListParagraph"/>
        <w:numPr>
          <w:ilvl w:val="0"/>
          <w:numId w:val="12"/>
        </w:numPr>
      </w:pPr>
      <w:r w:rsidRPr="006F3089">
        <w:t>The Institute’s grant funding delivery and promoting pathways will commence early next year through the e-Hub.</w:t>
      </w:r>
    </w:p>
    <w:p w14:paraId="70FE026D" w14:textId="451F2188" w:rsidR="00D74DAD" w:rsidRPr="00A56FC7" w:rsidRDefault="00D74DAD" w:rsidP="00D74DAD">
      <w:r w:rsidRPr="00F81A09">
        <w:t xml:space="preserve">To stay up to date on the Institute’s consultation process, register for updates on </w:t>
      </w:r>
      <w:hyperlink r:id="rId15" w:history="1">
        <w:r w:rsidRPr="00CD09CE">
          <w:rPr>
            <w:rStyle w:val="Hyperlink"/>
          </w:rPr>
          <w:t>the Institute’s</w:t>
        </w:r>
        <w:r w:rsidR="00B02615" w:rsidRPr="00CD09CE">
          <w:rPr>
            <w:rStyle w:val="Hyperlink"/>
          </w:rPr>
          <w:t xml:space="preserve"> </w:t>
        </w:r>
        <w:r w:rsidR="00B02615" w:rsidRPr="00CD09CE">
          <w:rPr>
            <w:rStyle w:val="Hyperlink"/>
          </w:rPr>
          <w:br/>
        </w:r>
        <w:r w:rsidRPr="00CD09CE">
          <w:rPr>
            <w:rStyle w:val="Hyperlink"/>
          </w:rPr>
          <w:t>e-</w:t>
        </w:r>
        <w:r w:rsidR="00CD09CE" w:rsidRPr="00CD09CE">
          <w:rPr>
            <w:rStyle w:val="Hyperlink"/>
          </w:rPr>
          <w:t>Hub</w:t>
        </w:r>
      </w:hyperlink>
      <w:r w:rsidRPr="006D2098">
        <w:t>.</w:t>
      </w:r>
    </w:p>
    <w:sectPr w:rsidR="00D74DAD" w:rsidRPr="00A56FC7" w:rsidSect="005A6AA7">
      <w:footerReference w:type="default" r:id="rId16"/>
      <w:footerReference w:type="first" r:id="rId17"/>
      <w:pgSz w:w="11906" w:h="16838"/>
      <w:pgMar w:top="238" w:right="1361" w:bottom="1247" w:left="1361" w:header="709" w:footer="5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BF25A" w14:textId="77777777" w:rsidR="005A4A6C" w:rsidRDefault="005A4A6C" w:rsidP="00130923">
      <w:pPr>
        <w:spacing w:after="0" w:line="240" w:lineRule="auto"/>
      </w:pPr>
      <w:r>
        <w:separator/>
      </w:r>
    </w:p>
  </w:endnote>
  <w:endnote w:type="continuationSeparator" w:id="0">
    <w:p w14:paraId="3ECADCB1" w14:textId="77777777" w:rsidR="005A4A6C" w:rsidRDefault="005A4A6C" w:rsidP="0013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CCDB5" w14:textId="26A1B679" w:rsidR="00F71D1D" w:rsidRDefault="00015757" w:rsidP="00F71D1D">
    <w:pPr>
      <w:pStyle w:val="Footer"/>
    </w:pPr>
    <w:r>
      <w:t>May</w:t>
    </w:r>
    <w:r w:rsidR="00F71D1D">
      <w:t xml:space="preserve"> 2020</w:t>
    </w:r>
  </w:p>
  <w:p w14:paraId="178F7A6F" w14:textId="1623E920" w:rsidR="005A4A6C" w:rsidRPr="00F71D1D" w:rsidRDefault="005A4A6C" w:rsidP="00F71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41A6F" w14:textId="77777777" w:rsidR="00F71D1D" w:rsidRDefault="00F71D1D">
    <w:pPr>
      <w:pStyle w:val="Footer"/>
    </w:pPr>
  </w:p>
  <w:p w14:paraId="076D55A3" w14:textId="77777777" w:rsidR="00F71D1D" w:rsidRDefault="00F71D1D">
    <w:pPr>
      <w:pStyle w:val="Footer"/>
    </w:pPr>
  </w:p>
  <w:p w14:paraId="0FA50545" w14:textId="376A6D44" w:rsidR="00F71D1D" w:rsidRDefault="0091636E">
    <w:pPr>
      <w:pStyle w:val="Footer"/>
    </w:pPr>
    <w:r>
      <w:t>May</w:t>
    </w:r>
    <w:r w:rsidR="00F71D1D">
      <w:t xml:space="preserve"> 2020</w:t>
    </w:r>
  </w:p>
  <w:p w14:paraId="0F35B75D" w14:textId="0F4DB903" w:rsidR="00F71D1D" w:rsidRDefault="00F71D1D" w:rsidP="00F71D1D">
    <w:pPr>
      <w:pStyle w:val="Footer"/>
      <w:tabs>
        <w:tab w:val="clear" w:pos="4513"/>
        <w:tab w:val="clear" w:pos="9026"/>
        <w:tab w:val="left" w:pos="259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87B07" w14:textId="77777777" w:rsidR="005A4A6C" w:rsidRDefault="005A4A6C" w:rsidP="00130923">
      <w:pPr>
        <w:spacing w:after="0" w:line="240" w:lineRule="auto"/>
      </w:pPr>
      <w:r>
        <w:separator/>
      </w:r>
    </w:p>
  </w:footnote>
  <w:footnote w:type="continuationSeparator" w:id="0">
    <w:p w14:paraId="2887A22A" w14:textId="77777777" w:rsidR="005A4A6C" w:rsidRDefault="005A4A6C" w:rsidP="00130923">
      <w:pPr>
        <w:spacing w:after="0" w:line="240" w:lineRule="auto"/>
      </w:pPr>
      <w:r>
        <w:continuationSeparator/>
      </w:r>
    </w:p>
  </w:footnote>
  <w:footnote w:id="1">
    <w:p w14:paraId="31235FB8" w14:textId="77777777" w:rsidR="00570969" w:rsidRPr="00CC39DA" w:rsidRDefault="00570969" w:rsidP="00570969">
      <w:pPr>
        <w:pStyle w:val="FootnoteText"/>
        <w:rPr>
          <w:rFonts w:cs="Segoe UI"/>
          <w:bCs/>
          <w:i/>
          <w:iCs/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4A20D1">
        <w:rPr>
          <w:rFonts w:cs="Segoe UI"/>
          <w:sz w:val="14"/>
          <w:szCs w:val="14"/>
        </w:rPr>
        <w:t xml:space="preserve">Career Industry Council of Australia (CICA), 2019, </w:t>
      </w:r>
      <w:r w:rsidRPr="004A20D1">
        <w:rPr>
          <w:rStyle w:val="Emphasis"/>
          <w:rFonts w:cs="Segoe UI"/>
          <w:sz w:val="14"/>
          <w:szCs w:val="14"/>
        </w:rPr>
        <w:t>Preliminary Analysis of Australia’s Career Development System (unpublished)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5B0F"/>
    <w:multiLevelType w:val="hybridMultilevel"/>
    <w:tmpl w:val="53FC5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DF2"/>
    <w:multiLevelType w:val="hybridMultilevel"/>
    <w:tmpl w:val="F7842D62"/>
    <w:lvl w:ilvl="0" w:tplc="7F847DE4">
      <w:start w:val="1"/>
      <w:numFmt w:val="decimal"/>
      <w:pStyle w:val="numberedpara"/>
      <w:lvlText w:val="%1."/>
      <w:lvlJc w:val="right"/>
      <w:pPr>
        <w:tabs>
          <w:tab w:val="num" w:pos="567"/>
        </w:tabs>
        <w:ind w:left="0" w:hanging="567"/>
      </w:pPr>
      <w:rPr>
        <w:rFonts w:ascii="Calibri" w:hAnsi="Calibri" w:cs="Times New Roman" w:hint="default"/>
        <w:b w:val="0"/>
        <w:i w:val="0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D060A"/>
    <w:multiLevelType w:val="hybridMultilevel"/>
    <w:tmpl w:val="B5DEB7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2E0"/>
    <w:multiLevelType w:val="hybridMultilevel"/>
    <w:tmpl w:val="D9BEE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732AD"/>
    <w:multiLevelType w:val="multilevel"/>
    <w:tmpl w:val="F6DA8B36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pStyle w:val="ListNumber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2416D5F"/>
    <w:multiLevelType w:val="hybridMultilevel"/>
    <w:tmpl w:val="473070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26C92"/>
    <w:multiLevelType w:val="hybridMultilevel"/>
    <w:tmpl w:val="E0F0F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41F0B"/>
    <w:multiLevelType w:val="hybridMultilevel"/>
    <w:tmpl w:val="2DC664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E3DA7"/>
    <w:multiLevelType w:val="hybridMultilevel"/>
    <w:tmpl w:val="D5A6D6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875D84"/>
    <w:multiLevelType w:val="hybridMultilevel"/>
    <w:tmpl w:val="BC5A6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272D5"/>
    <w:multiLevelType w:val="hybridMultilevel"/>
    <w:tmpl w:val="29366D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E53D4"/>
    <w:multiLevelType w:val="multilevel"/>
    <w:tmpl w:val="9D9E4B96"/>
    <w:styleLink w:val="Bullet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pStyle w:val="ListBullet5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0"/>
  </w:num>
  <w:num w:numId="11">
    <w:abstractNumId w:val="5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807519"/>
    <w:rsid w:val="00002721"/>
    <w:rsid w:val="000040A5"/>
    <w:rsid w:val="00011DDE"/>
    <w:rsid w:val="00015757"/>
    <w:rsid w:val="0002469D"/>
    <w:rsid w:val="00024E24"/>
    <w:rsid w:val="00031DA6"/>
    <w:rsid w:val="000320FD"/>
    <w:rsid w:val="00034EAA"/>
    <w:rsid w:val="00044A2F"/>
    <w:rsid w:val="00053E03"/>
    <w:rsid w:val="00073824"/>
    <w:rsid w:val="00074E36"/>
    <w:rsid w:val="00080F24"/>
    <w:rsid w:val="000860A7"/>
    <w:rsid w:val="000861A6"/>
    <w:rsid w:val="000A35CE"/>
    <w:rsid w:val="000D1946"/>
    <w:rsid w:val="000E0179"/>
    <w:rsid w:val="000E4600"/>
    <w:rsid w:val="000E7E7B"/>
    <w:rsid w:val="000F3874"/>
    <w:rsid w:val="000F3BA2"/>
    <w:rsid w:val="001175BF"/>
    <w:rsid w:val="00122E06"/>
    <w:rsid w:val="001251EA"/>
    <w:rsid w:val="00130923"/>
    <w:rsid w:val="00133179"/>
    <w:rsid w:val="00140951"/>
    <w:rsid w:val="001414F3"/>
    <w:rsid w:val="00141A65"/>
    <w:rsid w:val="00143FCD"/>
    <w:rsid w:val="0014775D"/>
    <w:rsid w:val="001549A8"/>
    <w:rsid w:val="001607F9"/>
    <w:rsid w:val="00165376"/>
    <w:rsid w:val="00182192"/>
    <w:rsid w:val="00191075"/>
    <w:rsid w:val="001B0CCF"/>
    <w:rsid w:val="001B6467"/>
    <w:rsid w:val="001D692D"/>
    <w:rsid w:val="001E0572"/>
    <w:rsid w:val="001F1C07"/>
    <w:rsid w:val="002020ED"/>
    <w:rsid w:val="00210DE0"/>
    <w:rsid w:val="00220A9D"/>
    <w:rsid w:val="0022144F"/>
    <w:rsid w:val="00223EB1"/>
    <w:rsid w:val="002250AA"/>
    <w:rsid w:val="00232789"/>
    <w:rsid w:val="00235C2F"/>
    <w:rsid w:val="00236917"/>
    <w:rsid w:val="00242371"/>
    <w:rsid w:val="00243D6B"/>
    <w:rsid w:val="0024646A"/>
    <w:rsid w:val="00261A85"/>
    <w:rsid w:val="002662E9"/>
    <w:rsid w:val="00266BBE"/>
    <w:rsid w:val="002716B9"/>
    <w:rsid w:val="002758E1"/>
    <w:rsid w:val="002936DE"/>
    <w:rsid w:val="002B06E6"/>
    <w:rsid w:val="002C3C58"/>
    <w:rsid w:val="002C7B35"/>
    <w:rsid w:val="002D271F"/>
    <w:rsid w:val="002D3B13"/>
    <w:rsid w:val="002D6386"/>
    <w:rsid w:val="002E0E9C"/>
    <w:rsid w:val="002F7DFE"/>
    <w:rsid w:val="00304355"/>
    <w:rsid w:val="00305B35"/>
    <w:rsid w:val="003166C5"/>
    <w:rsid w:val="00322394"/>
    <w:rsid w:val="003242B9"/>
    <w:rsid w:val="003352EE"/>
    <w:rsid w:val="0033638C"/>
    <w:rsid w:val="003542BA"/>
    <w:rsid w:val="0036634D"/>
    <w:rsid w:val="00370F5E"/>
    <w:rsid w:val="0037327B"/>
    <w:rsid w:val="003838ED"/>
    <w:rsid w:val="003900DE"/>
    <w:rsid w:val="003966F0"/>
    <w:rsid w:val="003A55ED"/>
    <w:rsid w:val="003A62D4"/>
    <w:rsid w:val="003D41D4"/>
    <w:rsid w:val="003D67FC"/>
    <w:rsid w:val="003D7C85"/>
    <w:rsid w:val="004045BD"/>
    <w:rsid w:val="00404DF8"/>
    <w:rsid w:val="004068DD"/>
    <w:rsid w:val="00406E5A"/>
    <w:rsid w:val="00421009"/>
    <w:rsid w:val="0042518D"/>
    <w:rsid w:val="00435623"/>
    <w:rsid w:val="00435B7B"/>
    <w:rsid w:val="00441080"/>
    <w:rsid w:val="00454DE2"/>
    <w:rsid w:val="00455B34"/>
    <w:rsid w:val="00463B8C"/>
    <w:rsid w:val="0048762C"/>
    <w:rsid w:val="004A760F"/>
    <w:rsid w:val="004B0963"/>
    <w:rsid w:val="004B256F"/>
    <w:rsid w:val="004D1A7F"/>
    <w:rsid w:val="004E6DDE"/>
    <w:rsid w:val="004F3351"/>
    <w:rsid w:val="004F7C13"/>
    <w:rsid w:val="005016A9"/>
    <w:rsid w:val="005113B6"/>
    <w:rsid w:val="005129AA"/>
    <w:rsid w:val="00522769"/>
    <w:rsid w:val="00531817"/>
    <w:rsid w:val="00534B7B"/>
    <w:rsid w:val="00542D43"/>
    <w:rsid w:val="005464BA"/>
    <w:rsid w:val="005501BD"/>
    <w:rsid w:val="00560CA0"/>
    <w:rsid w:val="0056236F"/>
    <w:rsid w:val="005624F3"/>
    <w:rsid w:val="00570969"/>
    <w:rsid w:val="00571564"/>
    <w:rsid w:val="005805F6"/>
    <w:rsid w:val="005811EF"/>
    <w:rsid w:val="00591A54"/>
    <w:rsid w:val="005A4A6C"/>
    <w:rsid w:val="005A56A1"/>
    <w:rsid w:val="005A6AA7"/>
    <w:rsid w:val="005B0878"/>
    <w:rsid w:val="005C15C0"/>
    <w:rsid w:val="005C7F63"/>
    <w:rsid w:val="005E1673"/>
    <w:rsid w:val="005E4E4A"/>
    <w:rsid w:val="005F03D1"/>
    <w:rsid w:val="00606421"/>
    <w:rsid w:val="00610654"/>
    <w:rsid w:val="006129EF"/>
    <w:rsid w:val="006172EB"/>
    <w:rsid w:val="006244CA"/>
    <w:rsid w:val="00625E8A"/>
    <w:rsid w:val="006310A6"/>
    <w:rsid w:val="006318B9"/>
    <w:rsid w:val="00636DD3"/>
    <w:rsid w:val="00664D41"/>
    <w:rsid w:val="0067026C"/>
    <w:rsid w:val="00692776"/>
    <w:rsid w:val="00692E2A"/>
    <w:rsid w:val="006B1333"/>
    <w:rsid w:val="006B56C5"/>
    <w:rsid w:val="006C4962"/>
    <w:rsid w:val="006C785D"/>
    <w:rsid w:val="006D2098"/>
    <w:rsid w:val="006D27EB"/>
    <w:rsid w:val="006D6F1A"/>
    <w:rsid w:val="006E2D49"/>
    <w:rsid w:val="006E2F6E"/>
    <w:rsid w:val="006F3089"/>
    <w:rsid w:val="0070073B"/>
    <w:rsid w:val="00701116"/>
    <w:rsid w:val="0070203D"/>
    <w:rsid w:val="0071306E"/>
    <w:rsid w:val="007177C2"/>
    <w:rsid w:val="007213FD"/>
    <w:rsid w:val="00725D2F"/>
    <w:rsid w:val="00726BBC"/>
    <w:rsid w:val="007349FF"/>
    <w:rsid w:val="00745C9F"/>
    <w:rsid w:val="007468FC"/>
    <w:rsid w:val="007500CC"/>
    <w:rsid w:val="00752089"/>
    <w:rsid w:val="0075240D"/>
    <w:rsid w:val="0075597B"/>
    <w:rsid w:val="00755E6E"/>
    <w:rsid w:val="00756759"/>
    <w:rsid w:val="00762B37"/>
    <w:rsid w:val="0077220B"/>
    <w:rsid w:val="00791703"/>
    <w:rsid w:val="0079227F"/>
    <w:rsid w:val="00792CA3"/>
    <w:rsid w:val="007967F0"/>
    <w:rsid w:val="007A3C0C"/>
    <w:rsid w:val="007B2FDD"/>
    <w:rsid w:val="007C13A9"/>
    <w:rsid w:val="007C60E7"/>
    <w:rsid w:val="007C6FB8"/>
    <w:rsid w:val="007D58FB"/>
    <w:rsid w:val="007E25D6"/>
    <w:rsid w:val="007E7212"/>
    <w:rsid w:val="007F2872"/>
    <w:rsid w:val="007F4544"/>
    <w:rsid w:val="007F57AE"/>
    <w:rsid w:val="007F7444"/>
    <w:rsid w:val="00804665"/>
    <w:rsid w:val="00807519"/>
    <w:rsid w:val="00815D4C"/>
    <w:rsid w:val="0083468A"/>
    <w:rsid w:val="00835B02"/>
    <w:rsid w:val="00837534"/>
    <w:rsid w:val="008406E8"/>
    <w:rsid w:val="00842D43"/>
    <w:rsid w:val="00851F5A"/>
    <w:rsid w:val="00856D1C"/>
    <w:rsid w:val="0086148F"/>
    <w:rsid w:val="008643EA"/>
    <w:rsid w:val="00874DBB"/>
    <w:rsid w:val="00876AC0"/>
    <w:rsid w:val="00880A38"/>
    <w:rsid w:val="00884F15"/>
    <w:rsid w:val="008924EC"/>
    <w:rsid w:val="00893A33"/>
    <w:rsid w:val="008C2978"/>
    <w:rsid w:val="008D7595"/>
    <w:rsid w:val="008F775D"/>
    <w:rsid w:val="00903408"/>
    <w:rsid w:val="00907D84"/>
    <w:rsid w:val="009116EA"/>
    <w:rsid w:val="0091636E"/>
    <w:rsid w:val="0092111A"/>
    <w:rsid w:val="00933671"/>
    <w:rsid w:val="00933C0C"/>
    <w:rsid w:val="00936A2D"/>
    <w:rsid w:val="009407FD"/>
    <w:rsid w:val="00944EFC"/>
    <w:rsid w:val="00951772"/>
    <w:rsid w:val="0096483F"/>
    <w:rsid w:val="00965862"/>
    <w:rsid w:val="0096779D"/>
    <w:rsid w:val="00972BF7"/>
    <w:rsid w:val="00972DD5"/>
    <w:rsid w:val="00972FF5"/>
    <w:rsid w:val="00980C83"/>
    <w:rsid w:val="00984879"/>
    <w:rsid w:val="00985632"/>
    <w:rsid w:val="009875C2"/>
    <w:rsid w:val="0099143C"/>
    <w:rsid w:val="00991B63"/>
    <w:rsid w:val="009968DE"/>
    <w:rsid w:val="009B2428"/>
    <w:rsid w:val="009B4507"/>
    <w:rsid w:val="009B5522"/>
    <w:rsid w:val="009B5CB7"/>
    <w:rsid w:val="009B6198"/>
    <w:rsid w:val="009C5738"/>
    <w:rsid w:val="009C61E7"/>
    <w:rsid w:val="009C68C9"/>
    <w:rsid w:val="009F5CF5"/>
    <w:rsid w:val="00A17C42"/>
    <w:rsid w:val="00A21FB0"/>
    <w:rsid w:val="00A2225A"/>
    <w:rsid w:val="00A24CAB"/>
    <w:rsid w:val="00A26360"/>
    <w:rsid w:val="00A2727A"/>
    <w:rsid w:val="00A273A2"/>
    <w:rsid w:val="00A31242"/>
    <w:rsid w:val="00A35435"/>
    <w:rsid w:val="00A40D19"/>
    <w:rsid w:val="00A51A6C"/>
    <w:rsid w:val="00A52530"/>
    <w:rsid w:val="00A5458A"/>
    <w:rsid w:val="00A551BF"/>
    <w:rsid w:val="00A70524"/>
    <w:rsid w:val="00A73406"/>
    <w:rsid w:val="00A82D35"/>
    <w:rsid w:val="00A9672C"/>
    <w:rsid w:val="00AA4BA4"/>
    <w:rsid w:val="00AC04E4"/>
    <w:rsid w:val="00AC157A"/>
    <w:rsid w:val="00AC65DA"/>
    <w:rsid w:val="00AD06D8"/>
    <w:rsid w:val="00AE10EA"/>
    <w:rsid w:val="00AE73CB"/>
    <w:rsid w:val="00AF5A92"/>
    <w:rsid w:val="00B01717"/>
    <w:rsid w:val="00B02615"/>
    <w:rsid w:val="00B17DB5"/>
    <w:rsid w:val="00B2722A"/>
    <w:rsid w:val="00B47F14"/>
    <w:rsid w:val="00B566DB"/>
    <w:rsid w:val="00B618BA"/>
    <w:rsid w:val="00B71F2C"/>
    <w:rsid w:val="00B72B92"/>
    <w:rsid w:val="00B75F36"/>
    <w:rsid w:val="00B920EE"/>
    <w:rsid w:val="00BA282D"/>
    <w:rsid w:val="00BA7E64"/>
    <w:rsid w:val="00BB348D"/>
    <w:rsid w:val="00BB55E0"/>
    <w:rsid w:val="00BB6260"/>
    <w:rsid w:val="00BD02EE"/>
    <w:rsid w:val="00BD5038"/>
    <w:rsid w:val="00BD729C"/>
    <w:rsid w:val="00BE2D9B"/>
    <w:rsid w:val="00BF10F4"/>
    <w:rsid w:val="00BF14E1"/>
    <w:rsid w:val="00BF5025"/>
    <w:rsid w:val="00C05E74"/>
    <w:rsid w:val="00C10C19"/>
    <w:rsid w:val="00C143B8"/>
    <w:rsid w:val="00C169F7"/>
    <w:rsid w:val="00C17D02"/>
    <w:rsid w:val="00C22472"/>
    <w:rsid w:val="00C437DD"/>
    <w:rsid w:val="00C441A2"/>
    <w:rsid w:val="00C45A8B"/>
    <w:rsid w:val="00C5649C"/>
    <w:rsid w:val="00C75486"/>
    <w:rsid w:val="00C76B21"/>
    <w:rsid w:val="00C8202C"/>
    <w:rsid w:val="00C92A5B"/>
    <w:rsid w:val="00CA2884"/>
    <w:rsid w:val="00CA372A"/>
    <w:rsid w:val="00CA46EC"/>
    <w:rsid w:val="00CA56D9"/>
    <w:rsid w:val="00CB0637"/>
    <w:rsid w:val="00CC00C6"/>
    <w:rsid w:val="00CC3EE9"/>
    <w:rsid w:val="00CD09CE"/>
    <w:rsid w:val="00CE21BB"/>
    <w:rsid w:val="00CE5146"/>
    <w:rsid w:val="00CF165E"/>
    <w:rsid w:val="00CF5A00"/>
    <w:rsid w:val="00CF643B"/>
    <w:rsid w:val="00CF6773"/>
    <w:rsid w:val="00D00594"/>
    <w:rsid w:val="00D05B29"/>
    <w:rsid w:val="00D1394D"/>
    <w:rsid w:val="00D15ACB"/>
    <w:rsid w:val="00D23111"/>
    <w:rsid w:val="00D2348B"/>
    <w:rsid w:val="00D25275"/>
    <w:rsid w:val="00D3290B"/>
    <w:rsid w:val="00D43D18"/>
    <w:rsid w:val="00D47740"/>
    <w:rsid w:val="00D51066"/>
    <w:rsid w:val="00D6708F"/>
    <w:rsid w:val="00D70A43"/>
    <w:rsid w:val="00D74DAD"/>
    <w:rsid w:val="00D756C0"/>
    <w:rsid w:val="00D758F2"/>
    <w:rsid w:val="00D812B9"/>
    <w:rsid w:val="00D832B3"/>
    <w:rsid w:val="00D8690C"/>
    <w:rsid w:val="00D903FD"/>
    <w:rsid w:val="00D91CBF"/>
    <w:rsid w:val="00D93E1B"/>
    <w:rsid w:val="00D94BC5"/>
    <w:rsid w:val="00D96B09"/>
    <w:rsid w:val="00D96C08"/>
    <w:rsid w:val="00DA0CDE"/>
    <w:rsid w:val="00DA4492"/>
    <w:rsid w:val="00DB4678"/>
    <w:rsid w:val="00DB64CA"/>
    <w:rsid w:val="00DC3052"/>
    <w:rsid w:val="00DC3BA5"/>
    <w:rsid w:val="00DC60B8"/>
    <w:rsid w:val="00DC76D7"/>
    <w:rsid w:val="00DE4415"/>
    <w:rsid w:val="00DE58F2"/>
    <w:rsid w:val="00DF46C4"/>
    <w:rsid w:val="00E46381"/>
    <w:rsid w:val="00E54360"/>
    <w:rsid w:val="00E61B9F"/>
    <w:rsid w:val="00E805FE"/>
    <w:rsid w:val="00E91136"/>
    <w:rsid w:val="00E935E9"/>
    <w:rsid w:val="00E95B19"/>
    <w:rsid w:val="00EA381E"/>
    <w:rsid w:val="00EB6580"/>
    <w:rsid w:val="00EC1C34"/>
    <w:rsid w:val="00EC64C4"/>
    <w:rsid w:val="00EC78E7"/>
    <w:rsid w:val="00ED43D2"/>
    <w:rsid w:val="00ED6C62"/>
    <w:rsid w:val="00EE3B8C"/>
    <w:rsid w:val="00EE49FE"/>
    <w:rsid w:val="00EF4A38"/>
    <w:rsid w:val="00EF4B93"/>
    <w:rsid w:val="00F11B8F"/>
    <w:rsid w:val="00F2438F"/>
    <w:rsid w:val="00F306A2"/>
    <w:rsid w:val="00F36C34"/>
    <w:rsid w:val="00F40458"/>
    <w:rsid w:val="00F427EE"/>
    <w:rsid w:val="00F540BE"/>
    <w:rsid w:val="00F54C7B"/>
    <w:rsid w:val="00F56BF8"/>
    <w:rsid w:val="00F631D4"/>
    <w:rsid w:val="00F71D1D"/>
    <w:rsid w:val="00F74011"/>
    <w:rsid w:val="00F81A09"/>
    <w:rsid w:val="00F86143"/>
    <w:rsid w:val="00F975AB"/>
    <w:rsid w:val="00FB02E0"/>
    <w:rsid w:val="00FB10CB"/>
    <w:rsid w:val="00FD784B"/>
    <w:rsid w:val="00FE2305"/>
    <w:rsid w:val="00FF1065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2787A7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872"/>
    <w:pPr>
      <w:spacing w:before="60" w:after="120"/>
    </w:pPr>
    <w:rPr>
      <w14:ligatures w14:val="standard"/>
    </w:rPr>
  </w:style>
  <w:style w:type="paragraph" w:styleId="Heading1">
    <w:name w:val="heading 1"/>
    <w:basedOn w:val="Normal"/>
    <w:next w:val="Normal"/>
    <w:link w:val="Heading1Char"/>
    <w:uiPriority w:val="2"/>
    <w:qFormat/>
    <w:rsid w:val="007500CC"/>
    <w:pPr>
      <w:spacing w:before="240" w:after="40" w:line="240" w:lineRule="auto"/>
      <w:outlineLvl w:val="0"/>
    </w:pPr>
    <w:rPr>
      <w:rFonts w:ascii="Calibri" w:eastAsiaTheme="majorEastAsia" w:hAnsi="Calibri" w:cstheme="majorBidi"/>
      <w:b/>
      <w:bCs/>
      <w:color w:val="287BB3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77220B"/>
    <w:pPr>
      <w:spacing w:before="240" w:after="0"/>
      <w:outlineLvl w:val="1"/>
    </w:pPr>
    <w:rPr>
      <w:rFonts w:eastAsiaTheme="majorEastAsia" w:cstheme="minorHAnsi"/>
      <w:bCs/>
      <w:color w:val="287BB3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D3290B"/>
    <w:pPr>
      <w:spacing w:before="240" w:after="0"/>
      <w:outlineLvl w:val="2"/>
    </w:pPr>
    <w:rPr>
      <w:rFonts w:eastAsiaTheme="majorEastAsia" w:cstheme="minorHAns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2"/>
    <w:qFormat/>
    <w:rsid w:val="0077220B"/>
    <w:pPr>
      <w:spacing w:before="240" w:after="0"/>
      <w:outlineLvl w:val="3"/>
    </w:pPr>
    <w:rPr>
      <w:rFonts w:ascii="Calibri" w:eastAsiaTheme="majorEastAsia" w:hAnsi="Calibri" w:cstheme="majorBidi"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2"/>
    <w:qFormat/>
    <w:rsid w:val="005C7F63"/>
    <w:pPr>
      <w:spacing w:before="200" w:after="0"/>
      <w:outlineLvl w:val="4"/>
    </w:pPr>
    <w:rPr>
      <w:rFonts w:ascii="Calibri" w:eastAsiaTheme="majorEastAsia" w:hAnsi="Calibri" w:cstheme="majorBidi"/>
      <w:b/>
      <w:bCs/>
      <w:color w:val="565656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2"/>
    <w:qFormat/>
    <w:rsid w:val="005C7F63"/>
    <w:pPr>
      <w:spacing w:before="200" w:after="0"/>
      <w:outlineLvl w:val="5"/>
    </w:pPr>
    <w:rPr>
      <w:rFonts w:ascii="Calibri" w:eastAsiaTheme="majorEastAsia" w:hAnsi="Calibri" w:cstheme="majorBidi"/>
      <w:bCs/>
      <w:iCs/>
      <w:color w:val="56565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129EF"/>
    <w:pPr>
      <w:spacing w:after="0"/>
      <w:outlineLvl w:val="6"/>
    </w:pPr>
    <w:rPr>
      <w:rFonts w:ascii="Calibri" w:eastAsiaTheme="majorEastAsia" w:hAnsi="Calibri" w:cstheme="majorBidi"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D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D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8"/>
    <w:qFormat/>
    <w:rsid w:val="00AC65DA"/>
    <w:rPr>
      <w:b/>
      <w:bCs/>
    </w:rPr>
  </w:style>
  <w:style w:type="character" w:styleId="Emphasis">
    <w:name w:val="Emphasis"/>
    <w:uiPriority w:val="8"/>
    <w:qFormat/>
    <w:rsid w:val="00E805FE"/>
    <w:rPr>
      <w:b w:val="0"/>
      <w:bCs/>
      <w:i/>
      <w:iCs/>
      <w:spacing w:val="0"/>
      <w:bdr w:val="none" w:sz="0" w:space="0" w:color="auto"/>
      <w:shd w:val="clear" w:color="auto" w:fill="auto"/>
    </w:rPr>
  </w:style>
  <w:style w:type="character" w:styleId="BookTitle">
    <w:name w:val="Book Title"/>
    <w:uiPriority w:val="33"/>
    <w:rsid w:val="009116EA"/>
    <w:rPr>
      <w:i/>
      <w:iCs/>
      <w:caps w:val="0"/>
      <w:smallCaps w:val="0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C10C19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05E74"/>
    <w:pPr>
      <w:ind w:left="369" w:right="369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5E7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2"/>
    <w:rsid w:val="007500CC"/>
    <w:rPr>
      <w:rFonts w:ascii="Calibri" w:eastAsiaTheme="majorEastAsia" w:hAnsi="Calibri" w:cstheme="majorBidi"/>
      <w:b/>
      <w:bCs/>
      <w:color w:val="287BB3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7220B"/>
    <w:rPr>
      <w:rFonts w:eastAsiaTheme="majorEastAsia" w:cstheme="minorHAnsi"/>
      <w:bCs/>
      <w:color w:val="287BB3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D3290B"/>
    <w:rPr>
      <w:rFonts w:eastAsiaTheme="majorEastAsia" w:cstheme="minorHAns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2"/>
    <w:rsid w:val="0077220B"/>
    <w:rPr>
      <w:rFonts w:ascii="Calibri" w:eastAsiaTheme="majorEastAsia" w:hAnsi="Calibri" w:cstheme="majorBidi"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5C7F63"/>
    <w:rPr>
      <w:rFonts w:ascii="Calibri" w:eastAsiaTheme="majorEastAsia" w:hAnsi="Calibri" w:cstheme="majorBidi"/>
      <w:b/>
      <w:bCs/>
      <w:color w:val="565656"/>
      <w:sz w:val="28"/>
      <w:szCs w:val="28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2"/>
    <w:rsid w:val="005C7F63"/>
    <w:rPr>
      <w:rFonts w:ascii="Calibri" w:eastAsiaTheme="majorEastAsia" w:hAnsi="Calibri" w:cstheme="majorBidi"/>
      <w:bCs/>
      <w:iCs/>
      <w:color w:val="565656"/>
      <w:sz w:val="24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9EF"/>
    <w:rPr>
      <w:rFonts w:ascii="Calibri" w:eastAsiaTheme="majorEastAsia" w:hAnsi="Calibri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D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D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C7F63"/>
    <w:pPr>
      <w:spacing w:before="840" w:after="0" w:line="240" w:lineRule="auto"/>
      <w:contextualSpacing/>
    </w:pPr>
    <w:rPr>
      <w:rFonts w:ascii="Calibri" w:eastAsiaTheme="majorEastAsia" w:hAnsi="Calibri" w:cstheme="majorBidi"/>
      <w:b/>
      <w:color w:val="287BB3"/>
      <w:spacing w:val="5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5C7F63"/>
    <w:rPr>
      <w:rFonts w:ascii="Calibri" w:eastAsiaTheme="majorEastAsia" w:hAnsi="Calibri" w:cstheme="majorBidi"/>
      <w:b/>
      <w:color w:val="287BB3"/>
      <w:spacing w:val="5"/>
      <w:sz w:val="60"/>
      <w:szCs w:val="60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5C7F63"/>
    <w:pPr>
      <w:spacing w:before="0" w:after="200"/>
    </w:pPr>
    <w:rPr>
      <w:rFonts w:ascii="Calibri" w:eastAsiaTheme="majorEastAsia" w:hAnsi="Calibri" w:cstheme="majorBidi"/>
      <w:iCs/>
      <w:color w:val="000000" w:themeColor="text1"/>
      <w:spacing w:val="13"/>
      <w:sz w:val="36"/>
      <w:szCs w:val="40"/>
    </w:rPr>
  </w:style>
  <w:style w:type="character" w:customStyle="1" w:styleId="SubtitleChar">
    <w:name w:val="Subtitle Char"/>
    <w:basedOn w:val="DefaultParagraphFont"/>
    <w:link w:val="Subtitle"/>
    <w:uiPriority w:val="1"/>
    <w:rsid w:val="005C7F63"/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paragraph" w:styleId="NoSpacing">
    <w:name w:val="No Spacing"/>
    <w:basedOn w:val="Normal"/>
    <w:link w:val="NoSpacingChar"/>
    <w:uiPriority w:val="1"/>
    <w:rsid w:val="00AC65DA"/>
    <w:pPr>
      <w:spacing w:after="0" w:line="240" w:lineRule="auto"/>
    </w:pPr>
  </w:style>
  <w:style w:type="paragraph" w:styleId="ListParagraph">
    <w:name w:val="List Paragraph"/>
    <w:aliases w:val="Recommendation,List Paragraph1,List Paragraph11,List Paragraph2,List Bullet Cab,Bulletr List Paragraph,FooterText,L,List Paragraph21,Listeafsnit1,Paragraphe de liste1,Parágrafo da Lista1,Párrafo de lista1,bullet point list,列出段"/>
    <w:basedOn w:val="Normal"/>
    <w:link w:val="ListParagraphChar"/>
    <w:uiPriority w:val="34"/>
    <w:qFormat/>
    <w:rsid w:val="00AC65D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rsid w:val="00AC65D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DA"/>
    <w:rPr>
      <w:b/>
      <w:bCs/>
      <w:i/>
      <w:iCs/>
    </w:rPr>
  </w:style>
  <w:style w:type="character" w:styleId="SubtleEmphasis">
    <w:name w:val="Subtle Emphasis"/>
    <w:uiPriority w:val="19"/>
    <w:rsid w:val="00AC65DA"/>
    <w:rPr>
      <w:i/>
      <w:iCs/>
    </w:rPr>
  </w:style>
  <w:style w:type="character" w:styleId="IntenseEmphasis">
    <w:name w:val="Intense Emphasis"/>
    <w:uiPriority w:val="21"/>
    <w:rsid w:val="001F1C07"/>
    <w:rPr>
      <w:b/>
      <w:bCs/>
      <w:i/>
    </w:rPr>
  </w:style>
  <w:style w:type="character" w:styleId="SubtleReference">
    <w:name w:val="Subtle Reference"/>
    <w:uiPriority w:val="31"/>
    <w:rsid w:val="00AC65DA"/>
    <w:rPr>
      <w:smallCaps/>
    </w:rPr>
  </w:style>
  <w:style w:type="character" w:styleId="IntenseReference">
    <w:name w:val="Intense Reference"/>
    <w:uiPriority w:val="32"/>
    <w:rsid w:val="00AC65DA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65DA"/>
    <w:pPr>
      <w:outlineLvl w:val="9"/>
    </w:pPr>
    <w:rPr>
      <w:lang w:bidi="en-US"/>
    </w:rPr>
  </w:style>
  <w:style w:type="paragraph" w:styleId="ListNumber">
    <w:name w:val="List Number"/>
    <w:basedOn w:val="Normal"/>
    <w:uiPriority w:val="99"/>
    <w:unhideWhenUsed/>
    <w:qFormat/>
    <w:rsid w:val="00DC76D7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unhideWhenUsed/>
    <w:qFormat/>
    <w:rsid w:val="00DC76D7"/>
    <w:pPr>
      <w:numPr>
        <w:ilvl w:val="1"/>
        <w:numId w:val="2"/>
      </w:numPr>
      <w:tabs>
        <w:tab w:val="left" w:pos="1134"/>
      </w:tabs>
      <w:contextualSpacing/>
    </w:pPr>
  </w:style>
  <w:style w:type="paragraph" w:styleId="ListNumber3">
    <w:name w:val="List Number 3"/>
    <w:basedOn w:val="Normal"/>
    <w:uiPriority w:val="99"/>
    <w:unhideWhenUsed/>
    <w:qFormat/>
    <w:rsid w:val="00DC76D7"/>
    <w:pPr>
      <w:numPr>
        <w:ilvl w:val="2"/>
        <w:numId w:val="2"/>
      </w:numPr>
      <w:contextualSpacing/>
    </w:pPr>
  </w:style>
  <w:style w:type="paragraph" w:styleId="ListNumber4">
    <w:name w:val="List Number 4"/>
    <w:basedOn w:val="Normal"/>
    <w:uiPriority w:val="99"/>
    <w:unhideWhenUsed/>
    <w:qFormat/>
    <w:rsid w:val="00DC76D7"/>
    <w:pPr>
      <w:numPr>
        <w:ilvl w:val="3"/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EC64C4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EC64C4"/>
    <w:pPr>
      <w:numPr>
        <w:ilvl w:val="1"/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qFormat/>
    <w:rsid w:val="00EC64C4"/>
    <w:pPr>
      <w:numPr>
        <w:ilvl w:val="2"/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qFormat/>
    <w:rsid w:val="00EC64C4"/>
    <w:pPr>
      <w:numPr>
        <w:ilvl w:val="3"/>
        <w:numId w:val="3"/>
      </w:numPr>
      <w:contextualSpacing/>
    </w:pPr>
  </w:style>
  <w:style w:type="table" w:styleId="TableGrid">
    <w:name w:val="Table Grid"/>
    <w:basedOn w:val="TableNormal"/>
    <w:uiPriority w:val="39"/>
    <w:rsid w:val="0079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EWRTable">
    <w:name w:val="DEEWR Table"/>
    <w:basedOn w:val="TableNormal"/>
    <w:uiPriority w:val="99"/>
    <w:rsid w:val="00903408"/>
    <w:pPr>
      <w:spacing w:after="0" w:line="240" w:lineRule="auto"/>
    </w:pPr>
    <w:rPr>
      <w:color w:val="000000" w:themeColor="text1"/>
      <w:sz w:val="20"/>
    </w:rPr>
    <w:tblPr>
      <w:tblStyleRowBandSize w:val="1"/>
      <w:tblBorders>
        <w:bottom w:val="single" w:sz="4" w:space="0" w:color="auto"/>
      </w:tblBorders>
    </w:tblPr>
    <w:trPr>
      <w:cantSplit/>
    </w:trPr>
    <w:tblStylePr w:type="firstRow">
      <w:pPr>
        <w:wordWrap/>
        <w:ind w:leftChars="0" w:left="0" w:rightChars="0" w:right="0"/>
        <w:jc w:val="left"/>
      </w:pPr>
      <w:rPr>
        <w:rFonts w:asciiTheme="minorHAnsi" w:hAnsiTheme="minorHAnsi"/>
        <w:b/>
        <w:color w:val="E7E6E6" w:themeColor="background2"/>
        <w:sz w:val="20"/>
      </w:rPr>
      <w:tblPr/>
      <w:trPr>
        <w:tblHeader/>
      </w:trPr>
      <w:tcPr>
        <w:shd w:val="clear" w:color="auto" w:fill="000000" w:themeFill="text1"/>
      </w:tcPr>
    </w:tblStylePr>
    <w:tblStylePr w:type="firstCol">
      <w:pPr>
        <w:jc w:val="left"/>
      </w:pPr>
      <w:rPr>
        <w:b/>
      </w:rPr>
    </w:tblStylePr>
  </w:style>
  <w:style w:type="paragraph" w:customStyle="1" w:styleId="Default">
    <w:name w:val="Default"/>
    <w:rsid w:val="0013092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BodyText">
    <w:name w:val="Body Text"/>
    <w:basedOn w:val="Normal"/>
    <w:link w:val="BodyTextChar"/>
    <w:rsid w:val="00130923"/>
    <w:pPr>
      <w:spacing w:line="240" w:lineRule="auto"/>
    </w:pPr>
    <w:rPr>
      <w:rFonts w:eastAsia="Times New Roman" w:cs="Times New Roman"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130923"/>
    <w:rPr>
      <w:rFonts w:eastAsia="Times New Roman" w:cs="Times New Roman"/>
      <w:szCs w:val="24"/>
      <w:lang w:eastAsia="en-AU"/>
    </w:rPr>
  </w:style>
  <w:style w:type="paragraph" w:customStyle="1" w:styleId="numberedpara">
    <w:name w:val="numbered para"/>
    <w:basedOn w:val="Normal"/>
    <w:rsid w:val="00130923"/>
    <w:pPr>
      <w:numPr>
        <w:numId w:val="1"/>
      </w:numPr>
      <w:spacing w:after="0" w:line="240" w:lineRule="auto"/>
    </w:pPr>
    <w:rPr>
      <w:rFonts w:ascii="Calibri" w:eastAsiaTheme="minorHAnsi" w:hAnsi="Calibri" w:cs="Calibri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23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130923"/>
  </w:style>
  <w:style w:type="paragraph" w:styleId="Header">
    <w:name w:val="header"/>
    <w:basedOn w:val="Normal"/>
    <w:link w:val="HeaderChar"/>
    <w:uiPriority w:val="99"/>
    <w:unhideWhenUsed/>
    <w:rsid w:val="0013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923"/>
  </w:style>
  <w:style w:type="paragraph" w:styleId="Footer">
    <w:name w:val="footer"/>
    <w:basedOn w:val="Normal"/>
    <w:link w:val="FooterChar"/>
    <w:uiPriority w:val="99"/>
    <w:unhideWhenUsed/>
    <w:rsid w:val="0013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923"/>
  </w:style>
  <w:style w:type="paragraph" w:styleId="TOC1">
    <w:name w:val="toc 1"/>
    <w:basedOn w:val="Normal"/>
    <w:next w:val="Normal"/>
    <w:autoRedefine/>
    <w:uiPriority w:val="39"/>
    <w:unhideWhenUsed/>
    <w:rsid w:val="00EF4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A38"/>
    <w:pPr>
      <w:spacing w:after="100"/>
      <w:ind w:left="440"/>
    </w:pPr>
  </w:style>
  <w:style w:type="paragraph" w:styleId="Caption">
    <w:name w:val="caption"/>
    <w:basedOn w:val="Heading4"/>
    <w:next w:val="Normal"/>
    <w:uiPriority w:val="35"/>
    <w:qFormat/>
    <w:rsid w:val="00591A54"/>
    <w:rPr>
      <w:b/>
      <w:sz w:val="22"/>
    </w:rPr>
  </w:style>
  <w:style w:type="paragraph" w:customStyle="1" w:styleId="Source">
    <w:name w:val="Source"/>
    <w:basedOn w:val="Normal"/>
    <w:uiPriority w:val="9"/>
    <w:qFormat/>
    <w:rsid w:val="006129EF"/>
    <w:rPr>
      <w:rFonts w:cstheme="minorHAnsi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BA282D"/>
    <w:rPr>
      <w:color w:val="808080"/>
    </w:rPr>
  </w:style>
  <w:style w:type="paragraph" w:customStyle="1" w:styleId="DeleteText">
    <w:name w:val="Delete Text"/>
    <w:basedOn w:val="Normal"/>
    <w:rsid w:val="00141A65"/>
    <w:rPr>
      <w:color w:val="287BB3"/>
    </w:rPr>
  </w:style>
  <w:style w:type="numbering" w:customStyle="1" w:styleId="NumberedList">
    <w:name w:val="Numbered List"/>
    <w:uiPriority w:val="99"/>
    <w:rsid w:val="00DC76D7"/>
    <w:pPr>
      <w:numPr>
        <w:numId w:val="2"/>
      </w:numPr>
    </w:pPr>
  </w:style>
  <w:style w:type="numbering" w:customStyle="1" w:styleId="BulletList">
    <w:name w:val="Bullet List"/>
    <w:uiPriority w:val="99"/>
    <w:rsid w:val="00EC64C4"/>
    <w:pPr>
      <w:numPr>
        <w:numId w:val="3"/>
      </w:numPr>
    </w:pPr>
  </w:style>
  <w:style w:type="paragraph" w:styleId="ListNumber5">
    <w:name w:val="List Number 5"/>
    <w:basedOn w:val="Normal"/>
    <w:uiPriority w:val="99"/>
    <w:semiHidden/>
    <w:unhideWhenUsed/>
    <w:rsid w:val="00DC76D7"/>
    <w:pPr>
      <w:numPr>
        <w:ilvl w:val="4"/>
        <w:numId w:val="2"/>
      </w:numPr>
      <w:contextualSpacing/>
    </w:pPr>
  </w:style>
  <w:style w:type="paragraph" w:styleId="ListBullet5">
    <w:name w:val="List Bullet 5"/>
    <w:basedOn w:val="Normal"/>
    <w:uiPriority w:val="99"/>
    <w:unhideWhenUsed/>
    <w:rsid w:val="00EC64C4"/>
    <w:pPr>
      <w:numPr>
        <w:ilvl w:val="4"/>
        <w:numId w:val="3"/>
      </w:numPr>
      <w:contextualSpacing/>
    </w:pPr>
  </w:style>
  <w:style w:type="paragraph" w:styleId="List">
    <w:name w:val="List"/>
    <w:basedOn w:val="Normal"/>
    <w:uiPriority w:val="99"/>
    <w:unhideWhenUsed/>
    <w:rsid w:val="006129EF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6129EF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6129EF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6129EF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6129EF"/>
    <w:pPr>
      <w:ind w:left="1415" w:hanging="283"/>
      <w:contextualSpacing/>
    </w:pPr>
  </w:style>
  <w:style w:type="table" w:styleId="ListTable3-Accent1">
    <w:name w:val="List Table 3 Accent 1"/>
    <w:basedOn w:val="TableNormal"/>
    <w:uiPriority w:val="48"/>
    <w:rsid w:val="00DA4492"/>
    <w:pPr>
      <w:spacing w:after="0" w:line="240" w:lineRule="auto"/>
    </w:pPr>
    <w:tblPr>
      <w:tblStyleRowBandSize w:val="1"/>
      <w:tblStyleColBandSize w:val="1"/>
      <w:tblBorders>
        <w:top w:val="single" w:sz="4" w:space="0" w:color="D37190" w:themeColor="accent1"/>
        <w:left w:val="single" w:sz="4" w:space="0" w:color="D37190" w:themeColor="accent1"/>
        <w:bottom w:val="single" w:sz="4" w:space="0" w:color="D37190" w:themeColor="accent1"/>
        <w:right w:val="single" w:sz="4" w:space="0" w:color="D3719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7190" w:themeFill="accent1"/>
      </w:tcPr>
    </w:tblStylePr>
    <w:tblStylePr w:type="lastRow">
      <w:rPr>
        <w:b/>
        <w:bCs/>
      </w:rPr>
      <w:tblPr/>
      <w:tcPr>
        <w:tcBorders>
          <w:top w:val="double" w:sz="4" w:space="0" w:color="D3719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7190" w:themeColor="accent1"/>
          <w:right w:val="single" w:sz="4" w:space="0" w:color="D37190" w:themeColor="accent1"/>
        </w:tcBorders>
      </w:tcPr>
    </w:tblStylePr>
    <w:tblStylePr w:type="band1Horz">
      <w:tblPr/>
      <w:tcPr>
        <w:tcBorders>
          <w:top w:val="single" w:sz="4" w:space="0" w:color="D37190" w:themeColor="accent1"/>
          <w:bottom w:val="single" w:sz="4" w:space="0" w:color="D3719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7190" w:themeColor="accent1"/>
          <w:left w:val="nil"/>
        </w:tcBorders>
      </w:tcPr>
    </w:tblStylePr>
    <w:tblStylePr w:type="swCell">
      <w:tblPr/>
      <w:tcPr>
        <w:tcBorders>
          <w:top w:val="double" w:sz="4" w:space="0" w:color="D37190" w:themeColor="accent1"/>
          <w:right w:val="nil"/>
        </w:tcBorders>
      </w:tcPr>
    </w:tblStylePr>
  </w:style>
  <w:style w:type="table" w:customStyle="1" w:styleId="JobsTable">
    <w:name w:val="Jobs Table"/>
    <w:basedOn w:val="TableNormal"/>
    <w:uiPriority w:val="99"/>
    <w:rsid w:val="00AA4BA4"/>
    <w:pPr>
      <w:spacing w:after="0" w:line="240" w:lineRule="auto"/>
    </w:pPr>
    <w:tblPr>
      <w:tblBorders>
        <w:bottom w:val="single" w:sz="4" w:space="0" w:color="1E3D6B"/>
      </w:tblBorders>
    </w:tblPr>
    <w:tblStylePr w:type="firstRow">
      <w:pPr>
        <w:jc w:val="left"/>
      </w:pPr>
      <w:rPr>
        <w:rFonts w:ascii="Calibri" w:hAnsi="Calibri"/>
        <w:b w:val="0"/>
        <w:color w:val="E7E6E6" w:themeColor="background2"/>
        <w:sz w:val="22"/>
      </w:rPr>
      <w:tblPr/>
      <w:tcPr>
        <w:shd w:val="clear" w:color="auto" w:fill="287BB3"/>
      </w:tcPr>
    </w:tblStylePr>
    <w:tblStylePr w:type="firstCol">
      <w:rPr>
        <w:b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D02EE"/>
    <w:rPr>
      <w:color w:val="954F72" w:themeColor="followedHyperlink"/>
      <w:u w:val="single"/>
    </w:rPr>
  </w:style>
  <w:style w:type="character" w:customStyle="1" w:styleId="ListParagraphChar">
    <w:name w:val="List Paragraph Char"/>
    <w:aliases w:val="Recommendation Char,List Paragraph1 Char,List Paragraph11 Char,List Paragraph2 Char,List Bullet Cab Char,Bulletr List Paragraph Char,FooterText Char,L Char,List Paragraph21 Char,Listeafsnit1 Char,Paragraphe de liste1 Char,列出段 Char"/>
    <w:link w:val="ListParagraph"/>
    <w:uiPriority w:val="34"/>
    <w:qFormat/>
    <w:locked/>
    <w:rsid w:val="00807519"/>
    <w:rPr>
      <w14:ligatures w14:val="standar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7519"/>
    <w:pPr>
      <w:spacing w:before="0" w:after="0" w:line="240" w:lineRule="auto"/>
    </w:pPr>
    <w:rPr>
      <w:rFonts w:ascii="Segoe UI" w:eastAsiaTheme="minorHAnsi" w:hAnsi="Segoe UI"/>
      <w:sz w:val="15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7519"/>
    <w:rPr>
      <w:rFonts w:ascii="Segoe UI" w:eastAsiaTheme="minorHAnsi" w:hAnsi="Segoe UI"/>
      <w:sz w:val="15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751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44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EFC"/>
    <w:rPr>
      <w:sz w:val="20"/>
      <w:szCs w:val="20"/>
      <w14:ligatures w14:val="standar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EFC"/>
    <w:rPr>
      <w:b/>
      <w:bCs/>
      <w:sz w:val="20"/>
      <w:szCs w:val="20"/>
      <w14:ligatures w14:val="standard"/>
    </w:rPr>
  </w:style>
  <w:style w:type="table" w:customStyle="1" w:styleId="TableGrid1">
    <w:name w:val="Table Grid1"/>
    <w:basedOn w:val="TableNormal"/>
    <w:next w:val="TableGrid"/>
    <w:uiPriority w:val="39"/>
    <w:rsid w:val="00044A2F"/>
    <w:pPr>
      <w:spacing w:before="40" w:after="40" w:line="240" w:lineRule="auto"/>
    </w:pPr>
    <w:rPr>
      <w:rFonts w:ascii="Verdana" w:eastAsia="Cambria" w:hAnsi="Verdana"/>
      <w:sz w:val="18"/>
      <w:szCs w:val="24"/>
      <w:lang w:val="en-US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15D4C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5D4C"/>
    <w:rPr>
      <w:sz w:val="20"/>
      <w:szCs w:val="20"/>
      <w14:ligatures w14:val="standard"/>
    </w:rPr>
  </w:style>
  <w:style w:type="character" w:styleId="EndnoteReference">
    <w:name w:val="endnote reference"/>
    <w:basedOn w:val="DefaultParagraphFont"/>
    <w:uiPriority w:val="99"/>
    <w:semiHidden/>
    <w:unhideWhenUsed/>
    <w:rsid w:val="00815D4C"/>
    <w:rPr>
      <w:vertAlign w:val="superscript"/>
    </w:rPr>
  </w:style>
  <w:style w:type="paragraph" w:customStyle="1" w:styleId="Bullet">
    <w:name w:val="Bullet"/>
    <w:basedOn w:val="Normal"/>
    <w:link w:val="BulletChar"/>
    <w:uiPriority w:val="2"/>
    <w:qFormat/>
    <w:rsid w:val="00625E8A"/>
    <w:pPr>
      <w:suppressAutoHyphens/>
      <w:spacing w:before="0" w:line="259" w:lineRule="auto"/>
    </w:pPr>
    <w:rPr>
      <w:rFonts w:ascii="Segoe UI" w:eastAsia="Times New Roman" w:hAnsi="Segoe UI" w:cs="Times New Roman"/>
      <w:sz w:val="19"/>
      <w:szCs w:val="19"/>
      <w:lang w:eastAsia="en-AU"/>
      <w14:ligatures w14:val="none"/>
    </w:rPr>
  </w:style>
  <w:style w:type="character" w:customStyle="1" w:styleId="BulletChar">
    <w:name w:val="Bullet Char"/>
    <w:basedOn w:val="DefaultParagraphFont"/>
    <w:link w:val="Bullet"/>
    <w:uiPriority w:val="2"/>
    <w:rsid w:val="00625E8A"/>
    <w:rPr>
      <w:rFonts w:ascii="Segoe UI" w:eastAsia="Times New Roman" w:hAnsi="Segoe UI" w:cs="Times New Roman"/>
      <w:sz w:val="19"/>
      <w:szCs w:val="19"/>
      <w:lang w:eastAsia="en-AU"/>
    </w:rPr>
  </w:style>
  <w:style w:type="paragraph" w:styleId="Revision">
    <w:name w:val="Revision"/>
    <w:hidden/>
    <w:uiPriority w:val="99"/>
    <w:semiHidden/>
    <w:rsid w:val="006F3089"/>
    <w:pPr>
      <w:spacing w:after="0" w:line="240" w:lineRule="auto"/>
    </w:pPr>
    <w:rPr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0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1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0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mc.gov.au/resource-centre/domestic-policy/vet-review/strengthening-skills-expert-review-australias-vocational-education-and-training-syste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mployment.gov.au/codesig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nci.employment.gov.au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EMP\51009168\National%20Careers%20Institute\Strategy%20and%20National%20Frameworks\Stakeholder%20Engagement\Co-design%20Workshops\Workshop%20Registration%20&amp;%20Attendance\Final%20Stakeholder%20Attendance%20Breakdown-%20No%20Staf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3786-41DC-81AD-C388A6036721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3786-41DC-81AD-C388A6036721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5-3786-41DC-81AD-C388A6036721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7-3786-41DC-81AD-C388A6036721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9-3786-41DC-81AD-C388A6036721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B-3786-41DC-81AD-C388A6036721}"/>
              </c:ext>
            </c:extLst>
          </c:dPt>
          <c:dPt>
            <c:idx val="6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D-3786-41DC-81AD-C388A6036721}"/>
              </c:ext>
            </c:extLst>
          </c:dPt>
          <c:dPt>
            <c:idx val="7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F-3786-41DC-81AD-C388A6036721}"/>
              </c:ext>
            </c:extLst>
          </c:dPt>
          <c:dPt>
            <c:idx val="8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1-3786-41DC-81AD-C388A6036721}"/>
              </c:ext>
            </c:extLst>
          </c:dPt>
          <c:dPt>
            <c:idx val="9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3-3786-41DC-81AD-C388A6036721}"/>
              </c:ext>
            </c:extLst>
          </c:dPt>
          <c:dPt>
            <c:idx val="1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5-3786-41DC-81AD-C388A6036721}"/>
              </c:ext>
            </c:extLst>
          </c:dPt>
          <c:dPt>
            <c:idx val="1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17-3786-41DC-81AD-C388A60367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'# &amp; % by category'!$A$1:$A$12</c:f>
              <c:strCache>
                <c:ptCount val="12"/>
                <c:pt idx="0">
                  <c:v>Other</c:v>
                </c:pt>
                <c:pt idx="1">
                  <c:v>Universities</c:v>
                </c:pt>
                <c:pt idx="2">
                  <c:v>Federal policy makers</c:v>
                </c:pt>
                <c:pt idx="3">
                  <c:v>Schools</c:v>
                </c:pt>
                <c:pt idx="4">
                  <c:v>Career Guiders</c:v>
                </c:pt>
                <c:pt idx="5">
                  <c:v>Employers</c:v>
                </c:pt>
                <c:pt idx="6">
                  <c:v>Industry</c:v>
                </c:pt>
                <c:pt idx="7">
                  <c:v>Peak bodies</c:v>
                </c:pt>
                <c:pt idx="8">
                  <c:v>Sector influencers</c:v>
                </c:pt>
                <c:pt idx="9">
                  <c:v>State &amp; territory policy makers</c:v>
                </c:pt>
                <c:pt idx="10">
                  <c:v>Training providers</c:v>
                </c:pt>
                <c:pt idx="11">
                  <c:v>Job connectors</c:v>
                </c:pt>
              </c:strCache>
            </c:strRef>
          </c:cat>
          <c:val>
            <c:numRef>
              <c:f>'# &amp; % by category'!$B$1:$B$12</c:f>
              <c:numCache>
                <c:formatCode>General</c:formatCode>
                <c:ptCount val="12"/>
                <c:pt idx="0">
                  <c:v>6</c:v>
                </c:pt>
                <c:pt idx="1">
                  <c:v>13</c:v>
                </c:pt>
                <c:pt idx="2">
                  <c:v>20</c:v>
                </c:pt>
                <c:pt idx="3">
                  <c:v>28</c:v>
                </c:pt>
                <c:pt idx="4">
                  <c:v>30</c:v>
                </c:pt>
                <c:pt idx="5">
                  <c:v>40</c:v>
                </c:pt>
                <c:pt idx="6">
                  <c:v>41</c:v>
                </c:pt>
                <c:pt idx="7">
                  <c:v>53</c:v>
                </c:pt>
                <c:pt idx="8">
                  <c:v>59</c:v>
                </c:pt>
                <c:pt idx="9">
                  <c:v>66</c:v>
                </c:pt>
                <c:pt idx="10">
                  <c:v>79</c:v>
                </c:pt>
                <c:pt idx="11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3786-41DC-81AD-C388A6036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4578616"/>
        <c:axId val="644576976"/>
      </c:barChart>
      <c:catAx>
        <c:axId val="644578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576976"/>
        <c:crosses val="autoZero"/>
        <c:auto val="1"/>
        <c:lblAlgn val="ctr"/>
        <c:lblOffset val="100"/>
        <c:noMultiLvlLbl val="0"/>
      </c:catAx>
      <c:valAx>
        <c:axId val="64457697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44578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Dept Branding Secondary Colours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37190"/>
      </a:accent1>
      <a:accent2>
        <a:srgbClr val="6EC6AA"/>
      </a:accent2>
      <a:accent3>
        <a:srgbClr val="F48072"/>
      </a:accent3>
      <a:accent4>
        <a:srgbClr val="FFCE51"/>
      </a:accent4>
      <a:accent5>
        <a:srgbClr val="87D3E1"/>
      </a:accent5>
      <a:accent6>
        <a:srgbClr val="D7D8D8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DMS Document" ma:contentTypeID="0x010100266966F133664895A6EE3632470D45F500A44E5CA4916D594B8A46836D462DACE6" ma:contentTypeVersion="" ma:contentTypeDescription="PDMS Document Site Content Type" ma:contentTypeScope="" ma:versionID="495c34e80efbc3fc919d7e83ddcdbc64">
  <xsd:schema xmlns:xsd="http://www.w3.org/2001/XMLSchema" xmlns:xs="http://www.w3.org/2001/XMLSchema" xmlns:p="http://schemas.microsoft.com/office/2006/metadata/properties" xmlns:ns2="C747BDD9-7CBA-482D-B8AE-D445EC55EFC3" targetNamespace="http://schemas.microsoft.com/office/2006/metadata/properties" ma:root="true" ma:fieldsID="c89e5ee993ff6e1293812ce61434f5be" ns2:_="">
    <xsd:import namespace="C747BDD9-7CBA-482D-B8AE-D445EC55EFC3"/>
    <xsd:element name="properties">
      <xsd:complexType>
        <xsd:sequence>
          <xsd:element name="documentManagement">
            <xsd:complexType>
              <xsd:all>
                <xsd:element ref="ns2:Security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7BDD9-7CBA-482D-B8AE-D445EC55EFC3" elementFormDefault="qualified">
    <xsd:import namespace="http://schemas.microsoft.com/office/2006/documentManagement/types"/>
    <xsd:import namespace="http://schemas.microsoft.com/office/infopath/2007/PartnerControls"/>
    <xsd:element name="SecurityClassification" ma:index="8" nillable="true" ma:displayName="Security Classification" ma:hidden="true" ma:internalName="SecurityClassifi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 xmlns="C747BDD9-7CBA-482D-B8AE-D445EC55EF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9CB17-ADE1-4D2F-8FD4-90D916D99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47BDD9-7CBA-482D-B8AE-D445EC55E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A88AFA-0AB3-4406-AE71-6A2CAB59758C}">
  <ds:schemaRefs>
    <ds:schemaRef ds:uri="http://schemas.microsoft.com/office/infopath/2007/PartnerControls"/>
    <ds:schemaRef ds:uri="C747BDD9-7CBA-482D-B8AE-D445EC55EFC3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06761C6-7C30-4E82-80D8-4C43A0C932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01C8EF-26C8-4B33-9389-1E9FE3A50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44D21367.dotm</Template>
  <TotalTime>0</TotalTime>
  <Pages>5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Facheet template Green</vt:lpstr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Facheet template Green</dc:title>
  <dc:creator/>
  <cp:lastModifiedBy/>
  <cp:revision>1</cp:revision>
  <dcterms:created xsi:type="dcterms:W3CDTF">2020-03-11T22:19:00Z</dcterms:created>
  <dcterms:modified xsi:type="dcterms:W3CDTF">2020-05-06T23:49:00Z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0x010100266966F133664895A6EE3632470D45F500A44E5CA4916D594B8A46836D462DACE6</vt:lpwstr>
  </property>
</Properties>
</file>